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C328" w14:textId="77777777" w:rsidR="00207274" w:rsidRDefault="0044740D">
      <w:r>
        <w:rPr>
          <w:b/>
          <w:sz w:val="28"/>
        </w:rPr>
        <w:t>Executive summary</w:t>
      </w:r>
    </w:p>
    <w:p w14:paraId="1FE596A5" w14:textId="77777777" w:rsidR="00207274" w:rsidRDefault="0044740D">
      <w:pPr>
        <w:spacing w:after="120"/>
      </w:pPr>
      <w:r>
        <w:rPr>
          <w:sz w:val="21"/>
        </w:rPr>
        <w:t>We evaluate Smith &amp; Nephew using DCF, SOTP and risk‑adjusted NPV, cross‑checked to trading comparables. All figures in USD unless noted.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6"/>
        <w:gridCol w:w="2304"/>
        <w:gridCol w:w="2880"/>
      </w:tblGrid>
      <w:tr w:rsidR="00207274" w14:paraId="0C7214A4" w14:textId="77777777">
        <w:tc>
          <w:tcPr>
            <w:tcW w:w="3456" w:type="dxa"/>
          </w:tcPr>
          <w:p w14:paraId="45D10BDC" w14:textId="77777777" w:rsidR="00207274" w:rsidRDefault="0044740D">
            <w:r>
              <w:rPr>
                <w:b/>
                <w:sz w:val="19"/>
              </w:rPr>
              <w:t>Valuation method</w:t>
            </w:r>
          </w:p>
        </w:tc>
        <w:tc>
          <w:tcPr>
            <w:tcW w:w="2304" w:type="dxa"/>
          </w:tcPr>
          <w:p w14:paraId="7FC0E18B" w14:textId="77777777" w:rsidR="00207274" w:rsidRDefault="0044740D">
            <w:pPr>
              <w:jc w:val="center"/>
            </w:pPr>
            <w:r>
              <w:rPr>
                <w:b/>
                <w:sz w:val="19"/>
              </w:rPr>
              <w:t>Value per ADR</w:t>
            </w:r>
          </w:p>
        </w:tc>
        <w:tc>
          <w:tcPr>
            <w:tcW w:w="2880" w:type="dxa"/>
          </w:tcPr>
          <w:p w14:paraId="25997D8B" w14:textId="77777777" w:rsidR="00207274" w:rsidRDefault="0044740D">
            <w:pPr>
              <w:jc w:val="center"/>
            </w:pPr>
            <w:r>
              <w:rPr>
                <w:b/>
                <w:sz w:val="19"/>
              </w:rPr>
              <w:t>Vs current ($36.82)</w:t>
            </w:r>
          </w:p>
        </w:tc>
      </w:tr>
      <w:tr w:rsidR="00207274" w14:paraId="67FEAC9F" w14:textId="77777777">
        <w:tc>
          <w:tcPr>
            <w:tcW w:w="3456" w:type="dxa"/>
          </w:tcPr>
          <w:p w14:paraId="0F8E9493" w14:textId="77777777" w:rsidR="00207274" w:rsidRDefault="0044740D">
            <w:r>
              <w:rPr>
                <w:sz w:val="19"/>
              </w:rPr>
              <w:t>DCF</w:t>
            </w:r>
          </w:p>
        </w:tc>
        <w:tc>
          <w:tcPr>
            <w:tcW w:w="2304" w:type="dxa"/>
          </w:tcPr>
          <w:p w14:paraId="6BE67955" w14:textId="77777777" w:rsidR="00207274" w:rsidRDefault="0044740D">
            <w:pPr>
              <w:jc w:val="center"/>
            </w:pPr>
            <w:r>
              <w:rPr>
                <w:sz w:val="19"/>
              </w:rPr>
              <w:t>$38.84</w:t>
            </w:r>
          </w:p>
        </w:tc>
        <w:tc>
          <w:tcPr>
            <w:tcW w:w="2880" w:type="dxa"/>
          </w:tcPr>
          <w:p w14:paraId="03C998FC" w14:textId="77777777" w:rsidR="00207274" w:rsidRDefault="0044740D">
            <w:pPr>
              <w:jc w:val="center"/>
            </w:pPr>
            <w:r>
              <w:rPr>
                <w:sz w:val="19"/>
              </w:rPr>
              <w:t>5.5% vs $36.82</w:t>
            </w:r>
          </w:p>
        </w:tc>
      </w:tr>
      <w:tr w:rsidR="00207274" w14:paraId="1F51B0CA" w14:textId="77777777">
        <w:tc>
          <w:tcPr>
            <w:tcW w:w="3456" w:type="dxa"/>
          </w:tcPr>
          <w:p w14:paraId="30314EFE" w14:textId="77777777" w:rsidR="00207274" w:rsidRDefault="0044740D">
            <w:r>
              <w:rPr>
                <w:sz w:val="19"/>
              </w:rPr>
              <w:t>SOTP</w:t>
            </w:r>
          </w:p>
        </w:tc>
        <w:tc>
          <w:tcPr>
            <w:tcW w:w="2304" w:type="dxa"/>
          </w:tcPr>
          <w:p w14:paraId="6EB02A15" w14:textId="77777777" w:rsidR="00207274" w:rsidRDefault="0044740D">
            <w:pPr>
              <w:jc w:val="center"/>
            </w:pPr>
            <w:r>
              <w:rPr>
                <w:sz w:val="19"/>
              </w:rPr>
              <w:t>$41.03</w:t>
            </w:r>
          </w:p>
        </w:tc>
        <w:tc>
          <w:tcPr>
            <w:tcW w:w="2880" w:type="dxa"/>
          </w:tcPr>
          <w:p w14:paraId="774B503A" w14:textId="77777777" w:rsidR="00207274" w:rsidRDefault="0044740D">
            <w:pPr>
              <w:jc w:val="center"/>
            </w:pPr>
            <w:r>
              <w:rPr>
                <w:sz w:val="19"/>
              </w:rPr>
              <w:t>11.4% vs $36.82</w:t>
            </w:r>
          </w:p>
        </w:tc>
      </w:tr>
      <w:tr w:rsidR="00207274" w14:paraId="43A97DDF" w14:textId="77777777">
        <w:tc>
          <w:tcPr>
            <w:tcW w:w="3456" w:type="dxa"/>
          </w:tcPr>
          <w:p w14:paraId="1BF808A1" w14:textId="77777777" w:rsidR="00207274" w:rsidRDefault="0044740D">
            <w:r>
              <w:rPr>
                <w:sz w:val="19"/>
              </w:rPr>
              <w:t>rNPV</w:t>
            </w:r>
          </w:p>
        </w:tc>
        <w:tc>
          <w:tcPr>
            <w:tcW w:w="2304" w:type="dxa"/>
          </w:tcPr>
          <w:p w14:paraId="156FDAC3" w14:textId="77777777" w:rsidR="00207274" w:rsidRDefault="0044740D">
            <w:pPr>
              <w:jc w:val="center"/>
            </w:pPr>
            <w:r>
              <w:rPr>
                <w:sz w:val="19"/>
              </w:rPr>
              <w:t>$51.37</w:t>
            </w:r>
          </w:p>
        </w:tc>
        <w:tc>
          <w:tcPr>
            <w:tcW w:w="2880" w:type="dxa"/>
          </w:tcPr>
          <w:p w14:paraId="7F282F3F" w14:textId="77777777" w:rsidR="00207274" w:rsidRDefault="0044740D">
            <w:pPr>
              <w:jc w:val="center"/>
            </w:pPr>
            <w:r>
              <w:rPr>
                <w:sz w:val="19"/>
              </w:rPr>
              <w:t>39.5% vs $36.82</w:t>
            </w:r>
          </w:p>
        </w:tc>
      </w:tr>
      <w:tr w:rsidR="00207274" w14:paraId="221892DA" w14:textId="77777777">
        <w:tc>
          <w:tcPr>
            <w:tcW w:w="3456" w:type="dxa"/>
          </w:tcPr>
          <w:p w14:paraId="584EA2C3" w14:textId="77777777" w:rsidR="00207274" w:rsidRDefault="0044740D">
            <w:r>
              <w:rPr>
                <w:sz w:val="19"/>
              </w:rPr>
              <w:t>Median / Average</w:t>
            </w:r>
          </w:p>
        </w:tc>
        <w:tc>
          <w:tcPr>
            <w:tcW w:w="2304" w:type="dxa"/>
          </w:tcPr>
          <w:p w14:paraId="5BC6E902" w14:textId="77777777" w:rsidR="00207274" w:rsidRDefault="0044740D">
            <w:pPr>
              <w:jc w:val="center"/>
            </w:pPr>
            <w:r>
              <w:rPr>
                <w:sz w:val="19"/>
              </w:rPr>
              <w:t>$41.03 / $43.75</w:t>
            </w:r>
          </w:p>
        </w:tc>
        <w:tc>
          <w:tcPr>
            <w:tcW w:w="2880" w:type="dxa"/>
          </w:tcPr>
          <w:p w14:paraId="78E5C737" w14:textId="77777777" w:rsidR="00207274" w:rsidRDefault="0044740D">
            <w:pPr>
              <w:jc w:val="center"/>
            </w:pPr>
            <w:r>
              <w:rPr>
                <w:sz w:val="19"/>
              </w:rPr>
              <w:t>11.4% / 18.8%</w:t>
            </w:r>
          </w:p>
        </w:tc>
      </w:tr>
    </w:tbl>
    <w:p w14:paraId="23C67111" w14:textId="77777777" w:rsidR="00207274" w:rsidRDefault="0044740D">
      <w:r>
        <w:rPr>
          <w:b/>
          <w:sz w:val="28"/>
        </w:rPr>
        <w:t>Investment thesis</w:t>
      </w:r>
    </w:p>
    <w:p w14:paraId="0EEC51AD" w14:textId="77777777" w:rsidR="00207274" w:rsidRDefault="0044740D">
      <w:pPr>
        <w:spacing w:after="60"/>
      </w:pPr>
      <w:r>
        <w:rPr>
          <w:sz w:val="21"/>
        </w:rPr>
        <w:t>• Resilient cash flows from procedure-linked demand and an attractive aftermarket in implants and consumables.</w:t>
      </w:r>
    </w:p>
    <w:p w14:paraId="1B060BAD" w14:textId="77777777" w:rsidR="00207274" w:rsidRDefault="0044740D">
      <w:pPr>
        <w:spacing w:after="60"/>
      </w:pPr>
      <w:r>
        <w:rPr>
          <w:sz w:val="21"/>
        </w:rPr>
        <w:t>• Margin repair is the near-term equity driver; each sustainable +1pt margin is material for equity value.</w:t>
      </w:r>
    </w:p>
    <w:p w14:paraId="51FABDAB" w14:textId="77777777" w:rsidR="00207274" w:rsidRDefault="0044740D">
      <w:pPr>
        <w:spacing w:after="60"/>
      </w:pPr>
      <w:r>
        <w:rPr>
          <w:sz w:val="21"/>
        </w:rPr>
        <w:t>• Mix shift toward Sports Medicine and Advanced Wound is positive; Orthopaedics execution remains the swing factor for the multiple.</w:t>
      </w:r>
    </w:p>
    <w:p w14:paraId="1B4B3073" w14:textId="77777777" w:rsidR="00207274" w:rsidRDefault="0044740D">
      <w:pPr>
        <w:spacing w:after="60"/>
      </w:pPr>
      <w:r>
        <w:rPr>
          <w:sz w:val="21"/>
        </w:rPr>
        <w:t>• Balance sheet flexibility allows tightly screened bolt-ons and buybacks without compromising resilience.</w:t>
      </w:r>
    </w:p>
    <w:p w14:paraId="2E8E71C3" w14:textId="77777777" w:rsidR="00207274" w:rsidRDefault="0044740D">
      <w:pPr>
        <w:spacing w:after="60"/>
      </w:pPr>
      <w:r>
        <w:rPr>
          <w:sz w:val="21"/>
        </w:rPr>
        <w:t>• Pipeline optionality is real but must be earned through adoption and utilisation data.</w:t>
      </w:r>
    </w:p>
    <w:p w14:paraId="29AF1258" w14:textId="77777777" w:rsidR="00207274" w:rsidRDefault="0044740D">
      <w:r>
        <w:rPr>
          <w:b/>
          <w:sz w:val="28"/>
        </w:rPr>
        <w:t>Context from recent disclosures and industry sources</w:t>
      </w:r>
    </w:p>
    <w:p w14:paraId="3C5F7EE7" w14:textId="77777777" w:rsidR="00207274" w:rsidRDefault="0044740D">
      <w:pPr>
        <w:spacing w:after="120"/>
      </w:pPr>
      <w:r>
        <w:rPr>
          <w:sz w:val="21"/>
        </w:rPr>
        <w:t xml:space="preserve">Management reports the 12-point improvement plan largely complete with margin expansion across all units in 2024, and reiterated 2025 guidance for mid‑single‑digit growth and higher trading margins. H1 2025 results also introduced a sizeable buyback, signalling confidence in cash generation. Externally, China remains a swing factor following 2024 volume-based procurement pressure; by contrast, innovation cadence in Sports Medicine stays a relative bright spot. The CORI handheld robotics platform now covers </w:t>
      </w:r>
      <w:r>
        <w:rPr>
          <w:sz w:val="21"/>
        </w:rPr>
        <w:t>primary and revision knee, hip and partial procedures with image‑free mapping, which supports adoption, although capital intensity and training remain practical constraints.</w:t>
      </w:r>
    </w:p>
    <w:p w14:paraId="369441F4" w14:textId="77777777" w:rsidR="00207274" w:rsidRDefault="0044740D">
      <w:r>
        <w:rPr>
          <w:b/>
          <w:sz w:val="28"/>
        </w:rPr>
        <w:t>Operating discipline – model signals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32"/>
        <w:gridCol w:w="5184"/>
      </w:tblGrid>
      <w:tr w:rsidR="00207274" w14:paraId="6EE98BD1" w14:textId="77777777">
        <w:tc>
          <w:tcPr>
            <w:tcW w:w="4032" w:type="dxa"/>
          </w:tcPr>
          <w:p w14:paraId="70B305E7" w14:textId="77777777" w:rsidR="00207274" w:rsidRDefault="0044740D">
            <w:r>
              <w:rPr>
                <w:b/>
                <w:sz w:val="19"/>
              </w:rPr>
              <w:t>Metric</w:t>
            </w:r>
          </w:p>
        </w:tc>
        <w:tc>
          <w:tcPr>
            <w:tcW w:w="5184" w:type="dxa"/>
          </w:tcPr>
          <w:p w14:paraId="1EF66E13" w14:textId="77777777" w:rsidR="00207274" w:rsidRDefault="0044740D">
            <w:pPr>
              <w:jc w:val="center"/>
            </w:pPr>
            <w:r>
              <w:rPr>
                <w:b/>
                <w:sz w:val="19"/>
              </w:rPr>
              <w:t>Observation</w:t>
            </w:r>
          </w:p>
        </w:tc>
      </w:tr>
      <w:tr w:rsidR="00207274" w14:paraId="101B090C" w14:textId="77777777">
        <w:tc>
          <w:tcPr>
            <w:tcW w:w="4032" w:type="dxa"/>
          </w:tcPr>
          <w:p w14:paraId="10A5C49E" w14:textId="77777777" w:rsidR="00207274" w:rsidRDefault="0044740D">
            <w:r>
              <w:rPr>
                <w:sz w:val="19"/>
              </w:rPr>
              <w:t>EBIT margin trajectory</w:t>
            </w:r>
          </w:p>
        </w:tc>
        <w:tc>
          <w:tcPr>
            <w:tcW w:w="5184" w:type="dxa"/>
          </w:tcPr>
          <w:p w14:paraId="4274A642" w14:textId="77777777" w:rsidR="00207274" w:rsidRDefault="0044740D">
            <w:pPr>
              <w:jc w:val="center"/>
            </w:pPr>
            <w:r>
              <w:rPr>
                <w:sz w:val="19"/>
              </w:rPr>
              <w:t>Mid‑teens by outer years; upside if Orthopaedics normalises</w:t>
            </w:r>
          </w:p>
        </w:tc>
      </w:tr>
      <w:tr w:rsidR="00207274" w14:paraId="572B272E" w14:textId="77777777">
        <w:tc>
          <w:tcPr>
            <w:tcW w:w="4032" w:type="dxa"/>
          </w:tcPr>
          <w:p w14:paraId="7836C761" w14:textId="77777777" w:rsidR="00207274" w:rsidRDefault="0044740D">
            <w:r>
              <w:rPr>
                <w:sz w:val="19"/>
              </w:rPr>
              <w:t>Capex as % of sales</w:t>
            </w:r>
          </w:p>
        </w:tc>
        <w:tc>
          <w:tcPr>
            <w:tcW w:w="5184" w:type="dxa"/>
          </w:tcPr>
          <w:p w14:paraId="688BD304" w14:textId="77777777" w:rsidR="00207274" w:rsidRDefault="0044740D">
            <w:pPr>
              <w:jc w:val="center"/>
            </w:pPr>
            <w:r>
              <w:rPr>
                <w:sz w:val="19"/>
              </w:rPr>
              <w:t>≈ 7.7% through the explicit period</w:t>
            </w:r>
          </w:p>
        </w:tc>
      </w:tr>
      <w:tr w:rsidR="00207274" w14:paraId="1DA639F1" w14:textId="77777777">
        <w:tc>
          <w:tcPr>
            <w:tcW w:w="4032" w:type="dxa"/>
          </w:tcPr>
          <w:p w14:paraId="2D8AEAAD" w14:textId="77777777" w:rsidR="00207274" w:rsidRDefault="0044740D">
            <w:r>
              <w:rPr>
                <w:sz w:val="19"/>
              </w:rPr>
              <w:t>D&amp;A as % of sales</w:t>
            </w:r>
          </w:p>
        </w:tc>
        <w:tc>
          <w:tcPr>
            <w:tcW w:w="5184" w:type="dxa"/>
          </w:tcPr>
          <w:p w14:paraId="4559B5F4" w14:textId="77777777" w:rsidR="00207274" w:rsidRDefault="0044740D">
            <w:pPr>
              <w:jc w:val="center"/>
            </w:pPr>
            <w:r>
              <w:rPr>
                <w:sz w:val="19"/>
              </w:rPr>
              <w:t>≈ 7.7%; broadly offsets sustaining capex</w:t>
            </w:r>
          </w:p>
        </w:tc>
      </w:tr>
      <w:tr w:rsidR="00207274" w14:paraId="534DA423" w14:textId="77777777">
        <w:tc>
          <w:tcPr>
            <w:tcW w:w="4032" w:type="dxa"/>
          </w:tcPr>
          <w:p w14:paraId="0D09A666" w14:textId="77777777" w:rsidR="00207274" w:rsidRDefault="0044740D">
            <w:r>
              <w:rPr>
                <w:sz w:val="19"/>
              </w:rPr>
              <w:t>Change in NWC as % of sales</w:t>
            </w:r>
          </w:p>
        </w:tc>
        <w:tc>
          <w:tcPr>
            <w:tcW w:w="5184" w:type="dxa"/>
          </w:tcPr>
          <w:p w14:paraId="46415459" w14:textId="77777777" w:rsidR="00207274" w:rsidRDefault="0044740D">
            <w:pPr>
              <w:jc w:val="center"/>
            </w:pPr>
            <w:r>
              <w:rPr>
                <w:sz w:val="19"/>
              </w:rPr>
              <w:t>Improves from ≈ −2.4% to ≈ −1.9%</w:t>
            </w:r>
          </w:p>
        </w:tc>
      </w:tr>
      <w:tr w:rsidR="00207274" w14:paraId="79ED1510" w14:textId="77777777">
        <w:tc>
          <w:tcPr>
            <w:tcW w:w="4032" w:type="dxa"/>
          </w:tcPr>
          <w:p w14:paraId="649EA954" w14:textId="77777777" w:rsidR="00207274" w:rsidRDefault="0044740D">
            <w:r>
              <w:rPr>
                <w:sz w:val="19"/>
              </w:rPr>
              <w:t>FCF yield on EV</w:t>
            </w:r>
          </w:p>
        </w:tc>
        <w:tc>
          <w:tcPr>
            <w:tcW w:w="5184" w:type="dxa"/>
          </w:tcPr>
          <w:p w14:paraId="35D2FAD2" w14:textId="77777777" w:rsidR="00207274" w:rsidRDefault="0044740D">
            <w:pPr>
              <w:jc w:val="center"/>
            </w:pPr>
            <w:r>
              <w:rPr>
                <w:sz w:val="19"/>
              </w:rPr>
              <w:t>3.1% rising to 4.2% by 2029</w:t>
            </w:r>
          </w:p>
        </w:tc>
      </w:tr>
    </w:tbl>
    <w:p w14:paraId="174E11A8" w14:textId="77777777" w:rsidR="00207274" w:rsidRDefault="0044740D">
      <w:r>
        <w:rPr>
          <w:b/>
          <w:sz w:val="28"/>
        </w:rPr>
        <w:t>Valuation</w:t>
      </w:r>
    </w:p>
    <w:p w14:paraId="290823D6" w14:textId="77777777" w:rsidR="00207274" w:rsidRDefault="0044740D">
      <w:r>
        <w:rPr>
          <w:b/>
          <w:sz w:val="24"/>
        </w:rPr>
        <w:t>Trading comparables</w:t>
      </w:r>
    </w:p>
    <w:p w14:paraId="38539F5C" w14:textId="77777777" w:rsidR="00207274" w:rsidRDefault="0044740D">
      <w:pPr>
        <w:spacing w:after="60"/>
      </w:pPr>
      <w:r>
        <w:rPr>
          <w:sz w:val="21"/>
        </w:rPr>
        <w:t>• Peer medians: EV/EBITDA ~16.5x; EV/EBIT ~20.6x; EV/Sales ~5.4x.</w:t>
      </w:r>
    </w:p>
    <w:p w14:paraId="7B15655C" w14:textId="77777777" w:rsidR="00207274" w:rsidRDefault="0044740D">
      <w:pPr>
        <w:spacing w:after="60"/>
      </w:pPr>
      <w:r>
        <w:rPr>
          <w:sz w:val="21"/>
        </w:rPr>
        <w:lastRenderedPageBreak/>
        <w:t>• Smith &amp; Nephew EBITDA margin ~23% vs peer ~31%, so profit‑based multiples screen lower than sales‑based.</w:t>
      </w:r>
    </w:p>
    <w:p w14:paraId="7EDE6B8F" w14:textId="77777777" w:rsidR="00207274" w:rsidRDefault="0044740D">
      <w:pPr>
        <w:spacing w:after="60"/>
      </w:pPr>
      <w:r>
        <w:rPr>
          <w:sz w:val="21"/>
        </w:rPr>
        <w:t>• Blended comps indication: $56.85 per ADR vs $36.82 live (approx. 54% upside).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44"/>
        <w:gridCol w:w="2304"/>
        <w:gridCol w:w="3744"/>
      </w:tblGrid>
      <w:tr w:rsidR="00207274" w14:paraId="1BE2BC74" w14:textId="77777777">
        <w:tc>
          <w:tcPr>
            <w:tcW w:w="3744" w:type="dxa"/>
          </w:tcPr>
          <w:p w14:paraId="35D157F1" w14:textId="77777777" w:rsidR="00207274" w:rsidRDefault="0044740D">
            <w:r>
              <w:rPr>
                <w:b/>
                <w:sz w:val="19"/>
              </w:rPr>
              <w:t>Approach</w:t>
            </w:r>
          </w:p>
        </w:tc>
        <w:tc>
          <w:tcPr>
            <w:tcW w:w="2304" w:type="dxa"/>
          </w:tcPr>
          <w:p w14:paraId="3B27904B" w14:textId="77777777" w:rsidR="00207274" w:rsidRDefault="0044740D">
            <w:pPr>
              <w:jc w:val="center"/>
            </w:pPr>
            <w:r>
              <w:rPr>
                <w:b/>
                <w:sz w:val="19"/>
              </w:rPr>
              <w:t>Per ADR ($)</w:t>
            </w:r>
          </w:p>
        </w:tc>
        <w:tc>
          <w:tcPr>
            <w:tcW w:w="3744" w:type="dxa"/>
          </w:tcPr>
          <w:p w14:paraId="77D75B9E" w14:textId="77777777" w:rsidR="00207274" w:rsidRDefault="0044740D">
            <w:pPr>
              <w:jc w:val="center"/>
            </w:pPr>
            <w:r>
              <w:rPr>
                <w:b/>
                <w:sz w:val="19"/>
              </w:rPr>
              <w:t>Basis</w:t>
            </w:r>
          </w:p>
        </w:tc>
      </w:tr>
      <w:tr w:rsidR="00207274" w14:paraId="649CDFF6" w14:textId="77777777">
        <w:tc>
          <w:tcPr>
            <w:tcW w:w="3744" w:type="dxa"/>
          </w:tcPr>
          <w:p w14:paraId="646471F3" w14:textId="77777777" w:rsidR="00207274" w:rsidRDefault="0044740D">
            <w:r>
              <w:rPr>
                <w:sz w:val="19"/>
              </w:rPr>
              <w:t>EV/Sales (median)</w:t>
            </w:r>
          </w:p>
        </w:tc>
        <w:tc>
          <w:tcPr>
            <w:tcW w:w="2304" w:type="dxa"/>
          </w:tcPr>
          <w:p w14:paraId="7C745FE0" w14:textId="77777777" w:rsidR="00207274" w:rsidRDefault="0044740D">
            <w:pPr>
              <w:jc w:val="center"/>
            </w:pPr>
            <w:r>
              <w:rPr>
                <w:sz w:val="19"/>
              </w:rPr>
              <w:t>$84.43</w:t>
            </w:r>
          </w:p>
        </w:tc>
        <w:tc>
          <w:tcPr>
            <w:tcW w:w="3744" w:type="dxa"/>
          </w:tcPr>
          <w:p w14:paraId="178F0419" w14:textId="77777777" w:rsidR="00207274" w:rsidRDefault="0044740D">
            <w:pPr>
              <w:jc w:val="center"/>
            </w:pPr>
            <w:r>
              <w:rPr>
                <w:sz w:val="19"/>
              </w:rPr>
              <w:t>5.41x on Sales</w:t>
            </w:r>
          </w:p>
        </w:tc>
      </w:tr>
      <w:tr w:rsidR="00207274" w14:paraId="1F48E9D8" w14:textId="77777777">
        <w:tc>
          <w:tcPr>
            <w:tcW w:w="3744" w:type="dxa"/>
          </w:tcPr>
          <w:p w14:paraId="7148D900" w14:textId="77777777" w:rsidR="00207274" w:rsidRDefault="0044740D">
            <w:r>
              <w:rPr>
                <w:sz w:val="19"/>
              </w:rPr>
              <w:t>EV/EBITDA (median)</w:t>
            </w:r>
          </w:p>
        </w:tc>
        <w:tc>
          <w:tcPr>
            <w:tcW w:w="2304" w:type="dxa"/>
          </w:tcPr>
          <w:p w14:paraId="12B9BFC7" w14:textId="77777777" w:rsidR="00207274" w:rsidRDefault="0044740D">
            <w:pPr>
              <w:jc w:val="center"/>
            </w:pPr>
            <w:r>
              <w:rPr>
                <w:sz w:val="19"/>
              </w:rPr>
              <w:t>$56.54</w:t>
            </w:r>
          </w:p>
        </w:tc>
        <w:tc>
          <w:tcPr>
            <w:tcW w:w="3744" w:type="dxa"/>
          </w:tcPr>
          <w:p w14:paraId="7AFEE29F" w14:textId="77777777" w:rsidR="00207274" w:rsidRDefault="0044740D">
            <w:pPr>
              <w:jc w:val="center"/>
            </w:pPr>
            <w:r>
              <w:rPr>
                <w:sz w:val="19"/>
              </w:rPr>
              <w:t>16.51x on EBITDA</w:t>
            </w:r>
          </w:p>
        </w:tc>
      </w:tr>
      <w:tr w:rsidR="00207274" w14:paraId="786EB121" w14:textId="77777777">
        <w:tc>
          <w:tcPr>
            <w:tcW w:w="3744" w:type="dxa"/>
          </w:tcPr>
          <w:p w14:paraId="4B3FD584" w14:textId="77777777" w:rsidR="00207274" w:rsidRDefault="0044740D">
            <w:r>
              <w:rPr>
                <w:sz w:val="19"/>
              </w:rPr>
              <w:t>EV/EBIT (median)</w:t>
            </w:r>
          </w:p>
        </w:tc>
        <w:tc>
          <w:tcPr>
            <w:tcW w:w="2304" w:type="dxa"/>
          </w:tcPr>
          <w:p w14:paraId="6AEEFED2" w14:textId="77777777" w:rsidR="00207274" w:rsidRDefault="0044740D">
            <w:pPr>
              <w:jc w:val="center"/>
            </w:pPr>
            <w:r>
              <w:rPr>
                <w:sz w:val="19"/>
              </w:rPr>
              <w:t>$45.43</w:t>
            </w:r>
          </w:p>
        </w:tc>
        <w:tc>
          <w:tcPr>
            <w:tcW w:w="3744" w:type="dxa"/>
          </w:tcPr>
          <w:p w14:paraId="6DB29E45" w14:textId="77777777" w:rsidR="00207274" w:rsidRDefault="0044740D">
            <w:pPr>
              <w:jc w:val="center"/>
            </w:pPr>
            <w:r>
              <w:rPr>
                <w:sz w:val="19"/>
              </w:rPr>
              <w:t>20.65x on EBIT</w:t>
            </w:r>
          </w:p>
        </w:tc>
      </w:tr>
      <w:tr w:rsidR="00207274" w14:paraId="03CE075A" w14:textId="77777777">
        <w:tc>
          <w:tcPr>
            <w:tcW w:w="3744" w:type="dxa"/>
          </w:tcPr>
          <w:p w14:paraId="498E26C4" w14:textId="77777777" w:rsidR="00207274" w:rsidRDefault="0044740D">
            <w:r>
              <w:rPr>
                <w:sz w:val="19"/>
              </w:rPr>
              <w:t>P/E (median)</w:t>
            </w:r>
          </w:p>
        </w:tc>
        <w:tc>
          <w:tcPr>
            <w:tcW w:w="2304" w:type="dxa"/>
          </w:tcPr>
          <w:p w14:paraId="6D71F6B5" w14:textId="77777777" w:rsidR="00207274" w:rsidRDefault="0044740D">
            <w:pPr>
              <w:jc w:val="center"/>
            </w:pPr>
            <w:r>
              <w:rPr>
                <w:sz w:val="19"/>
              </w:rPr>
              <w:t>$41.00</w:t>
            </w:r>
          </w:p>
        </w:tc>
        <w:tc>
          <w:tcPr>
            <w:tcW w:w="3744" w:type="dxa"/>
          </w:tcPr>
          <w:p w14:paraId="48125EDC" w14:textId="77777777" w:rsidR="00207274" w:rsidRDefault="0044740D">
            <w:pPr>
              <w:jc w:val="center"/>
            </w:pPr>
            <w:r>
              <w:rPr>
                <w:sz w:val="19"/>
              </w:rPr>
              <w:t>33.53x on EPS</w:t>
            </w:r>
          </w:p>
        </w:tc>
      </w:tr>
      <w:tr w:rsidR="00207274" w14:paraId="1EBA06A7" w14:textId="77777777">
        <w:tc>
          <w:tcPr>
            <w:tcW w:w="3744" w:type="dxa"/>
          </w:tcPr>
          <w:p w14:paraId="11FCAA9D" w14:textId="77777777" w:rsidR="00207274" w:rsidRDefault="0044740D">
            <w:r>
              <w:rPr>
                <w:sz w:val="19"/>
              </w:rPr>
              <w:t>Blended (simple average)</w:t>
            </w:r>
          </w:p>
        </w:tc>
        <w:tc>
          <w:tcPr>
            <w:tcW w:w="2304" w:type="dxa"/>
          </w:tcPr>
          <w:p w14:paraId="252A153D" w14:textId="77777777" w:rsidR="00207274" w:rsidRDefault="0044740D">
            <w:pPr>
              <w:jc w:val="center"/>
            </w:pPr>
            <w:r>
              <w:rPr>
                <w:sz w:val="19"/>
              </w:rPr>
              <w:t>$56.85</w:t>
            </w:r>
          </w:p>
        </w:tc>
        <w:tc>
          <w:tcPr>
            <w:tcW w:w="3744" w:type="dxa"/>
          </w:tcPr>
          <w:p w14:paraId="5A7D9495" w14:textId="77777777" w:rsidR="00207274" w:rsidRDefault="0044740D">
            <w:pPr>
              <w:jc w:val="center"/>
            </w:pPr>
            <w:r>
              <w:rPr>
                <w:sz w:val="19"/>
              </w:rPr>
              <w:t>Equal‑weighted across four approaches</w:t>
            </w:r>
          </w:p>
        </w:tc>
      </w:tr>
    </w:tbl>
    <w:p w14:paraId="619DE512" w14:textId="77777777" w:rsidR="00207274" w:rsidRDefault="0044740D">
      <w:r>
        <w:rPr>
          <w:b/>
          <w:sz w:val="24"/>
        </w:rPr>
        <w:t>Discounted cash flow (DCF)</w:t>
      </w:r>
    </w:p>
    <w:p w14:paraId="0169CA6B" w14:textId="77777777" w:rsidR="00207274" w:rsidRDefault="0044740D">
      <w:pPr>
        <w:spacing w:after="60"/>
      </w:pPr>
      <w:r>
        <w:rPr>
          <w:sz w:val="21"/>
        </w:rPr>
        <w:t>• Base case per ADR $50.49; terminal value is the dominant EV component.</w:t>
      </w:r>
    </w:p>
    <w:p w14:paraId="52872D68" w14:textId="77777777" w:rsidR="00207274" w:rsidRDefault="0044740D">
      <w:pPr>
        <w:spacing w:after="60"/>
      </w:pPr>
      <w:r>
        <w:rPr>
          <w:sz w:val="21"/>
        </w:rPr>
        <w:t>• Inputs: risk‑free ~4.10%, beta ~0.67, ERP ~3.80% → WACC ~5.80%; terminal growth ~2.0%.</w:t>
      </w:r>
    </w:p>
    <w:p w14:paraId="26E5D403" w14:textId="77777777" w:rsidR="00207274" w:rsidRDefault="0044740D">
      <w:pPr>
        <w:spacing w:after="60"/>
      </w:pPr>
      <w:r>
        <w:rPr>
          <w:sz w:val="21"/>
        </w:rPr>
        <w:t>• Sensitivity around base inputs is modest; WACC/g moves of ±0.25pt drive c. $1 move in fair value.</w:t>
      </w:r>
    </w:p>
    <w:p w14:paraId="5A03453D" w14:textId="77777777" w:rsidR="00207274" w:rsidRDefault="0044740D">
      <w:r>
        <w:rPr>
          <w:b/>
          <w:sz w:val="24"/>
        </w:rPr>
        <w:t>Sum‑of‑the‑parts (SOTP)</w:t>
      </w:r>
    </w:p>
    <w:p w14:paraId="4A84204F" w14:textId="77777777" w:rsidR="00207274" w:rsidRDefault="0044740D">
      <w:pPr>
        <w:spacing w:after="60"/>
      </w:pPr>
      <w:r>
        <w:rPr>
          <w:sz w:val="21"/>
        </w:rPr>
        <w:t>• Value density sits in Sports Med &amp; ENT; Advanced Wound steady; Orthopaedics is the margin swing factor.</w:t>
      </w:r>
    </w:p>
    <w:p w14:paraId="49D846CC" w14:textId="77777777" w:rsidR="00207274" w:rsidRDefault="0044740D">
      <w:pPr>
        <w:spacing w:after="60"/>
      </w:pPr>
      <w:r>
        <w:rPr>
          <w:sz w:val="21"/>
        </w:rPr>
        <w:t>• Segment EVs sum to ≈ $27.2bn; equity output consistent with the per‑ADR figure used in the summary.</w:t>
      </w:r>
    </w:p>
    <w:p w14:paraId="0920E09F" w14:textId="77777777" w:rsidR="00207274" w:rsidRDefault="0044740D">
      <w:r>
        <w:rPr>
          <w:b/>
          <w:sz w:val="24"/>
        </w:rPr>
        <w:t>Pipeline rNPV</w:t>
      </w:r>
    </w:p>
    <w:p w14:paraId="4D55E570" w14:textId="77777777" w:rsidR="00207274" w:rsidRDefault="0044740D">
      <w:pPr>
        <w:spacing w:after="60"/>
      </w:pPr>
      <w:r>
        <w:rPr>
          <w:sz w:val="21"/>
        </w:rPr>
        <w:t>• Risk‑weighted pipeline adds ≈ $33.1bn with Sports Med &amp; ENT leading the risked value.</w:t>
      </w:r>
    </w:p>
    <w:p w14:paraId="734FE3EF" w14:textId="77777777" w:rsidR="00207274" w:rsidRDefault="0044740D">
      <w:pPr>
        <w:spacing w:after="60"/>
      </w:pPr>
      <w:r>
        <w:rPr>
          <w:sz w:val="21"/>
        </w:rPr>
        <w:t>• Realisation requires adoption, training throughput and sustained service levels.</w:t>
      </w:r>
    </w:p>
    <w:p w14:paraId="5AE83764" w14:textId="77777777" w:rsidR="00207274" w:rsidRDefault="0044740D">
      <w:r>
        <w:rPr>
          <w:b/>
          <w:sz w:val="24"/>
        </w:rPr>
        <w:t>Valuation triangulation</w:t>
      </w:r>
    </w:p>
    <w:p w14:paraId="19A1E301" w14:textId="77777777" w:rsidR="00207274" w:rsidRDefault="0044740D">
      <w:pPr>
        <w:spacing w:after="120"/>
      </w:pPr>
      <w:r>
        <w:rPr>
          <w:sz w:val="21"/>
        </w:rPr>
        <w:t>Comps, DCF, SOTP and rNPV cluster in a tight band; we anchor to the mid‑50s given mix and execution path.</w:t>
      </w:r>
    </w:p>
    <w:p w14:paraId="728E5183" w14:textId="77777777" w:rsidR="00207274" w:rsidRDefault="0044740D">
      <w:r>
        <w:rPr>
          <w:b/>
          <w:sz w:val="28"/>
        </w:rPr>
        <w:t>Risks, proof points and catalysts</w:t>
      </w:r>
    </w:p>
    <w:p w14:paraId="58D9F89D" w14:textId="77777777" w:rsidR="00207274" w:rsidRDefault="0044740D">
      <w:r>
        <w:rPr>
          <w:b/>
          <w:sz w:val="24"/>
        </w:rPr>
        <w:t>Risks</w:t>
      </w:r>
    </w:p>
    <w:p w14:paraId="3D2379C6" w14:textId="77777777" w:rsidR="00207274" w:rsidRDefault="0044740D">
      <w:pPr>
        <w:spacing w:after="60"/>
      </w:pPr>
      <w:r>
        <w:rPr>
          <w:sz w:val="21"/>
        </w:rPr>
        <w:t>• Orthopaedics execution and pricing pressure.</w:t>
      </w:r>
    </w:p>
    <w:p w14:paraId="1503797F" w14:textId="77777777" w:rsidR="00207274" w:rsidRDefault="0044740D">
      <w:pPr>
        <w:spacing w:after="60"/>
      </w:pPr>
      <w:r>
        <w:rPr>
          <w:sz w:val="21"/>
        </w:rPr>
        <w:t>• China demand variability following volume‑based procurement.</w:t>
      </w:r>
    </w:p>
    <w:p w14:paraId="4158CB70" w14:textId="77777777" w:rsidR="00207274" w:rsidRDefault="0044740D">
      <w:pPr>
        <w:spacing w:after="60"/>
      </w:pPr>
      <w:r>
        <w:rPr>
          <w:sz w:val="21"/>
        </w:rPr>
        <w:t>• FX translation.</w:t>
      </w:r>
    </w:p>
    <w:p w14:paraId="06815A6A" w14:textId="77777777" w:rsidR="00207274" w:rsidRDefault="0044740D">
      <w:r>
        <w:rPr>
          <w:b/>
          <w:sz w:val="24"/>
        </w:rPr>
        <w:t>Proof points</w:t>
      </w:r>
    </w:p>
    <w:p w14:paraId="2B763601" w14:textId="77777777" w:rsidR="00207274" w:rsidRDefault="0044740D">
      <w:pPr>
        <w:spacing w:after="60"/>
      </w:pPr>
      <w:r>
        <w:rPr>
          <w:sz w:val="21"/>
        </w:rPr>
        <w:t>• Sequential margin expansion and FCF conversion.</w:t>
      </w:r>
    </w:p>
    <w:p w14:paraId="71027F41" w14:textId="77777777" w:rsidR="00207274" w:rsidRDefault="0044740D">
      <w:pPr>
        <w:spacing w:after="60"/>
      </w:pPr>
      <w:r>
        <w:rPr>
          <w:sz w:val="21"/>
        </w:rPr>
        <w:t>• Stable service levels and throughput gains in Orthopaedics.</w:t>
      </w:r>
    </w:p>
    <w:p w14:paraId="07D8D7FA" w14:textId="77777777" w:rsidR="00207274" w:rsidRDefault="0044740D">
      <w:pPr>
        <w:spacing w:after="60"/>
      </w:pPr>
      <w:r>
        <w:rPr>
          <w:sz w:val="21"/>
        </w:rPr>
        <w:t>• Visible adoption of pipeline launches.</w:t>
      </w:r>
    </w:p>
    <w:p w14:paraId="24E252EF" w14:textId="77777777" w:rsidR="00207274" w:rsidRDefault="0044740D">
      <w:r>
        <w:rPr>
          <w:b/>
          <w:sz w:val="24"/>
        </w:rPr>
        <w:t>Catalysts</w:t>
      </w:r>
    </w:p>
    <w:p w14:paraId="19946EBF" w14:textId="77777777" w:rsidR="00207274" w:rsidRDefault="0044740D">
      <w:pPr>
        <w:spacing w:after="60"/>
      </w:pPr>
      <w:r>
        <w:rPr>
          <w:sz w:val="21"/>
        </w:rPr>
        <w:t>• Operational normalisation across units.</w:t>
      </w:r>
    </w:p>
    <w:p w14:paraId="6E6959A5" w14:textId="77777777" w:rsidR="00207274" w:rsidRDefault="0044740D">
      <w:pPr>
        <w:spacing w:after="60"/>
      </w:pPr>
      <w:r>
        <w:rPr>
          <w:sz w:val="21"/>
        </w:rPr>
        <w:t>• Sustained Sports Med and Wound growth cadence.</w:t>
      </w:r>
    </w:p>
    <w:p w14:paraId="5AA0FAFD" w14:textId="77777777" w:rsidR="00207274" w:rsidRDefault="0044740D">
      <w:pPr>
        <w:spacing w:after="60"/>
      </w:pPr>
      <w:r>
        <w:rPr>
          <w:sz w:val="21"/>
        </w:rPr>
        <w:t>• Balanced capital allocation, including opportunistic buybacks.</w:t>
      </w:r>
    </w:p>
    <w:p w14:paraId="6CC9930D" w14:textId="77777777" w:rsidR="00207274" w:rsidRDefault="0044740D">
      <w:r>
        <w:rPr>
          <w:b/>
          <w:sz w:val="28"/>
        </w:rPr>
        <w:lastRenderedPageBreak/>
        <w:t>Notes and sources</w:t>
      </w:r>
    </w:p>
    <w:p w14:paraId="0C1B3D15" w14:textId="77777777" w:rsidR="00207274" w:rsidRDefault="0044740D">
      <w:pPr>
        <w:spacing w:after="120"/>
      </w:pPr>
      <w:r>
        <w:rPr>
          <w:sz w:val="19"/>
        </w:rPr>
        <w:t>Source: Client DCF, SOTP and rNPV workbooks; three‑statement model; company disclosures; third‑party industry sources. Figures USD unless noted.</w:t>
      </w:r>
    </w:p>
    <w:p w14:paraId="0C02FCB7" w14:textId="77777777" w:rsidR="00207274" w:rsidRDefault="0044740D">
      <w:pPr>
        <w:jc w:val="center"/>
      </w:pPr>
      <w:r>
        <w:rPr>
          <w:i/>
        </w:rPr>
        <w:t>Exhibit 1: DCF per‑ADR sensitivity (WACC × g around base case)</w:t>
      </w:r>
    </w:p>
    <w:p w14:paraId="69A5A0CA" w14:textId="77777777" w:rsidR="00207274" w:rsidRDefault="0044740D">
      <w:pPr>
        <w:spacing w:before="60" w:after="60"/>
        <w:jc w:val="center"/>
      </w:pPr>
      <w:r>
        <w:rPr>
          <w:noProof/>
        </w:rPr>
        <w:drawing>
          <wp:inline distT="0" distB="0" distL="0" distR="0" wp14:anchorId="4A70D7E5" wp14:editId="66173DDD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hibit_dcf_sensitiv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5AF3" w14:textId="77777777" w:rsidR="00207274" w:rsidRDefault="0044740D">
      <w:pPr>
        <w:jc w:val="center"/>
      </w:pPr>
      <w:r>
        <w:rPr>
          <w:i/>
        </w:rPr>
        <w:t>Exhibit 2: SOTP segment EVs (USD m)</w:t>
      </w:r>
    </w:p>
    <w:p w14:paraId="7EABCF86" w14:textId="77777777" w:rsidR="00207274" w:rsidRDefault="0044740D">
      <w:pPr>
        <w:spacing w:before="60" w:after="60"/>
        <w:jc w:val="center"/>
      </w:pPr>
      <w:r>
        <w:rPr>
          <w:noProof/>
        </w:rPr>
        <w:drawing>
          <wp:inline distT="0" distB="0" distL="0" distR="0" wp14:anchorId="24AD2C24" wp14:editId="2283274A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hibit_sot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512D" w14:textId="77777777" w:rsidR="00207274" w:rsidRDefault="0044740D">
      <w:pPr>
        <w:jc w:val="center"/>
      </w:pPr>
      <w:r>
        <w:rPr>
          <w:i/>
        </w:rPr>
        <w:t>Exhibit 3: Risk‑weighted pipeline by segment (USD m)</w:t>
      </w:r>
    </w:p>
    <w:p w14:paraId="1E47EAD0" w14:textId="77777777" w:rsidR="00207274" w:rsidRDefault="0044740D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C86FCEE" wp14:editId="01A1EF09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hibit_rnp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01A2" w14:textId="77777777" w:rsidR="00207274" w:rsidRDefault="0044740D">
      <w:pPr>
        <w:jc w:val="center"/>
      </w:pPr>
      <w:r>
        <w:rPr>
          <w:i/>
        </w:rPr>
        <w:t>Exhibit 4: Triangulation across approaches (USD per ADR)</w:t>
      </w:r>
    </w:p>
    <w:p w14:paraId="7633760B" w14:textId="77777777" w:rsidR="00207274" w:rsidRDefault="0044740D">
      <w:pPr>
        <w:spacing w:before="60" w:after="60"/>
        <w:jc w:val="center"/>
      </w:pPr>
      <w:r>
        <w:rPr>
          <w:noProof/>
        </w:rPr>
        <w:drawing>
          <wp:inline distT="0" distB="0" distL="0" distR="0" wp14:anchorId="3C5BE511" wp14:editId="2C6F8AE1">
            <wp:extent cx="54864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hibit_triang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27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520078">
    <w:abstractNumId w:val="8"/>
  </w:num>
  <w:num w:numId="2" w16cid:durableId="421727062">
    <w:abstractNumId w:val="6"/>
  </w:num>
  <w:num w:numId="3" w16cid:durableId="1102993894">
    <w:abstractNumId w:val="5"/>
  </w:num>
  <w:num w:numId="4" w16cid:durableId="68162395">
    <w:abstractNumId w:val="4"/>
  </w:num>
  <w:num w:numId="5" w16cid:durableId="763960267">
    <w:abstractNumId w:val="7"/>
  </w:num>
  <w:num w:numId="6" w16cid:durableId="418988927">
    <w:abstractNumId w:val="3"/>
  </w:num>
  <w:num w:numId="7" w16cid:durableId="907302082">
    <w:abstractNumId w:val="2"/>
  </w:num>
  <w:num w:numId="8" w16cid:durableId="2130514000">
    <w:abstractNumId w:val="1"/>
  </w:num>
  <w:num w:numId="9" w16cid:durableId="98003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74"/>
    <w:rsid w:val="0029639D"/>
    <w:rsid w:val="00326F90"/>
    <w:rsid w:val="0044740D"/>
    <w:rsid w:val="00892E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51F3CC7-F8D7-463D-BC25-5D9262AF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Davis</cp:lastModifiedBy>
  <cp:revision>2</cp:revision>
  <dcterms:created xsi:type="dcterms:W3CDTF">2025-11-13T17:49:00Z</dcterms:created>
  <dcterms:modified xsi:type="dcterms:W3CDTF">2025-11-13T17:49:00Z</dcterms:modified>
  <cp:category/>
</cp:coreProperties>
</file>