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99%</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03/19/25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T- 98.5 F, HR- 68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144/83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03/20/25</w:t>
                  </w:r>
                </w:p>
              </w:tc>
              <w:tc>
                <w:tcPr>
                  <w:tcW w:w="2356" w:type="dxa"/>
                </w:tcPr>
                <w:p w14:paraId="40BBE46C" w14:textId="57AC7CAE" w:rsidR="005C5A1A" w:rsidRDefault="005C5A1A" w:rsidP="005C5A1A">
                  <w:pPr>
                    <w:rPr>
                      <w:b/>
                      <w:sz w:val="18"/>
                      <w:szCs w:val="18"/>
                    </w:rPr>
                  </w:pPr>
                  <w:r>
                    <w:rPr>
                      <w:b/>
                      <w:sz w:val="18"/>
                      <w:szCs w:val="18"/>
                    </w:rPr>
                    <w:t xml:space="preserve">             02:35-03:20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