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99%</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2/10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03/06/25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T- 99.3 F, HR- 83 bpm, RR - 20 per min BS 141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145/84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Upon today’s assessment patient's condition is stable, vital signs remain stable recently. Patient/PCG monitored with discharge instruction.</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SN informed Patient/PCG regarding possible discharge from services next visit. Patient/ PCG instructed re medication regimen -take all prescribed medications as ordered; if a dose is skipped never take double dose; do not stop taking medicine abruptly, keep your medicine in original container. Instructions are: measures to increase activity tolerance -use energy saving techniques, rest frequently during an activity, schedule an activity when most tolerated-after rest periods, after pain meds, at least one hour after meals; put most frequently used items within easy reach; eat a well-balanced diet; set realistic goals.</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evaluate Patient/Pcg regarding possible discharge.</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06:33-07:18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