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03/03/25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T- 98.1 F, HR- 75 bpm, RR - 18 per min BS 172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132/84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Upon today’s assessment patient's condition is stable, vital signs remain stable recently. Patient/PCG monitored with discharge instruction.</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SN informed Patient/PCG regarding possible discharge from services next visit. Patient/ PCG instructed re medication regimen -take all prescribed medications as ordered; if a dose is skipped never take double dose; do not stop taking medicine abruptly, keep your medicine in original container. Instructions are: measures to increase activity tolerance -use energy saving techniques, rest frequently during an activity, schedule an activity when most tolerated-after rest periods, after pain meds, at least one hour after meals; put most frequently used items within easy reach; eat a well-balanced diet; set realistic goals.</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evaluate Patient/Pcg regarding possible discharge.</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03/04/25</w:t>
                  </w:r>
                </w:p>
              </w:tc>
              <w:tc>
                <w:tcPr>
                  <w:tcW w:w="2356" w:type="dxa"/>
                </w:tcPr>
                <w:p w14:paraId="40BBE46C" w14:textId="57AC7CAE" w:rsidR="005C5A1A" w:rsidRDefault="005C5A1A" w:rsidP="005C5A1A">
                  <w:pPr>
                    <w:rPr>
                      <w:b/>
                      <w:sz w:val="18"/>
                      <w:szCs w:val="18"/>
                    </w:rPr>
                  </w:pPr>
                  <w:r>
                    <w:rPr>
                      <w:b/>
                      <w:sz w:val="18"/>
                      <w:szCs w:val="18"/>
                    </w:rPr>
                    <w:t xml:space="preserve">             06:48-07:33</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