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HR- 62 bpm, RR - 16 per min BS 164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141/82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40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[Detailed disease summary of approximately 150–200 words that includes causes, symptoms, and diagnostic results]. SN advised Patient/PCG to take medication Atorvastatin 40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