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95%</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Knees,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3/10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1 tablet by mouth daily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03/07/25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High Fiber, Low Sugar, Low Glycemic index, Nutrient-dense Diet, Low Cholesterol, High Fiber, Low Sugar, Low Glycemic index, Nutrient-dense Diet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T- 99.5 F, HR- 100 bpm, RR - 19 per min BS 174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136/73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Cardiovascular status due to old myocardial infarction. Knowledge deficit regarding measures to control old myocardial infarction and the medication amiodarone hcl 200 mg, 1 tablet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Old myocardial infarction, commonly known as a heart attack, occurs when blood flow to the heart muscle is abruptly cut off, leading to tissue damage. This is typically caused by a blockage in one or more coronary arteries due to plaque buildup. Symptoms may include chest pain, shortness of breath, and fatigue. Diagnosis often involves ECG, blood tests, and imaging studies. Management includes lifestyle changes, medications, and possibly surgical interventions. SN instructed Patient/PCG regarding the medication amiodarone hcl. Amiodarone is used to treat and prevent certain types of serious irregular heartbeats (arrhythmias). It works by relaxing the heart and stabilizing its rhythm. SN advised Patient/PCG to take medication amiodarone hcl 200 mg, 1 tablet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☒02 precautions ☒Fall precautions ☒Clear pathways ☒Infection control ☒Universal Precautions ☒911 protocol ☒COVID-19 Precautions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Tate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032-006</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PATTINSON, ROBERT</w:t>
                  </w:r>
                </w:p>
              </w:tc>
              <w:tc>
                <w:tcPr>
                  <w:tcW w:w="1604" w:type="dxa"/>
                </w:tcPr>
                <w:p w14:paraId="16150DB7" w14:textId="27F47622" w:rsidR="005C5A1A" w:rsidRDefault="005C5A1A" w:rsidP="005C5A1A">
                  <w:pPr>
                    <w:rPr>
                      <w:b/>
                      <w:sz w:val="18"/>
                      <w:szCs w:val="18"/>
                    </w:rPr>
                  </w:pPr>
                  <w:r>
                    <w:rPr>
                      <w:b/>
                      <w:sz w:val="18"/>
                      <w:szCs w:val="18"/>
                    </w:rPr>
                    <w:t xml:space="preserve"> 03/07/25</w:t>
                  </w:r>
                </w:p>
              </w:tc>
              <w:tc>
                <w:tcPr>
                  <w:tcW w:w="2356" w:type="dxa"/>
                </w:tcPr>
                <w:p w14:paraId="40BBE46C" w14:textId="57AC7CAE" w:rsidR="005C5A1A" w:rsidRDefault="005C5A1A" w:rsidP="005C5A1A">
                  <w:pPr>
                    <w:rPr>
                      <w:b/>
                      <w:sz w:val="18"/>
                      <w:szCs w:val="18"/>
                    </w:rPr>
                  </w:pPr>
                  <w:r>
                    <w:rPr>
                      <w:b/>
                      <w:sz w:val="18"/>
                      <w:szCs w:val="18"/>
                    </w:rPr>
                    <w:t xml:space="preserve">             21:31-22:16</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