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11111"/>
          <w:sz w:val="52"/>
        </w:rPr>
        <w:t>Solakuti Newsroom</w:t>
      </w:r>
    </w:p>
    <w:p>
      <w:pPr>
        <w:spacing w:after="280"/>
      </w:pPr>
      <w:r>
        <w:rPr>
          <w:b/>
          <w:i w:val="0"/>
          <w:color w:val="D71920"/>
          <w:sz w:val="32"/>
        </w:rPr>
        <w:t>Journalist Onboarding Note</w:t>
      </w:r>
    </w:p>
    <w:tbl>
      <w:tblPr>
        <w:tblW w:type="auto" w:w="0"/>
        <w:tblLook w:firstColumn="1" w:firstRow="1" w:lastColumn="0" w:lastRow="0" w:noHBand="0" w:noVBand="1" w:val="04A0"/>
      </w:tblPr>
      <w:tblGrid>
        <w:gridCol w:w="9360"/>
      </w:tblGrid>
      <w:tr>
        <w:tc>
          <w:tcPr>
            <w:tcW w:type="dxa" w:w="9360"/>
            <w:shd w:fill="F4F1EC"/>
          </w:tcPr>
          <w:p>
            <w:r/>
            <w:r>
              <w:rPr>
                <w:b/>
                <w:sz w:val="20"/>
              </w:rPr>
              <w:t>Prepared by David Ansa</w:t>
            </w:r>
            <w:r>
              <w:rPr>
                <w:b w:val="0"/>
                <w:color w:val="5A5A5A"/>
                <w:sz w:val="20"/>
              </w:rPr>
              <w:t xml:space="preserve">  |  For Administration and Editorial Staff</w:t>
            </w:r>
          </w:p>
        </w:tc>
      </w:tr>
    </w:tbl>
    <w:p>
      <w:pPr>
        <w:spacing w:after="120"/>
      </w:pPr>
    </w:p>
    <w:p>
      <w:pPr>
        <w:pStyle w:val="Heading1"/>
      </w:pPr>
      <w:r>
        <w:t>Why This Changed</w:t>
      </w:r>
    </w:p>
    <w:p>
      <w:pPr>
        <w:spacing w:after="160"/>
      </w:pPr>
      <w:r>
        <w:rPr>
          <w:b w:val="0"/>
          <w:i w:val="0"/>
          <w:sz w:val="22"/>
        </w:rPr>
        <w:t xml:space="preserve">Every Solakuti article was published under a single anonymous byline: </w:t>
      </w:r>
      <w:r>
        <w:rPr>
          <w:b/>
          <w:i w:val="0"/>
          <w:sz w:val="22"/>
        </w:rPr>
        <w:t>“News Desk.”</w:t>
      </w:r>
      <w:r>
        <w:rPr>
          <w:b w:val="0"/>
          <w:i w:val="0"/>
          <w:sz w:val="22"/>
        </w:rPr>
        <w:t xml:space="preserve"> All 1,146 of them.</w:t>
      </w:r>
    </w:p>
    <w:p>
      <w:pPr>
        <w:spacing w:after="160"/>
      </w:pPr>
      <w:r>
        <w:rPr>
          <w:b w:val="0"/>
          <w:i w:val="0"/>
          <w:sz w:val="22"/>
        </w:rPr>
        <w:t xml:space="preserve">Google evaluates news sites on </w:t>
      </w:r>
      <w:r>
        <w:rPr>
          <w:b/>
          <w:i w:val="0"/>
          <w:sz w:val="22"/>
        </w:rPr>
        <w:t>E-E-A-T</w:t>
      </w:r>
      <w:r>
        <w:rPr>
          <w:b w:val="0"/>
          <w:i w:val="0"/>
          <w:sz w:val="22"/>
        </w:rPr>
        <w:t xml:space="preserve"> — Experience, Expertise, Authoritativeness, Trust. A site with over a thousand articles and no identifiable human behind any of them fails that standard, and it is a significant reason our AdSense applications kept being rejected as “low value content.”</w:t>
      </w:r>
    </w:p>
    <w:p>
      <w:pPr>
        <w:spacing w:after="160"/>
      </w:pPr>
      <w:r>
        <w:rPr>
          <w:b w:val="0"/>
          <w:i w:val="0"/>
          <w:sz w:val="22"/>
        </w:rPr>
        <w:t xml:space="preserve">From now on, </w:t>
      </w:r>
      <w:r>
        <w:rPr>
          <w:b/>
          <w:i w:val="0"/>
          <w:sz w:val="22"/>
        </w:rPr>
        <w:t>every byline belongs to a real, named person with a public profile.</w:t>
      </w:r>
      <w:r>
        <w:rPr>
          <w:b w:val="0"/>
          <w:i w:val="0"/>
          <w:sz w:val="22"/>
        </w:rPr>
        <w:t xml:space="preserve"> This note explains how to get onboarded and how editors bring new writers in.</w:t>
      </w:r>
    </w:p>
    <w:p>
      <w:pPr>
        <w:pStyle w:val="Heading1"/>
      </w:pPr>
      <w:r>
        <w:t>For Journalists: Getting Your Account</w:t>
      </w:r>
    </w:p>
    <w:p>
      <w:pPr>
        <w:pStyle w:val="Heading2"/>
      </w:pPr>
      <w:r>
        <w:t>If you received an invitation link</w:t>
      </w:r>
    </w:p>
    <w:p>
      <w:pPr>
        <w:pStyle w:val="ListNumber"/>
        <w:spacing w:after="80"/>
      </w:pPr>
      <w:r>
        <w:rPr>
          <w:b w:val="0"/>
          <w:i w:val="0"/>
          <w:sz w:val="22"/>
        </w:rPr>
        <w:t>Open the link an editor sent you. It looks like www.solakuti.com/join?token=…</w:t>
      </w:r>
    </w:p>
    <w:p>
      <w:pPr>
        <w:pStyle w:val="ListNumber"/>
        <w:spacing w:after="80"/>
      </w:pPr>
      <w:r>
        <w:rPr>
          <w:b w:val="0"/>
          <w:i w:val="0"/>
          <w:sz w:val="22"/>
        </w:rPr>
        <w:t>Complete your profile (requirements below).</w:t>
      </w:r>
    </w:p>
    <w:p>
      <w:pPr>
        <w:pStyle w:val="ListNumber"/>
        <w:spacing w:after="80"/>
      </w:pPr>
      <w:r>
        <w:rPr>
          <w:b w:val="0"/>
          <w:i w:val="0"/>
          <w:sz w:val="22"/>
        </w:rPr>
        <w:t>Submit — your account is active immediately and you can sign in at /admin.</w:t>
      </w:r>
    </w:p>
    <w:tbl>
      <w:tblPr>
        <w:tblStyle w:val="TableGrid"/>
        <w:tblW w:type="auto" w:w="0"/>
        <w:tblLook w:firstColumn="1" w:firstRow="1" w:lastColumn="0" w:lastRow="0" w:noHBand="0" w:noVBand="1" w:val="04A0"/>
      </w:tblPr>
      <w:tblGrid>
        <w:gridCol w:w="9360"/>
      </w:tblGrid>
      <w:tr>
        <w:tc>
          <w:tcPr>
            <w:tcW w:type="dxa" w:w="9360"/>
            <w:shd w:fill="FBF3F3"/>
          </w:tcPr>
          <w:p>
            <w:r/>
            <w:r>
              <w:rPr>
                <w:b/>
                <w:color w:val="D71920"/>
                <w:sz w:val="20"/>
              </w:rPr>
              <w:t xml:space="preserve">Note: </w:t>
            </w:r>
            <w:r>
              <w:rPr>
                <w:sz w:val="20"/>
              </w:rPr>
              <w:t>Invitation links expire after 14 days and can only be used once. If yours has expired, ask an editor for a new one.</w:t>
            </w:r>
          </w:p>
        </w:tc>
      </w:tr>
    </w:tbl>
    <w:p>
      <w:pPr>
        <w:spacing w:after="80"/>
      </w:pPr>
    </w:p>
    <w:p>
      <w:pPr>
        <w:pStyle w:val="Heading2"/>
      </w:pPr>
      <w:r>
        <w:t>If you are applying on your own</w:t>
      </w:r>
    </w:p>
    <w:p>
      <w:pPr>
        <w:pStyle w:val="ListNumber"/>
        <w:spacing w:after="80"/>
      </w:pPr>
      <w:r>
        <w:rPr>
          <w:b w:val="0"/>
          <w:i w:val="0"/>
          <w:sz w:val="22"/>
        </w:rPr>
        <w:t>Go to www.solakuti.com/write-for-us</w:t>
      </w:r>
    </w:p>
    <w:p>
      <w:pPr>
        <w:pStyle w:val="ListNumber"/>
        <w:spacing w:after="80"/>
      </w:pPr>
      <w:r>
        <w:rPr>
          <w:b w:val="0"/>
          <w:i w:val="0"/>
          <w:sz w:val="22"/>
        </w:rPr>
        <w:t>Complete the same profile form.</w:t>
      </w:r>
    </w:p>
    <w:p>
      <w:pPr>
        <w:pStyle w:val="ListNumber"/>
        <w:spacing w:after="80"/>
      </w:pPr>
      <w:r>
        <w:rPr>
          <w:b w:val="0"/>
          <w:i w:val="0"/>
          <w:sz w:val="22"/>
        </w:rPr>
        <w:t>An editor reviews your application.</w:t>
      </w:r>
    </w:p>
    <w:p>
      <w:pPr>
        <w:spacing w:after="160"/>
      </w:pPr>
      <w:r>
        <w:rPr>
          <w:b w:val="0"/>
          <w:i w:val="0"/>
          <w:sz w:val="22"/>
        </w:rPr>
        <w:t xml:space="preserve">You can sign in while pending, but </w:t>
      </w:r>
      <w:r>
        <w:rPr>
          <w:b/>
          <w:i w:val="0"/>
          <w:sz w:val="22"/>
        </w:rPr>
        <w:t>you cannot publish until an editor approves you.</w:t>
      </w:r>
    </w:p>
    <w:p>
      <w:pPr>
        <w:pStyle w:val="Heading2"/>
      </w:pPr>
      <w:r>
        <w:t>What you must provide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11111"/>
          </w:tcPr>
          <w:p>
            <w:r/>
            <w:r>
              <w:rPr>
                <w:b/>
                <w:color w:val="FFFFFF"/>
                <w:sz w:val="20"/>
              </w:rPr>
              <w:t>Field</w:t>
            </w:r>
          </w:p>
        </w:tc>
        <w:tc>
          <w:tcPr>
            <w:tcW w:type="dxa" w:w="1296"/>
            <w:shd w:fill="111111"/>
          </w:tcPr>
          <w:p>
            <w:r/>
            <w:r>
              <w:rPr>
                <w:b/>
                <w:color w:val="FFFFFF"/>
                <w:sz w:val="20"/>
              </w:rPr>
              <w:t>Required</w:t>
            </w:r>
          </w:p>
        </w:tc>
        <w:tc>
          <w:tcPr>
            <w:tcW w:type="dxa" w:w="5760"/>
            <w:shd w:fill="111111"/>
          </w:tcPr>
          <w:p>
            <w:r/>
            <w:r>
              <w:rPr>
                <w:b/>
                <w:color w:val="FFFFFF"/>
                <w:sz w:val="20"/>
              </w:rPr>
              <w:t>Notes</w:t>
            </w:r>
          </w:p>
        </w:tc>
      </w:tr>
      <w:tr>
        <w:tc>
          <w:tcPr>
            <w:tcW w:type="dxa" w:w="1872"/>
          </w:tcPr>
          <w:p>
            <w:r/>
            <w:r>
              <w:rPr>
                <w:sz w:val="20"/>
              </w:rPr>
              <w:t>Full name</w:t>
            </w:r>
          </w:p>
        </w:tc>
        <w:tc>
          <w:tcPr>
            <w:tcW w:type="dxa" w:w="1296"/>
          </w:tcPr>
          <w:p>
            <w:r/>
            <w:r>
              <w:rPr>
                <w:b/>
                <w:color w:val="1B7F3B"/>
                <w:sz w:val="20"/>
              </w:rPr>
              <w:t>Yes</w:t>
            </w:r>
          </w:p>
        </w:tc>
        <w:tc>
          <w:tcPr>
            <w:tcW w:type="dxa" w:w="5760"/>
          </w:tcPr>
          <w:p>
            <w:r/>
            <w:r>
              <w:rPr>
                <w:sz w:val="20"/>
              </w:rPr>
              <w:t>Your real first and last name. Single names are rejected.</w:t>
            </w:r>
          </w:p>
        </w:tc>
      </w:tr>
      <w:tr>
        <w:tc>
          <w:tcPr>
            <w:tcW w:type="dxa" w:w="1872"/>
          </w:tcPr>
          <w:p>
            <w:r/>
            <w:r>
              <w:rPr>
                <w:sz w:val="20"/>
              </w:rPr>
              <w:t>Profile photo</w:t>
            </w:r>
          </w:p>
        </w:tc>
        <w:tc>
          <w:tcPr>
            <w:tcW w:type="dxa" w:w="1296"/>
          </w:tcPr>
          <w:p>
            <w:r/>
            <w:r>
              <w:rPr>
                <w:b/>
                <w:color w:val="1B7F3B"/>
                <w:sz w:val="20"/>
              </w:rPr>
              <w:t>Yes</w:t>
            </w:r>
          </w:p>
        </w:tc>
        <w:tc>
          <w:tcPr>
            <w:tcW w:type="dxa" w:w="5760"/>
          </w:tcPr>
          <w:p>
            <w:r/>
            <w:r>
              <w:rPr>
                <w:sz w:val="20"/>
              </w:rPr>
              <w:t>A real headshot. Readers should see who wrote the story.</w:t>
            </w:r>
          </w:p>
        </w:tc>
      </w:tr>
      <w:tr>
        <w:tc>
          <w:tcPr>
            <w:tcW w:type="dxa" w:w="1872"/>
          </w:tcPr>
          <w:p>
            <w:r/>
            <w:r>
              <w:rPr>
                <w:sz w:val="20"/>
              </w:rPr>
              <w:t>Biography</w:t>
            </w:r>
          </w:p>
        </w:tc>
        <w:tc>
          <w:tcPr>
            <w:tcW w:type="dxa" w:w="1296"/>
          </w:tcPr>
          <w:p>
            <w:r/>
            <w:r>
              <w:rPr>
                <w:b/>
                <w:color w:val="1B7F3B"/>
                <w:sz w:val="20"/>
              </w:rPr>
              <w:t>Yes</w:t>
            </w:r>
          </w:p>
        </w:tc>
        <w:tc>
          <w:tcPr>
            <w:tcW w:type="dxa" w:w="5760"/>
          </w:tcPr>
          <w:p>
            <w:r/>
            <w:r>
              <w:rPr>
                <w:sz w:val="20"/>
              </w:rPr>
              <w:t>Minimum 80 characters. Your background and the subjects you cover.</w:t>
            </w:r>
          </w:p>
        </w:tc>
      </w:tr>
      <w:tr>
        <w:tc>
          <w:tcPr>
            <w:tcW w:type="dxa" w:w="1872"/>
          </w:tcPr>
          <w:p>
            <w:r/>
            <w:r>
              <w:rPr>
                <w:sz w:val="20"/>
              </w:rPr>
              <w:t>Password</w:t>
            </w:r>
          </w:p>
        </w:tc>
        <w:tc>
          <w:tcPr>
            <w:tcW w:type="dxa" w:w="1296"/>
          </w:tcPr>
          <w:p>
            <w:r/>
            <w:r>
              <w:rPr>
                <w:b/>
                <w:color w:val="1B7F3B"/>
                <w:sz w:val="20"/>
              </w:rPr>
              <w:t>Yes</w:t>
            </w:r>
          </w:p>
        </w:tc>
        <w:tc>
          <w:tcPr>
            <w:tcW w:type="dxa" w:w="5760"/>
          </w:tcPr>
          <w:p>
            <w:r/>
            <w:r>
              <w:rPr>
                <w:sz w:val="20"/>
              </w:rPr>
              <w:t>Minimum 8 characters.</w:t>
            </w:r>
          </w:p>
        </w:tc>
      </w:tr>
      <w:tr>
        <w:tc>
          <w:tcPr>
            <w:tcW w:type="dxa" w:w="1872"/>
          </w:tcPr>
          <w:p>
            <w:r/>
            <w:r>
              <w:rPr>
                <w:sz w:val="20"/>
              </w:rPr>
              <w:t>Email</w:t>
            </w:r>
          </w:p>
        </w:tc>
        <w:tc>
          <w:tcPr>
            <w:tcW w:type="dxa" w:w="1296"/>
          </w:tcPr>
          <w:p>
            <w:r/>
            <w:r>
              <w:rPr>
                <w:b/>
                <w:color w:val="1B7F3B"/>
                <w:sz w:val="20"/>
              </w:rPr>
              <w:t>Yes</w:t>
            </w:r>
          </w:p>
        </w:tc>
        <w:tc>
          <w:tcPr>
            <w:tcW w:type="dxa" w:w="5760"/>
          </w:tcPr>
          <w:p>
            <w:r/>
            <w:r>
              <w:rPr>
                <w:sz w:val="20"/>
              </w:rPr>
              <w:t>Pre-filled and locked if you were invited.</w:t>
            </w:r>
          </w:p>
        </w:tc>
      </w:tr>
      <w:tr>
        <w:tc>
          <w:tcPr>
            <w:tcW w:type="dxa" w:w="1872"/>
          </w:tcPr>
          <w:p>
            <w:r/>
            <w:r>
              <w:rPr>
                <w:sz w:val="20"/>
              </w:rPr>
              <w:t>X (Twitter)</w:t>
            </w:r>
          </w:p>
        </w:tc>
        <w:tc>
          <w:tcPr>
            <w:tcW w:type="dxa" w:w="1296"/>
          </w:tcPr>
          <w:p>
            <w:r/>
            <w:r>
              <w:rPr>
                <w:sz w:val="20"/>
              </w:rPr>
              <w:t>Optional</w:t>
            </w:r>
          </w:p>
        </w:tc>
        <w:tc>
          <w:tcPr>
            <w:tcW w:type="dxa" w:w="5760"/>
          </w:tcPr>
          <w:p>
            <w:r/>
            <w:r>
              <w:rPr>
                <w:sz w:val="20"/>
              </w:rPr>
              <w:t>Strongly encouraged — helps readers verify you are real.</w:t>
            </w:r>
          </w:p>
        </w:tc>
      </w:tr>
      <w:tr>
        <w:tc>
          <w:tcPr>
            <w:tcW w:type="dxa" w:w="1872"/>
          </w:tcPr>
          <w:p>
            <w:r/>
            <w:r>
              <w:rPr>
                <w:sz w:val="20"/>
              </w:rPr>
              <w:t>LinkedIn</w:t>
            </w:r>
          </w:p>
        </w:tc>
        <w:tc>
          <w:tcPr>
            <w:tcW w:type="dxa" w:w="1296"/>
          </w:tcPr>
          <w:p>
            <w:r/>
            <w:r>
              <w:rPr>
                <w:sz w:val="20"/>
              </w:rPr>
              <w:t>Optional</w:t>
            </w:r>
          </w:p>
        </w:tc>
        <w:tc>
          <w:tcPr>
            <w:tcW w:type="dxa" w:w="5760"/>
          </w:tcPr>
          <w:p>
            <w:r/>
            <w:r>
              <w:rPr>
                <w:sz w:val="20"/>
              </w:rPr>
              <w:t>Same.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fill="FBF3F3"/>
          </w:tcPr>
          <w:p>
            <w:r/>
            <w:r>
              <w:rPr>
                <w:b/>
                <w:color w:val="D71920"/>
                <w:sz w:val="20"/>
              </w:rPr>
              <w:t xml:space="preserve">Important: </w:t>
            </w:r>
            <w:r>
              <w:rPr>
                <w:sz w:val="20"/>
              </w:rPr>
              <w:t>Your bio and photo are public. They appear on your author page and on every article you publish. Write the bio for readers, not for the form — it is part of how Google and our audience judge whether Solakuti is trustworthy.</w:t>
            </w:r>
          </w:p>
        </w:tc>
      </w:tr>
    </w:tbl>
    <w:p>
      <w:pPr>
        <w:spacing w:after="80"/>
      </w:pPr>
    </w:p>
    <w:p>
      <w:pPr>
        <w:pStyle w:val="Heading2"/>
      </w:pPr>
      <w:r>
        <w:t>Writing a bio that works</w:t>
      </w:r>
    </w:p>
    <w:p>
      <w:pPr>
        <w:spacing w:after="40"/>
      </w:pPr>
      <w:r>
        <w:rPr>
          <w:b/>
          <w:i w:val="0"/>
          <w:sz w:val="22"/>
        </w:rPr>
        <w:t>Too thin (will be rejected):</w:t>
      </w:r>
    </w:p>
    <w:p>
      <w:pPr>
        <w:spacing w:after="160"/>
      </w:pPr>
      <w:r>
        <w:rPr>
          <w:b w:val="0"/>
          <w:i/>
          <w:color w:val="5A5A5A"/>
          <w:sz w:val="22"/>
        </w:rPr>
        <w:t>Journalist at Solakuti.</w:t>
      </w:r>
    </w:p>
    <w:p>
      <w:pPr>
        <w:spacing w:after="40"/>
      </w:pPr>
      <w:r>
        <w:rPr>
          <w:b/>
          <w:i w:val="0"/>
          <w:sz w:val="22"/>
        </w:rPr>
        <w:t>Good:</w:t>
      </w:r>
    </w:p>
    <w:p>
      <w:pPr>
        <w:spacing w:after="160"/>
      </w:pPr>
      <w:r>
        <w:rPr>
          <w:b w:val="0"/>
          <w:i/>
          <w:color w:val="5A5A5A"/>
          <w:sz w:val="22"/>
        </w:rPr>
        <w:t>Chidi Okeke is a Lagos-based political correspondent covering the National Assembly, election administration and public accountability. He has reported on Nigerian politics since 2019.</w:t>
      </w:r>
    </w:p>
    <w:p>
      <w:pPr>
        <w:spacing w:after="160"/>
      </w:pPr>
      <w:r>
        <w:rPr>
          <w:b w:val="0"/>
          <w:i w:val="0"/>
          <w:sz w:val="22"/>
        </w:rPr>
        <w:t>State where you are based, what you cover, and what gives you standing to cover it.</w:t>
      </w:r>
    </w:p>
    <w:p>
      <w:r>
        <w:br w:type="page"/>
      </w:r>
    </w:p>
    <w:p>
      <w:pPr>
        <w:pStyle w:val="Heading1"/>
      </w:pPr>
      <w:r>
        <w:t>For Editors: Bringing Someone In</w:t>
      </w:r>
    </w:p>
    <w:p>
      <w:pPr>
        <w:spacing w:after="160"/>
      </w:pPr>
      <w:r>
        <w:rPr>
          <w:b w:val="0"/>
          <w:i w:val="0"/>
          <w:sz w:val="22"/>
        </w:rPr>
        <w:t xml:space="preserve">All controls live in the </w:t>
      </w:r>
      <w:r>
        <w:rPr>
          <w:b/>
          <w:i w:val="0"/>
          <w:sz w:val="22"/>
        </w:rPr>
        <w:t>Journalists</w:t>
      </w:r>
      <w:r>
        <w:rPr>
          <w:b w:val="0"/>
          <w:i w:val="0"/>
          <w:sz w:val="22"/>
        </w:rPr>
        <w:t xml:space="preserve"> panel of the admin dashboard (/admin, below the article queue).</w:t>
      </w:r>
    </w:p>
    <w:p>
      <w:pPr>
        <w:pStyle w:val="Heading2"/>
      </w:pPr>
      <w:r>
        <w:t>Inviting someone</w:t>
      </w:r>
    </w:p>
    <w:p>
      <w:pPr>
        <w:pStyle w:val="ListNumber"/>
        <w:spacing w:after="80"/>
      </w:pPr>
      <w:r>
        <w:rPr>
          <w:b w:val="0"/>
          <w:i w:val="0"/>
          <w:sz w:val="22"/>
        </w:rPr>
        <w:t>Enter their email address.</w:t>
      </w:r>
    </w:p>
    <w:p>
      <w:pPr>
        <w:pStyle w:val="ListNumber"/>
        <w:spacing w:after="80"/>
      </w:pPr>
      <w:r>
        <w:rPr>
          <w:b w:val="0"/>
          <w:i w:val="0"/>
          <w:sz w:val="22"/>
        </w:rPr>
        <w:t>Pick a role — Journalist, Editor, or Contributor.</w:t>
      </w:r>
    </w:p>
    <w:p>
      <w:pPr>
        <w:pStyle w:val="ListNumber"/>
        <w:spacing w:after="80"/>
      </w:pPr>
      <w:r>
        <w:rPr>
          <w:b w:val="0"/>
          <w:i w:val="0"/>
          <w:sz w:val="22"/>
        </w:rPr>
        <w:t>Add an optional note (e.g. “Politics desk”).</w:t>
      </w:r>
    </w:p>
    <w:p>
      <w:pPr>
        <w:pStyle w:val="ListNumber"/>
        <w:spacing w:after="80"/>
      </w:pPr>
      <w:r>
        <w:rPr>
          <w:b w:val="0"/>
          <w:i w:val="0"/>
          <w:sz w:val="22"/>
        </w:rPr>
        <w:t>Click Create invite link.</w:t>
      </w:r>
    </w:p>
    <w:p>
      <w:pPr>
        <w:pStyle w:val="ListNumber"/>
        <w:spacing w:after="80"/>
      </w:pPr>
      <w:r>
        <w:rPr>
          <w:b w:val="0"/>
          <w:i w:val="0"/>
          <w:sz w:val="22"/>
        </w:rPr>
        <w:t>Click Copy link and send it to them by email or WhatsApp.</w:t>
      </w:r>
    </w:p>
    <w:tbl>
      <w:tblPr>
        <w:tblStyle w:val="TableGrid"/>
        <w:tblW w:type="auto" w:w="0"/>
        <w:tblLook w:firstColumn="1" w:firstRow="1" w:lastColumn="0" w:lastRow="0" w:noHBand="0" w:noVBand="1" w:val="04A0"/>
      </w:tblPr>
      <w:tblGrid>
        <w:gridCol w:w="9360"/>
      </w:tblGrid>
      <w:tr>
        <w:tc>
          <w:tcPr>
            <w:tcW w:type="dxa" w:w="9360"/>
            <w:shd w:fill="FBF3F3"/>
          </w:tcPr>
          <w:p>
            <w:r/>
            <w:r>
              <w:rPr>
                <w:b/>
                <w:color w:val="D71920"/>
                <w:sz w:val="20"/>
              </w:rPr>
              <w:t xml:space="preserve">Note: </w:t>
            </w:r>
            <w:r>
              <w:rPr>
                <w:sz w:val="20"/>
              </w:rPr>
              <w:t>We do not have automated email yet, so invite links must be sent manually. This is intentional for now — it keeps onboarding deliberate.</w:t>
            </w:r>
          </w:p>
        </w:tc>
      </w:tr>
    </w:tbl>
    <w:p>
      <w:pPr>
        <w:spacing w:after="80"/>
      </w:pPr>
    </w:p>
    <w:p>
      <w:pPr>
        <w:spacing w:after="160"/>
      </w:pPr>
      <w:r>
        <w:rPr>
          <w:b w:val="0"/>
          <w:i w:val="0"/>
          <w:sz w:val="22"/>
        </w:rPr>
        <w:t xml:space="preserve">Invited journalists are </w:t>
      </w:r>
      <w:r>
        <w:rPr>
          <w:b/>
          <w:i w:val="0"/>
          <w:sz w:val="22"/>
        </w:rPr>
        <w:t>auto-verified</w:t>
      </w:r>
      <w:r>
        <w:rPr>
          <w:b w:val="0"/>
          <w:i w:val="0"/>
          <w:sz w:val="22"/>
        </w:rPr>
        <w:t xml:space="preserve"> and can publish as soon as they complete their profile. Only invite people you have actually vetted.</w:t>
      </w:r>
    </w:p>
    <w:p>
      <w:pPr>
        <w:pStyle w:val="Heading2"/>
      </w:pPr>
      <w:r>
        <w:t>Reviewing applications</w:t>
      </w:r>
    </w:p>
    <w:p>
      <w:pPr>
        <w:spacing w:after="160"/>
      </w:pPr>
      <w:r>
        <w:rPr>
          <w:b w:val="0"/>
          <w:i w:val="0"/>
          <w:sz w:val="22"/>
        </w:rPr>
        <w:t>Applications from /write-for-us appear under Byline applications with the applicant's photo, name and bio.</w:t>
      </w:r>
    </w:p>
    <w:p>
      <w:pPr>
        <w:pStyle w:val="ListBullet"/>
        <w:spacing w:after="80"/>
      </w:pPr>
      <w:r>
        <w:rPr>
          <w:b/>
          <w:i w:val="0"/>
          <w:sz w:val="22"/>
        </w:rPr>
        <w:t>Approve</w:t>
      </w:r>
      <w:r>
        <w:rPr>
          <w:b w:val="0"/>
          <w:i w:val="0"/>
          <w:sz w:val="22"/>
        </w:rPr>
        <w:t xml:space="preserve"> — promotes them to Journalist; they can now publish.</w:t>
      </w:r>
    </w:p>
    <w:p>
      <w:pPr>
        <w:pStyle w:val="ListBullet"/>
        <w:spacing w:after="80"/>
      </w:pPr>
      <w:r>
        <w:rPr>
          <w:b/>
          <w:i w:val="0"/>
          <w:sz w:val="22"/>
        </w:rPr>
        <w:t>Decline</w:t>
      </w:r>
      <w:r>
        <w:rPr>
          <w:b w:val="0"/>
          <w:i w:val="0"/>
          <w:sz w:val="22"/>
        </w:rPr>
        <w:t xml:space="preserve"> — deactivates the account; the record is kept.</w:t>
      </w:r>
    </w:p>
    <w:p>
      <w:pPr>
        <w:spacing w:after="160"/>
      </w:pPr>
      <w:r>
        <w:rPr>
          <w:b w:val="0"/>
          <w:i w:val="0"/>
          <w:sz w:val="22"/>
        </w:rPr>
        <w:t xml:space="preserve">Before approving, ask: </w:t>
      </w:r>
      <w:r>
        <w:rPr>
          <w:b w:val="0"/>
          <w:i/>
          <w:sz w:val="22"/>
        </w:rPr>
        <w:t>would I be comfortable with this person's name and face on a Solakuti story?</w:t>
      </w:r>
      <w:r>
        <w:rPr>
          <w:b w:val="0"/>
          <w:i w:val="0"/>
          <w:sz w:val="22"/>
        </w:rPr>
        <w:t xml:space="preserve"> If the bio is vague, the photo is not a real headshot, or you cannot establish that they are who they claim, decline it.</w:t>
      </w:r>
    </w:p>
    <w:tbl>
      <w:tblPr>
        <w:tblStyle w:val="TableGrid"/>
        <w:tblW w:type="auto" w:w="0"/>
        <w:tblLook w:firstColumn="1" w:firstRow="1" w:lastColumn="0" w:lastRow="0" w:noHBand="0" w:noVBand="1" w:val="04A0"/>
      </w:tblPr>
      <w:tblGrid>
        <w:gridCol w:w="9360"/>
      </w:tblGrid>
      <w:tr>
        <w:tc>
          <w:tcPr>
            <w:tcW w:type="dxa" w:w="9360"/>
            <w:shd w:fill="FBF3F3"/>
          </w:tcPr>
          <w:p>
            <w:r/>
            <w:r>
              <w:rPr>
                <w:b/>
                <w:color w:val="D71920"/>
                <w:sz w:val="20"/>
              </w:rPr>
              <w:t xml:space="preserve">Warning: </w:t>
            </w:r>
            <w:r>
              <w:rPr>
                <w:sz w:val="20"/>
              </w:rPr>
              <w:t>Never create fabricated author profiles to fill the site out. An invented journalist is worse than an anonymous one — it is a trust violation that can get Solakuti permanently banned from AdSense rather than merely rejected.</w:t>
            </w:r>
          </w:p>
        </w:tc>
      </w:tr>
    </w:tbl>
    <w:p>
      <w:pPr>
        <w:spacing w:after="80"/>
      </w:pPr>
    </w:p>
    <w:p>
      <w:pPr>
        <w:pStyle w:val="Heading2"/>
      </w:pPr>
      <w:r>
        <w:t>Revoking an invite</w:t>
      </w:r>
    </w:p>
    <w:p>
      <w:pPr>
        <w:spacing w:after="160"/>
      </w:pPr>
      <w:r>
        <w:rPr>
          <w:b w:val="0"/>
          <w:i w:val="0"/>
          <w:sz w:val="22"/>
        </w:rPr>
        <w:t>Click Revoke on any open invitation and the link stops working immediately. Accepted invitations cannot be revoked — deactivate the user account instead.</w:t>
      </w:r>
    </w:p>
    <w:p>
      <w:pPr>
        <w:pStyle w:val="Heading1"/>
      </w:pPr>
      <w:r>
        <w:t>Roles and What They Can Do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11111"/>
          </w:tcPr>
          <w:p>
            <w:r/>
            <w:r>
              <w:rPr>
                <w:b/>
                <w:color w:val="FFFFFF"/>
                <w:sz w:val="20"/>
              </w:rPr>
              <w:t>Role</w:t>
            </w:r>
          </w:p>
        </w:tc>
        <w:tc>
          <w:tcPr>
            <w:tcW w:type="dxa" w:w="1296"/>
            <w:shd w:fill="111111"/>
          </w:tcPr>
          <w:p>
            <w:r/>
            <w:r>
              <w:rPr>
                <w:b/>
                <w:color w:val="FFFFFF"/>
                <w:sz w:val="20"/>
              </w:rPr>
              <w:t>Publish</w:t>
            </w:r>
          </w:p>
        </w:tc>
        <w:tc>
          <w:tcPr>
            <w:tcW w:type="dxa" w:w="2016"/>
            <w:shd w:fill="111111"/>
          </w:tcPr>
          <w:p>
            <w:r/>
            <w:r>
              <w:rPr>
                <w:b/>
                <w:color w:val="FFFFFF"/>
                <w:sz w:val="20"/>
              </w:rPr>
              <w:t>Manage invites</w:t>
            </w:r>
          </w:p>
        </w:tc>
        <w:tc>
          <w:tcPr>
            <w:tcW w:type="dxa" w:w="2160"/>
            <w:shd w:fill="111111"/>
          </w:tcPr>
          <w:p>
            <w:r/>
            <w:r>
              <w:rPr>
                <w:b/>
                <w:color w:val="FFFFFF"/>
                <w:sz w:val="20"/>
              </w:rPr>
              <w:t>Approve applicants</w:t>
            </w:r>
          </w:p>
        </w:tc>
        <w:tc>
          <w:tcPr>
            <w:tcW w:type="dxa" w:w="1728"/>
            <w:shd w:fill="111111"/>
          </w:tcPr>
          <w:p>
            <w:r/>
            <w:r>
              <w:rPr>
                <w:b/>
                <w:color w:val="FFFFFF"/>
                <w:sz w:val="20"/>
              </w:rPr>
              <w:t>Manage users</w:t>
            </w:r>
          </w:p>
        </w:tc>
      </w:tr>
      <w:tr>
        <w:tc>
          <w:tcPr>
            <w:tcW w:type="dxa" w:w="1872"/>
          </w:tcPr>
          <w:p>
            <w:r/>
            <w:r>
              <w:rPr>
                <w:sz w:val="20"/>
              </w:rPr>
              <w:t>Admin</w:t>
            </w:r>
          </w:p>
        </w:tc>
        <w:tc>
          <w:tcPr>
            <w:tcW w:type="dxa" w:w="1296"/>
          </w:tcPr>
          <w:p>
            <w:r/>
            <w:r>
              <w:rPr>
                <w:b/>
                <w:color w:val="1B7F3B"/>
                <w:sz w:val="20"/>
              </w:rPr>
              <w:t>Yes</w:t>
            </w:r>
          </w:p>
        </w:tc>
        <w:tc>
          <w:tcPr>
            <w:tcW w:type="dxa" w:w="2016"/>
          </w:tcPr>
          <w:p>
            <w:r/>
            <w:r>
              <w:rPr>
                <w:b/>
                <w:color w:val="1B7F3B"/>
                <w:sz w:val="20"/>
              </w:rPr>
              <w:t>Yes</w:t>
            </w:r>
          </w:p>
        </w:tc>
        <w:tc>
          <w:tcPr>
            <w:tcW w:type="dxa" w:w="2160"/>
          </w:tcPr>
          <w:p>
            <w:r/>
            <w:r>
              <w:rPr>
                <w:b/>
                <w:color w:val="1B7F3B"/>
                <w:sz w:val="20"/>
              </w:rPr>
              <w:t>Yes</w:t>
            </w:r>
          </w:p>
        </w:tc>
        <w:tc>
          <w:tcPr>
            <w:tcW w:type="dxa" w:w="1728"/>
          </w:tcPr>
          <w:p>
            <w:r/>
            <w:r>
              <w:rPr>
                <w:b/>
                <w:color w:val="1B7F3B"/>
                <w:sz w:val="20"/>
              </w:rPr>
              <w:t>Yes</w:t>
            </w:r>
          </w:p>
        </w:tc>
      </w:tr>
      <w:tr>
        <w:tc>
          <w:tcPr>
            <w:tcW w:type="dxa" w:w="1872"/>
          </w:tcPr>
          <w:p>
            <w:r/>
            <w:r>
              <w:rPr>
                <w:sz w:val="20"/>
              </w:rPr>
              <w:t>Editor</w:t>
            </w:r>
          </w:p>
        </w:tc>
        <w:tc>
          <w:tcPr>
            <w:tcW w:type="dxa" w:w="1296"/>
          </w:tcPr>
          <w:p>
            <w:r/>
            <w:r>
              <w:rPr>
                <w:b/>
                <w:color w:val="1B7F3B"/>
                <w:sz w:val="20"/>
              </w:rPr>
              <w:t>Yes</w:t>
            </w:r>
          </w:p>
        </w:tc>
        <w:tc>
          <w:tcPr>
            <w:tcW w:type="dxa" w:w="2016"/>
          </w:tcPr>
          <w:p>
            <w:r/>
            <w:r>
              <w:rPr>
                <w:b/>
                <w:color w:val="1B7F3B"/>
                <w:sz w:val="20"/>
              </w:rPr>
              <w:t>Yes</w:t>
            </w:r>
          </w:p>
        </w:tc>
        <w:tc>
          <w:tcPr>
            <w:tcW w:type="dxa" w:w="2160"/>
          </w:tcPr>
          <w:p>
            <w:r/>
            <w:r>
              <w:rPr>
                <w:b/>
                <w:color w:val="999999"/>
                <w:sz w:val="20"/>
              </w:rPr>
              <w:t>No</w:t>
            </w:r>
          </w:p>
        </w:tc>
        <w:tc>
          <w:tcPr>
            <w:tcW w:type="dxa" w:w="1728"/>
          </w:tcPr>
          <w:p>
            <w:r/>
            <w:r>
              <w:rPr>
                <w:b/>
                <w:color w:val="999999"/>
                <w:sz w:val="20"/>
              </w:rPr>
              <w:t>No</w:t>
            </w:r>
          </w:p>
        </w:tc>
      </w:tr>
      <w:tr>
        <w:tc>
          <w:tcPr>
            <w:tcW w:type="dxa" w:w="1872"/>
          </w:tcPr>
          <w:p>
            <w:r/>
            <w:r>
              <w:rPr>
                <w:sz w:val="20"/>
              </w:rPr>
              <w:t>Journalist</w:t>
            </w:r>
          </w:p>
        </w:tc>
        <w:tc>
          <w:tcPr>
            <w:tcW w:type="dxa" w:w="1296"/>
          </w:tcPr>
          <w:p>
            <w:r/>
            <w:r>
              <w:rPr>
                <w:b/>
                <w:color w:val="1B7F3B"/>
                <w:sz w:val="20"/>
              </w:rPr>
              <w:t>Yes</w:t>
            </w:r>
          </w:p>
        </w:tc>
        <w:tc>
          <w:tcPr>
            <w:tcW w:type="dxa" w:w="2016"/>
          </w:tcPr>
          <w:p>
            <w:r/>
            <w:r>
              <w:rPr>
                <w:b/>
                <w:color w:val="999999"/>
                <w:sz w:val="20"/>
              </w:rPr>
              <w:t>No</w:t>
            </w:r>
          </w:p>
        </w:tc>
        <w:tc>
          <w:tcPr>
            <w:tcW w:type="dxa" w:w="2160"/>
          </w:tcPr>
          <w:p>
            <w:r/>
            <w:r>
              <w:rPr>
                <w:b/>
                <w:color w:val="999999"/>
                <w:sz w:val="20"/>
              </w:rPr>
              <w:t>No</w:t>
            </w:r>
          </w:p>
        </w:tc>
        <w:tc>
          <w:tcPr>
            <w:tcW w:type="dxa" w:w="1728"/>
          </w:tcPr>
          <w:p>
            <w:r/>
            <w:r>
              <w:rPr>
                <w:b/>
                <w:color w:val="999999"/>
                <w:sz w:val="20"/>
              </w:rPr>
              <w:t>No</w:t>
            </w:r>
          </w:p>
        </w:tc>
      </w:tr>
      <w:tr>
        <w:tc>
          <w:tcPr>
            <w:tcW w:type="dxa" w:w="1872"/>
          </w:tcPr>
          <w:p>
            <w:r/>
            <w:r>
              <w:rPr>
                <w:sz w:val="20"/>
              </w:rPr>
              <w:t>Contributor</w:t>
            </w:r>
          </w:p>
        </w:tc>
        <w:tc>
          <w:tcPr>
            <w:tcW w:type="dxa" w:w="1296"/>
          </w:tcPr>
          <w:p>
            <w:r/>
            <w:r>
              <w:rPr>
                <w:b/>
                <w:color w:val="999999"/>
                <w:sz w:val="20"/>
              </w:rPr>
              <w:t>No</w:t>
            </w:r>
          </w:p>
        </w:tc>
        <w:tc>
          <w:tcPr>
            <w:tcW w:type="dxa" w:w="2016"/>
          </w:tcPr>
          <w:p>
            <w:r/>
            <w:r>
              <w:rPr>
                <w:b/>
                <w:color w:val="999999"/>
                <w:sz w:val="20"/>
              </w:rPr>
              <w:t>No</w:t>
            </w:r>
          </w:p>
        </w:tc>
        <w:tc>
          <w:tcPr>
            <w:tcW w:type="dxa" w:w="2160"/>
          </w:tcPr>
          <w:p>
            <w:r/>
            <w:r>
              <w:rPr>
                <w:b/>
                <w:color w:val="999999"/>
                <w:sz w:val="20"/>
              </w:rPr>
              <w:t>No</w:t>
            </w:r>
          </w:p>
        </w:tc>
        <w:tc>
          <w:tcPr>
            <w:tcW w:type="dxa" w:w="1728"/>
          </w:tcPr>
          <w:p>
            <w:r/>
            <w:r>
              <w:rPr>
                <w:b/>
                <w:color w:val="999999"/>
                <w:sz w:val="20"/>
              </w:rPr>
              <w:t>No</w:t>
            </w:r>
          </w:p>
        </w:tc>
      </w:tr>
    </w:tbl>
    <w:p>
      <w:pPr>
        <w:spacing w:after="80"/>
      </w:pPr>
    </w:p>
    <w:p>
      <w:pPr>
        <w:spacing w:after="160"/>
      </w:pPr>
      <w:r>
        <w:rPr>
          <w:b/>
          <w:i w:val="0"/>
          <w:sz w:val="22"/>
        </w:rPr>
        <w:t>Contributor</w:t>
      </w:r>
      <w:r>
        <w:rPr>
          <w:b w:val="0"/>
          <w:i w:val="0"/>
          <w:sz w:val="22"/>
        </w:rPr>
        <w:t xml:space="preserve"> is also the role given to ordinary readers who register to comment. Registering as a reader never grants publishing rights — that separation is deliberate.</w:t>
      </w:r>
    </w:p>
    <w:p>
      <w:pPr>
        <w:spacing w:after="160"/>
      </w:pPr>
      <w:r>
        <w:rPr>
          <w:b w:val="0"/>
          <w:i w:val="0"/>
          <w:sz w:val="22"/>
        </w:rPr>
        <w:t xml:space="preserve">An account can only publish when it is </w:t>
      </w:r>
      <w:r>
        <w:rPr>
          <w:b/>
          <w:i w:val="0"/>
          <w:sz w:val="22"/>
        </w:rPr>
        <w:t>both</w:t>
      </w:r>
      <w:r>
        <w:rPr>
          <w:b w:val="0"/>
          <w:i w:val="0"/>
          <w:sz w:val="22"/>
        </w:rPr>
        <w:t xml:space="preserve"> verified </w:t>
      </w:r>
      <w:r>
        <w:rPr>
          <w:b/>
          <w:i w:val="0"/>
          <w:sz w:val="22"/>
        </w:rPr>
        <w:t>and</w:t>
      </w:r>
      <w:r>
        <w:rPr>
          <w:b w:val="0"/>
          <w:i w:val="0"/>
          <w:sz w:val="22"/>
        </w:rPr>
        <w:t xml:space="preserve"> holds an Admin, Editor or Journalist role.</w:t>
      </w:r>
    </w:p>
    <w:p>
      <w:pPr>
        <w:pStyle w:val="Heading1"/>
      </w:pPr>
      <w:r>
        <w:t>Rules That Are Enforced, Not Suggested</w:t>
      </w:r>
    </w:p>
    <w:p>
      <w:pPr>
        <w:spacing w:after="160"/>
      </w:pPr>
      <w:r>
        <w:rPr>
          <w:b w:val="0"/>
          <w:i w:val="0"/>
          <w:sz w:val="22"/>
        </w:rPr>
        <w:t>These are validated by the system, so they cannot be bypassed:</w:t>
      </w:r>
    </w:p>
    <w:p>
      <w:pPr>
        <w:pStyle w:val="ListBullet"/>
        <w:spacing w:after="80"/>
      </w:pPr>
      <w:r>
        <w:rPr>
          <w:b w:val="0"/>
          <w:i w:val="0"/>
          <w:sz w:val="22"/>
        </w:rPr>
        <w:t>A byline requires a real first and last name.</w:t>
      </w:r>
    </w:p>
    <w:p>
      <w:pPr>
        <w:pStyle w:val="ListBullet"/>
        <w:spacing w:after="80"/>
      </w:pPr>
      <w:r>
        <w:rPr>
          <w:b w:val="0"/>
          <w:i w:val="0"/>
          <w:sz w:val="22"/>
        </w:rPr>
        <w:t>A byline requires a profile photo.</w:t>
      </w:r>
    </w:p>
    <w:p>
      <w:pPr>
        <w:pStyle w:val="ListBullet"/>
        <w:spacing w:after="80"/>
      </w:pPr>
      <w:r>
        <w:rPr>
          <w:b w:val="0"/>
          <w:i w:val="0"/>
          <w:sz w:val="22"/>
        </w:rPr>
        <w:t>A byline requires a bio of at least 80 characters.</w:t>
      </w:r>
    </w:p>
    <w:p>
      <w:pPr>
        <w:pStyle w:val="ListBullet"/>
        <w:spacing w:after="80"/>
      </w:pPr>
      <w:r>
        <w:rPr>
          <w:b w:val="0"/>
          <w:i w:val="0"/>
          <w:sz w:val="22"/>
        </w:rPr>
        <w:t>Invites cannot create Admin accounts.</w:t>
      </w:r>
    </w:p>
    <w:p>
      <w:pPr>
        <w:pStyle w:val="ListBullet"/>
        <w:spacing w:after="80"/>
      </w:pPr>
      <w:r>
        <w:rPr>
          <w:b w:val="0"/>
          <w:i w:val="0"/>
          <w:sz w:val="22"/>
        </w:rPr>
        <w:t>Invites cannot target an email that already has an account.</w:t>
      </w:r>
    </w:p>
    <w:p>
      <w:pPr>
        <w:pStyle w:val="ListBullet"/>
        <w:spacing w:after="80"/>
      </w:pPr>
      <w:r>
        <w:rPr>
          <w:b w:val="0"/>
          <w:i w:val="0"/>
          <w:sz w:val="22"/>
        </w:rPr>
        <w:t>An email cannot have two pending invites at once.</w:t>
      </w:r>
    </w:p>
    <w:p>
      <w:pPr>
        <w:pStyle w:val="ListBullet"/>
        <w:spacing w:after="80"/>
      </w:pPr>
      <w:r>
        <w:rPr>
          <w:b w:val="0"/>
          <w:i w:val="0"/>
          <w:sz w:val="22"/>
        </w:rPr>
        <w:t>Invite links are single-use and expire after 14 days.</w:t>
      </w:r>
    </w:p>
    <w:p>
      <w:pPr>
        <w:pStyle w:val="ListBullet"/>
        <w:spacing w:after="80"/>
      </w:pPr>
      <w:r>
        <w:rPr>
          <w:b w:val="0"/>
          <w:i w:val="0"/>
          <w:sz w:val="22"/>
        </w:rPr>
        <w:t>Reader registration can never grant publishing rights.</w:t>
      </w:r>
    </w:p>
    <w:p>
      <w:pPr>
        <w:pStyle w:val="Heading1"/>
      </w:pPr>
      <w:r>
        <w:t>Still To Come</w:t>
      </w:r>
    </w:p>
    <w:p>
      <w:pPr>
        <w:spacing w:after="160"/>
      </w:pPr>
      <w:r>
        <w:rPr>
          <w:b/>
          <w:i w:val="0"/>
          <w:sz w:val="22"/>
        </w:rPr>
        <w:t>Existing articles have not been reassigned yet.</w:t>
      </w:r>
      <w:r>
        <w:rPr>
          <w:b w:val="0"/>
          <w:i w:val="0"/>
          <w:sz w:val="22"/>
        </w:rPr>
        <w:t xml:space="preserve"> All 1,146 published stories still carry the “News Desk” byline. Once real journalists are onboarded, historical articles will be reassigned to their actual authors. Until that happens, the AdSense problem is only partly solved.</w:t>
      </w:r>
    </w:p>
    <w:p>
      <w:pPr>
        <w:spacing w:after="80"/>
      </w:pPr>
      <w:r>
        <w:rPr>
          <w:b w:val="0"/>
          <w:i w:val="0"/>
          <w:sz w:val="22"/>
        </w:rPr>
        <w:t>Other known gaps:</w:t>
      </w:r>
    </w:p>
    <w:p>
      <w:pPr>
        <w:pStyle w:val="ListBullet"/>
        <w:spacing w:after="80"/>
      </w:pPr>
      <w:r>
        <w:rPr>
          <w:b/>
          <w:i w:val="0"/>
          <w:sz w:val="22"/>
        </w:rPr>
        <w:t>No automated email</w:t>
      </w:r>
      <w:r>
        <w:rPr>
          <w:b w:val="0"/>
          <w:i w:val="0"/>
          <w:sz w:val="22"/>
        </w:rPr>
        <w:t xml:space="preserve"> — invite links and password resets are shared manually.</w:t>
      </w:r>
    </w:p>
    <w:p>
      <w:pPr>
        <w:pStyle w:val="ListBullet"/>
        <w:spacing w:after="80"/>
      </w:pPr>
      <w:r>
        <w:rPr>
          <w:b/>
          <w:i w:val="0"/>
          <w:sz w:val="22"/>
        </w:rPr>
        <w:t>Article depth</w:t>
      </w:r>
      <w:r>
        <w:rPr>
          <w:b w:val="0"/>
          <w:i w:val="0"/>
          <w:sz w:val="22"/>
        </w:rPr>
        <w:t xml:space="preserve"> — our articles average roughly 550 words. Google reads short, derivative coverage as low value. Aim for original framing, context and consequence, not a summary of what someone said.</w:t>
      </w:r>
    </w:p>
    <w:p>
      <w:pPr>
        <w:pStyle w:val="ListBullet"/>
        <w:spacing w:after="80"/>
      </w:pPr>
      <w:r>
        <w:rPr>
          <w:b/>
          <w:i w:val="0"/>
          <w:sz w:val="22"/>
        </w:rPr>
        <w:t>Source attribution</w:t>
      </w:r>
      <w:r>
        <w:rPr>
          <w:b w:val="0"/>
          <w:i w:val="0"/>
          <w:sz w:val="22"/>
        </w:rPr>
        <w:t xml:space="preserve"> — where a story builds on another outlet's reporting, credit it.</w:t>
      </w:r>
    </w:p>
    <w:p>
      <w:pPr>
        <w:pStyle w:val="Heading1"/>
      </w:pPr>
      <w:r>
        <w:t>Questions</w:t>
      </w:r>
    </w:p>
    <w:p>
      <w:pPr>
        <w:spacing w:after="160"/>
      </w:pPr>
      <w:r>
        <w:rPr>
          <w:b w:val="0"/>
          <w:i w:val="0"/>
          <w:sz w:val="22"/>
        </w:rPr>
        <w:t xml:space="preserve">Editorial and access issues: </w:t>
      </w:r>
      <w:r>
        <w:rPr>
          <w:b/>
          <w:i w:val="0"/>
          <w:sz w:val="22"/>
        </w:rPr>
        <w:t>editorial@solakuti.com</w:t>
      </w:r>
    </w:p>
    <w:p>
      <w:pPr>
        <w:spacing w:after="160"/>
      </w:pPr>
      <w:r>
        <w:rPr>
          <w:b w:val="0"/>
          <w:i w:val="0"/>
          <w:color w:val="5A5A5A"/>
          <w:sz w:val="20"/>
        </w:rPr>
        <w:t>See also the Solakuti Editorial Policy at www.solakuti.com/editorial-policy</w:t>
      </w:r>
    </w:p>
    <w:p/>
    <w:p>
      <w:pPr>
        <w:spacing w:after="40"/>
        <w:jc w:val="center"/>
      </w:pPr>
      <w:r>
        <w:rPr>
          <w:b w:val="0"/>
          <w:i w:val="0"/>
          <w:color w:val="5A5A5A"/>
          <w:sz w:val="22"/>
        </w:rPr>
        <w:t>—</w:t>
      </w:r>
    </w:p>
    <w:p>
      <w:pPr>
        <w:spacing w:after="160"/>
        <w:jc w:val="center"/>
      </w:pPr>
      <w:r>
        <w:rPr>
          <w:b w:val="0"/>
          <w:i w:val="0"/>
          <w:color w:val="5A5A5A"/>
          <w:sz w:val="18"/>
        </w:rPr>
        <w:t>Prepared by David Ansa for Administration  ·  Solakuti Media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D71920"/>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