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7C" w:rsidRPr="009A6EA0" w:rsidRDefault="003A1D7C" w:rsidP="009A6E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EA0">
        <w:rPr>
          <w:rFonts w:ascii="Times New Roman" w:hAnsi="Times New Roman" w:cs="Times New Roman"/>
          <w:b/>
          <w:sz w:val="24"/>
          <w:szCs w:val="24"/>
        </w:rPr>
        <w:t>“MOTIVACIÓN”</w:t>
      </w:r>
    </w:p>
    <w:p w:rsidR="003A1D7C" w:rsidRPr="009A6EA0" w:rsidRDefault="003A1D7C" w:rsidP="009A6EA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6EA0">
        <w:rPr>
          <w:rFonts w:ascii="Times New Roman" w:hAnsi="Times New Roman" w:cs="Times New Roman"/>
          <w:sz w:val="24"/>
          <w:szCs w:val="24"/>
          <w:shd w:val="clear" w:color="auto" w:fill="FFFFFF"/>
        </w:rPr>
        <w:t>Cada año aumenta entre un 6 y 8% los pacientes con</w:t>
      </w:r>
      <w:r w:rsidR="00CC7D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A6EA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insuficiencia renal crónica</w:t>
      </w:r>
      <w:r w:rsidRPr="009A6EA0">
        <w:rPr>
          <w:rFonts w:ascii="Times New Roman" w:hAnsi="Times New Roman" w:cs="Times New Roman"/>
          <w:sz w:val="24"/>
          <w:szCs w:val="24"/>
        </w:rPr>
        <w:t xml:space="preserve"> en el</w:t>
      </w:r>
      <w:r w:rsidR="00E5182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A6EA0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mundo</w:t>
        </w:r>
      </w:hyperlink>
      <w:r w:rsidRPr="009A6EA0">
        <w:rPr>
          <w:rFonts w:ascii="Times New Roman" w:hAnsi="Times New Roman" w:cs="Times New Roman"/>
          <w:sz w:val="24"/>
          <w:szCs w:val="24"/>
        </w:rPr>
        <w:t>, según la</w:t>
      </w:r>
      <w:r w:rsidR="00CC7DB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A6EA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 xml:space="preserve">Asociación Colombiana de Nefrología e Hipertensión Arterial, </w:t>
      </w:r>
      <w:proofErr w:type="spellStart"/>
      <w:r w:rsidRPr="009A6EA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Asocolnef</w:t>
      </w:r>
      <w:proofErr w:type="spellEnd"/>
      <w:r w:rsidRPr="009A6E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A1D7C" w:rsidRPr="00FA1D5D" w:rsidRDefault="003A1D7C" w:rsidP="009A6EA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6EA0">
        <w:rPr>
          <w:rFonts w:ascii="Times New Roman" w:hAnsi="Times New Roman" w:cs="Times New Roman"/>
          <w:sz w:val="24"/>
          <w:szCs w:val="24"/>
        </w:rPr>
        <w:t xml:space="preserve">Igualmente afirma junto al Fondo Colombiano de Enfermedades de Alto Costo (Cuenta de Alto Costo), que </w:t>
      </w:r>
      <w:r w:rsidRPr="00785589">
        <w:rPr>
          <w:rFonts w:ascii="Times New Roman" w:hAnsi="Times New Roman" w:cs="Times New Roman"/>
          <w:sz w:val="24"/>
          <w:szCs w:val="24"/>
          <w:highlight w:val="yellow"/>
        </w:rPr>
        <w:t>en</w:t>
      </w:r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6" w:history="1">
        <w:r w:rsidRPr="0078558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highlight w:val="yellow"/>
          </w:rPr>
          <w:t>Colombia</w:t>
        </w:r>
      </w:hyperlink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5589">
        <w:rPr>
          <w:rFonts w:ascii="Times New Roman" w:hAnsi="Times New Roman" w:cs="Times New Roman"/>
          <w:sz w:val="24"/>
          <w:szCs w:val="24"/>
          <w:highlight w:val="yellow"/>
        </w:rPr>
        <w:t>se estima que</w:t>
      </w:r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5589">
        <w:rPr>
          <w:rStyle w:val="Textoennegrita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más de 20 mil personas</w:t>
      </w:r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8558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están en tratamientos de</w:t>
      </w:r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85589">
        <w:rPr>
          <w:rStyle w:val="Textoennegrita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diálisis</w:t>
      </w:r>
      <w:r w:rsidR="00785589" w:rsidRPr="00785589">
        <w:rPr>
          <w:rStyle w:val="apple-converted-space"/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78558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y una de cada diez personas puede tener algún compromiso de su riñón, pues quienes sufren de diabetes o hipertensión y que están en edades avanzadas, pueden ser más propensas a presentar la enfermedad.</w:t>
      </w:r>
    </w:p>
    <w:p w:rsidR="00FA1D5D" w:rsidRPr="00FA1D5D" w:rsidRDefault="00FA1D5D" w:rsidP="009A6EA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D5D">
        <w:rPr>
          <w:rFonts w:ascii="Times New Roman" w:hAnsi="Times New Roman" w:cs="Times New Roman"/>
          <w:sz w:val="24"/>
          <w:szCs w:val="24"/>
          <w:shd w:val="clear" w:color="auto" w:fill="E0E7DA"/>
        </w:rPr>
        <w:t>Normalmente se sugiere referir al nefrólog</w:t>
      </w:r>
      <w:r w:rsidR="00785589">
        <w:rPr>
          <w:rFonts w:ascii="Times New Roman" w:hAnsi="Times New Roman" w:cs="Times New Roman"/>
          <w:sz w:val="24"/>
          <w:szCs w:val="24"/>
          <w:shd w:val="clear" w:color="auto" w:fill="E0E7DA"/>
        </w:rPr>
        <w:t>o cualquier paciente con un IFG</w:t>
      </w:r>
      <w:r w:rsidRPr="00FA1D5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≤ a 30 ml/min/1.73 m2 SC, para el manejo compartido entre el médico de atención primaria y el nefrólogo, pero esto implica que ya se ha disminuido en 2/3 la IFG. Actualmente se sugiere que esta </w:t>
      </w:r>
      <w:r w:rsidR="00785589">
        <w:rPr>
          <w:rFonts w:ascii="Times New Roman" w:hAnsi="Times New Roman" w:cs="Times New Roman"/>
          <w:sz w:val="24"/>
          <w:szCs w:val="24"/>
          <w:shd w:val="clear" w:color="auto" w:fill="E0E7DA"/>
        </w:rPr>
        <w:t>consulta se haga ya con valores</w:t>
      </w:r>
      <w:r w:rsidRPr="00FA1D5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≤ a 60 ml/min/1.73 m2 SC, dado que es en esos valores cuando comienza a aumentar el riesgo de </w:t>
      </w:r>
      <w:proofErr w:type="spellStart"/>
      <w:r w:rsidRPr="00FA1D5D">
        <w:rPr>
          <w:rFonts w:ascii="Times New Roman" w:hAnsi="Times New Roman" w:cs="Times New Roman"/>
          <w:sz w:val="24"/>
          <w:szCs w:val="24"/>
          <w:shd w:val="clear" w:color="auto" w:fill="E0E7DA"/>
        </w:rPr>
        <w:t>comorbilidad</w:t>
      </w:r>
      <w:proofErr w:type="spellEnd"/>
      <w:r w:rsidRPr="00FA1D5D">
        <w:rPr>
          <w:rFonts w:ascii="Times New Roman" w:hAnsi="Times New Roman" w:cs="Times New Roman"/>
          <w:sz w:val="24"/>
          <w:szCs w:val="24"/>
          <w:shd w:val="clear" w:color="auto" w:fill="E0E7DA"/>
        </w:rPr>
        <w:t>.</w:t>
      </w:r>
      <w:r w:rsidR="007855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FA1D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E0E7DA"/>
        </w:rPr>
        <w:t>Por esta razón nuestro proyecto toma valores menores a 60 ml/min</w:t>
      </w:r>
    </w:p>
    <w:p w:rsidR="003A1D7C" w:rsidRPr="009A6EA0" w:rsidRDefault="003A1D7C" w:rsidP="009A6E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EA0">
        <w:rPr>
          <w:rFonts w:ascii="Times New Roman" w:hAnsi="Times New Roman" w:cs="Times New Roman"/>
          <w:b/>
          <w:sz w:val="24"/>
          <w:szCs w:val="24"/>
        </w:rPr>
        <w:t>¿POR QUÉ DETECCIÓN TEMPRANA?</w:t>
      </w:r>
    </w:p>
    <w:p w:rsidR="003A1D7C" w:rsidRPr="009A6EA0" w:rsidRDefault="003A1D7C" w:rsidP="009A6EA0">
      <w:pPr>
        <w:jc w:val="both"/>
        <w:rPr>
          <w:rFonts w:ascii="Times New Roman" w:hAnsi="Times New Roman" w:cs="Times New Roman"/>
          <w:sz w:val="24"/>
          <w:szCs w:val="24"/>
        </w:rPr>
      </w:pPr>
      <w:r w:rsidRPr="009A6EA0">
        <w:rPr>
          <w:rFonts w:ascii="Times New Roman" w:hAnsi="Times New Roman" w:cs="Times New Roman"/>
          <w:sz w:val="24"/>
          <w:szCs w:val="24"/>
          <w:shd w:val="clear" w:color="auto" w:fill="FFFFFF"/>
        </w:rPr>
        <w:t>“La insuficiencia renal crónica se conoce como la pérdida permanente de alguna función renal o un mal funcionamiento de los riñones, y la mayoría de los problemas renales no presentan ningún tipo de síntoma hasta que la enfermedad avanza y se descubre de manera tardía, por esta razón hay que estar alerta”, dijo</w:t>
      </w:r>
      <w:r w:rsidR="007855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A6EA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 xml:space="preserve">Rafael Gómez, presidente de </w:t>
      </w:r>
      <w:proofErr w:type="spellStart"/>
      <w:r w:rsidRPr="009A6EA0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Asocolnef</w:t>
      </w:r>
      <w:proofErr w:type="spellEnd"/>
      <w:r w:rsidRPr="009A6E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04628" w:rsidRPr="009A6EA0" w:rsidRDefault="00704628" w:rsidP="00704628">
      <w:pPr>
        <w:rPr>
          <w:rFonts w:ascii="Times New Roman" w:hAnsi="Times New Roman" w:cs="Times New Roman"/>
          <w:b/>
          <w:sz w:val="24"/>
          <w:szCs w:val="24"/>
        </w:rPr>
      </w:pPr>
      <w:r w:rsidRPr="009A6EA0">
        <w:rPr>
          <w:rFonts w:ascii="Times New Roman" w:hAnsi="Times New Roman" w:cs="Times New Roman"/>
          <w:b/>
          <w:sz w:val="24"/>
          <w:szCs w:val="24"/>
        </w:rPr>
        <w:t>MEDICIÓN</w:t>
      </w:r>
    </w:p>
    <w:p w:rsidR="00704628" w:rsidRPr="00704628" w:rsidRDefault="00704628" w:rsidP="0070462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04628">
        <w:rPr>
          <w:rFonts w:ascii="Times New Roman" w:hAnsi="Times New Roman" w:cs="Times New Roman"/>
          <w:b/>
          <w:sz w:val="24"/>
          <w:szCs w:val="24"/>
        </w:rPr>
        <w:t xml:space="preserve">Fórmula de </w:t>
      </w:r>
      <w:proofErr w:type="spellStart"/>
      <w:r w:rsidRPr="00704628">
        <w:rPr>
          <w:rFonts w:ascii="Times New Roman" w:hAnsi="Times New Roman" w:cs="Times New Roman"/>
          <w:b/>
          <w:sz w:val="24"/>
          <w:szCs w:val="24"/>
        </w:rPr>
        <w:t>Cockcroft</w:t>
      </w:r>
      <w:proofErr w:type="spellEnd"/>
      <w:r w:rsidRPr="00704628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704628">
        <w:rPr>
          <w:rFonts w:ascii="Times New Roman" w:hAnsi="Times New Roman" w:cs="Times New Roman"/>
          <w:b/>
          <w:sz w:val="24"/>
          <w:szCs w:val="24"/>
        </w:rPr>
        <w:t>Gault</w:t>
      </w:r>
      <w:proofErr w:type="spellEnd"/>
    </w:p>
    <w:p w:rsidR="00704628" w:rsidRPr="00704628" w:rsidRDefault="00704628" w:rsidP="007046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B42BC6" w:rsidP="00704628">
      <w:pPr>
        <w:pStyle w:val="Sinespaciado"/>
        <w:rPr>
          <w:rFonts w:ascii="Times New Roman" w:eastAsiaTheme="minorEastAsia" w:hAnsi="Times New Roman" w:cs="Times New Roman"/>
          <w:i/>
          <w:sz w:val="24"/>
          <w:szCs w:val="24"/>
          <w:lang w:eastAsia="es-CO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(140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edad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os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))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Peso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plasma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mg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/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dl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)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72 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es-CO"/>
            </w:rPr>
            <m:t xml:space="preserve"> </m:t>
          </m:r>
        </m:oMath>
      </m:oMathPara>
    </w:p>
    <w:p w:rsidR="00704628" w:rsidRPr="00704628" w:rsidRDefault="00704628" w:rsidP="00704628">
      <w:pPr>
        <w:pStyle w:val="Sinespaciado"/>
        <w:rPr>
          <w:rFonts w:ascii="Times New Roman" w:eastAsiaTheme="minorEastAsia" w:hAnsi="Times New Roman" w:cs="Times New Roman"/>
          <w:i/>
          <w:sz w:val="24"/>
          <w:szCs w:val="24"/>
          <w:lang w:eastAsia="es-CO"/>
        </w:rPr>
      </w:pPr>
    </w:p>
    <w:p w:rsidR="00704628" w:rsidRPr="00704628" w:rsidRDefault="00704628" w:rsidP="00704628">
      <w:pPr>
        <w:pStyle w:val="Sinespaciado"/>
        <w:rPr>
          <w:rFonts w:ascii="Times New Roman" w:eastAsiaTheme="minorEastAsia" w:hAnsi="Times New Roman" w:cs="Times New Roman"/>
          <w:sz w:val="24"/>
          <w:szCs w:val="24"/>
          <w:lang w:eastAsia="es-CO"/>
        </w:rPr>
      </w:pPr>
      <w:r w:rsidRPr="00704628">
        <w:rPr>
          <w:rFonts w:ascii="Times New Roman" w:eastAsiaTheme="minorEastAsia" w:hAnsi="Times New Roman" w:cs="Times New Roman"/>
          <w:sz w:val="24"/>
          <w:szCs w:val="24"/>
          <w:lang w:eastAsia="es-CO"/>
        </w:rPr>
        <w:tab/>
        <w:t>Cuando es para mujeres la fórmula se multiplica por 0,85</w:t>
      </w: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704628">
        <w:rPr>
          <w:rFonts w:ascii="Times New Roman" w:hAnsi="Times New Roman" w:cs="Times New Roman"/>
          <w:sz w:val="24"/>
          <w:szCs w:val="24"/>
        </w:rPr>
        <w:t xml:space="preserve">Cr: </w:t>
      </w:r>
      <w:proofErr w:type="spellStart"/>
      <w:r w:rsidRPr="00704628">
        <w:rPr>
          <w:rFonts w:ascii="Times New Roman" w:hAnsi="Times New Roman" w:cs="Times New Roman"/>
          <w:sz w:val="24"/>
          <w:szCs w:val="24"/>
        </w:rPr>
        <w:t>Creatinina</w:t>
      </w:r>
      <w:proofErr w:type="spellEnd"/>
      <w:r w:rsidRPr="00704628">
        <w:rPr>
          <w:rFonts w:ascii="Times New Roman" w:hAnsi="Times New Roman" w:cs="Times New Roman"/>
          <w:sz w:val="24"/>
          <w:szCs w:val="24"/>
        </w:rPr>
        <w:t xml:space="preserve"> plasmática (mg/dl)</w:t>
      </w:r>
    </w:p>
    <w:p w:rsidR="00704628" w:rsidRPr="00704628" w:rsidRDefault="00704628" w:rsidP="0070462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04628">
        <w:rPr>
          <w:rFonts w:ascii="Times New Roman" w:hAnsi="Times New Roman" w:cs="Times New Roman"/>
          <w:b/>
          <w:sz w:val="24"/>
          <w:szCs w:val="24"/>
        </w:rPr>
        <w:t>Fórmula abreviada de MDRD</w:t>
      </w:r>
    </w:p>
    <w:p w:rsidR="00704628" w:rsidRPr="00704628" w:rsidRDefault="00704628" w:rsidP="00704628">
      <w:pPr>
        <w:pStyle w:val="Sinespaciad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628" w:rsidRPr="00704628" w:rsidRDefault="00B42BC6" w:rsidP="00704628">
      <w:pPr>
        <w:pStyle w:val="Sinespaciad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es-CO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186 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plasma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</m:t>
                  </m:r>
                </m:e>
                <m:sup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1.154 </m:t>
                  </m:r>
                </m:sup>
              </m:sSup>
              <m:r>
                <w:rPr>
                  <w:rFonts w:ascii="Times New Roman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edad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es-CO"/>
                </w:rPr>
                <m:t>–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es-CO"/>
                </w:rPr>
                <m:t xml:space="preserve"> 0.203</m:t>
              </m:r>
            </m:sup>
          </m:sSup>
        </m:oMath>
      </m:oMathPara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04628">
        <w:rPr>
          <w:rFonts w:ascii="Times New Roman" w:hAnsi="Times New Roman" w:cs="Times New Roman"/>
          <w:sz w:val="24"/>
          <w:szCs w:val="24"/>
        </w:rPr>
        <w:tab/>
        <w:t>Cuando es mujer la ecuación se multiplica por 0.742</w:t>
      </w: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04628">
        <w:rPr>
          <w:rFonts w:ascii="Times New Roman" w:hAnsi="Times New Roman" w:cs="Times New Roman"/>
          <w:sz w:val="24"/>
          <w:szCs w:val="24"/>
        </w:rPr>
        <w:tab/>
        <w:t>Cuando es afroamericano la ecuación se multiplica por 1.210</w:t>
      </w: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628">
        <w:rPr>
          <w:rFonts w:ascii="Times New Roman" w:hAnsi="Times New Roman" w:cs="Times New Roman"/>
          <w:b/>
          <w:sz w:val="24"/>
          <w:szCs w:val="24"/>
        </w:rPr>
        <w:t>Creatinina</w:t>
      </w:r>
      <w:proofErr w:type="spellEnd"/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704628">
        <w:rPr>
          <w:rFonts w:ascii="Times New Roman" w:hAnsi="Times New Roman" w:cs="Times New Roman"/>
          <w:b/>
          <w:sz w:val="24"/>
          <w:szCs w:val="24"/>
        </w:rPr>
        <w:lastRenderedPageBreak/>
        <w:t>VALORES NORMALES</w:t>
      </w: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704628" w:rsidRPr="00704628" w:rsidRDefault="008D5A9F" w:rsidP="0070462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Aclaramiento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creatinina</w:t>
      </w:r>
      <w:proofErr w:type="spellEnd"/>
    </w:p>
    <w:p w:rsidR="00704628" w:rsidRPr="00704628" w:rsidRDefault="00704628" w:rsidP="00704628">
      <w:pPr>
        <w:pStyle w:val="Sinespaciad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628" w:rsidRDefault="001E18F7" w:rsidP="008D5A9F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9</w:t>
      </w:r>
      <w:r w:rsidR="008D5A9F">
        <w:rPr>
          <w:rFonts w:ascii="Times New Roman" w:hAnsi="Times New Roman" w:cs="Times New Roman"/>
          <w:sz w:val="24"/>
          <w:szCs w:val="24"/>
        </w:rPr>
        <w:t>0 ml/min</w:t>
      </w:r>
      <w:r>
        <w:rPr>
          <w:rFonts w:ascii="Times New Roman" w:hAnsi="Times New Roman" w:cs="Times New Roman"/>
          <w:sz w:val="24"/>
          <w:szCs w:val="24"/>
        </w:rPr>
        <w:t xml:space="preserve"> Tasa de filtración glomerular</w:t>
      </w:r>
    </w:p>
    <w:p w:rsidR="008D5A9F" w:rsidRPr="00704628" w:rsidRDefault="008D5A9F" w:rsidP="008D5A9F">
      <w:pPr>
        <w:pStyle w:val="Sinespaciado"/>
        <w:ind w:left="708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628">
        <w:rPr>
          <w:rFonts w:ascii="Times New Roman" w:hAnsi="Times New Roman" w:cs="Times New Roman"/>
          <w:b/>
          <w:sz w:val="24"/>
          <w:szCs w:val="24"/>
        </w:rPr>
        <w:t>Creatinina</w:t>
      </w:r>
      <w:proofErr w:type="spellEnd"/>
    </w:p>
    <w:p w:rsid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Sinespaciado"/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4628">
        <w:rPr>
          <w:rFonts w:ascii="Times New Roman" w:hAnsi="Times New Roman" w:cs="Times New Roman"/>
          <w:sz w:val="24"/>
          <w:szCs w:val="24"/>
          <w:shd w:val="clear" w:color="auto" w:fill="FFFFFF"/>
        </w:rPr>
        <w:t>Un resultado normal es de 0.7 a 1.3 mg/</w:t>
      </w:r>
      <w:proofErr w:type="spellStart"/>
      <w:r w:rsidRPr="00704628">
        <w:rPr>
          <w:rFonts w:ascii="Times New Roman" w:hAnsi="Times New Roman" w:cs="Times New Roman"/>
          <w:sz w:val="24"/>
          <w:szCs w:val="24"/>
          <w:shd w:val="clear" w:color="auto" w:fill="FFFFFF"/>
        </w:rPr>
        <w:t>dL</w:t>
      </w:r>
      <w:proofErr w:type="spellEnd"/>
      <w:r w:rsidRPr="007046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los hombres y de 0.6 a 1.1 mg/</w:t>
      </w:r>
      <w:proofErr w:type="spellStart"/>
      <w:r w:rsidRPr="00704628">
        <w:rPr>
          <w:rFonts w:ascii="Times New Roman" w:hAnsi="Times New Roman" w:cs="Times New Roman"/>
          <w:sz w:val="24"/>
          <w:szCs w:val="24"/>
          <w:shd w:val="clear" w:color="auto" w:fill="FFFFFF"/>
        </w:rPr>
        <w:t>dL</w:t>
      </w:r>
      <w:proofErr w:type="spellEnd"/>
      <w:r w:rsidRPr="007046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las mujeres</w:t>
      </w:r>
    </w:p>
    <w:p w:rsidR="00704628" w:rsidRPr="00704628" w:rsidRDefault="00704628" w:rsidP="0070462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04628" w:rsidRPr="00704628" w:rsidRDefault="00704628" w:rsidP="0070462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r w:rsidRPr="00704628"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  <w:lang w:eastAsia="es-CO"/>
        </w:rPr>
        <w:t>Neonat.os</w:t>
      </w:r>
      <w:proofErr w:type="spellEnd"/>
      <w:r w:rsidRPr="00704628"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  <w:lang w:eastAsia="es-CO"/>
        </w:rPr>
        <w:t xml:space="preserve">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37"/>
          <w:sz w:val="24"/>
          <w:szCs w:val="24"/>
          <w:lang w:eastAsia="es-CO"/>
        </w:rPr>
        <w:t>0.3 –1.2 mg/dl</w:t>
      </w:r>
    </w:p>
    <w:p w:rsidR="00704628" w:rsidRPr="00704628" w:rsidRDefault="00704628" w:rsidP="0070462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04628"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  <w:lang w:eastAsia="es-CO"/>
        </w:rPr>
        <w:t xml:space="preserve">Infantes: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37"/>
          <w:sz w:val="24"/>
          <w:szCs w:val="24"/>
          <w:lang w:eastAsia="es-CO"/>
        </w:rPr>
        <w:t>0.2 –0.4 mg/dl</w:t>
      </w:r>
    </w:p>
    <w:p w:rsidR="00704628" w:rsidRPr="00704628" w:rsidRDefault="00704628" w:rsidP="0070462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046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Niños: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19"/>
          <w:sz w:val="24"/>
          <w:szCs w:val="24"/>
          <w:lang w:eastAsia="es-CO"/>
        </w:rPr>
        <w:t>0.3 –0.7 mg/dl</w:t>
      </w:r>
    </w:p>
    <w:p w:rsidR="00704628" w:rsidRPr="00704628" w:rsidRDefault="00704628" w:rsidP="0070462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046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Adolescentes: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37"/>
          <w:sz w:val="24"/>
          <w:szCs w:val="24"/>
          <w:lang w:eastAsia="es-CO"/>
        </w:rPr>
        <w:t>0.5 –1 mg/dl</w:t>
      </w:r>
    </w:p>
    <w:p w:rsidR="00704628" w:rsidRPr="00704628" w:rsidRDefault="00704628" w:rsidP="0070462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046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Mujeres adultas: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37"/>
          <w:sz w:val="24"/>
          <w:szCs w:val="24"/>
          <w:lang w:eastAsia="es-CO"/>
        </w:rPr>
        <w:t>0.5 –1.1 mg/dl</w:t>
      </w:r>
    </w:p>
    <w:p w:rsidR="00E44A5D" w:rsidRPr="009206A6" w:rsidRDefault="00704628" w:rsidP="00E44A5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046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Varones adultos: </w:t>
      </w:r>
      <w:r w:rsidRPr="00704628">
        <w:rPr>
          <w:rFonts w:ascii="Times New Roman" w:eastAsia="Times New Roman" w:hAnsi="Times New Roman" w:cs="Times New Roman"/>
          <w:bCs/>
          <w:color w:val="000000"/>
          <w:spacing w:val="19"/>
          <w:sz w:val="24"/>
          <w:szCs w:val="24"/>
          <w:lang w:eastAsia="es-CO"/>
        </w:rPr>
        <w:t>0.6 –1.2 mg/dl</w:t>
      </w:r>
    </w:p>
    <w:p w:rsidR="009206A6" w:rsidRPr="009206A6" w:rsidRDefault="009206A6" w:rsidP="009206A6">
      <w:pPr>
        <w:pStyle w:val="Prrafode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9206A6" w:rsidRPr="009206A6" w:rsidRDefault="009206A6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DESVENTAJAS DE LA CREATININA</w:t>
      </w:r>
    </w:p>
    <w:p w:rsidR="009206A6" w:rsidRDefault="009206A6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9206A6" w:rsidRPr="001E18F7" w:rsidRDefault="009206A6" w:rsidP="001E18F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0E7DA"/>
        </w:rPr>
      </w:pPr>
      <w:r w:rsidRPr="001E18F7">
        <w:rPr>
          <w:shd w:val="clear" w:color="auto" w:fill="E0E7DA"/>
        </w:rPr>
        <w:t xml:space="preserve">La </w:t>
      </w:r>
      <w:proofErr w:type="spellStart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se excreta no sólo por filtración glomerular, sino que posee también un componente secretor tubular que hace que la depuración renal de </w:t>
      </w:r>
      <w:proofErr w:type="spellStart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sobreestime al verdadero FG en alrededor de un 20% cuando éste tiene valores normales. Esta brecha se agranda a medida que cae el FG verdadero, pudiendo llegar a duplicarlo (a expensas del aumento progresivo de la secreción tubular de </w:t>
      </w:r>
      <w:proofErr w:type="spellStart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) en un intento de mantener la </w:t>
      </w:r>
      <w:proofErr w:type="spellStart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1E18F7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plasmática en valores normales o cercanos a él</w:t>
      </w:r>
    </w:p>
    <w:p w:rsidR="009206A6" w:rsidRPr="00D07D0D" w:rsidRDefault="001E18F7" w:rsidP="001E18F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E0E7DA"/>
        </w:rPr>
      </w:pP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La </w:t>
      </w:r>
      <w:proofErr w:type="spellStart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plasmática es un marcador poco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sensible de la función renal en la insuficiencia renal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crónica.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Es necesaria una reducción del 50 % de la función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renal para que los valores de </w:t>
      </w:r>
      <w:proofErr w:type="spellStart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superen los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límites considerados normales (1.4 mg%)</w:t>
      </w:r>
      <w:r w:rsidR="00D07D0D"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.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Muchos pacientes con </w:t>
      </w:r>
      <w:proofErr w:type="spellStart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creatinina</w:t>
      </w:r>
      <w:proofErr w:type="spellEnd"/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normal tienen</w:t>
      </w:r>
      <w:r w:rsid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 xml:space="preserve"> </w:t>
      </w:r>
      <w:r w:rsidRP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insuficiencia renal crónica (IRC “oculta”)</w:t>
      </w:r>
      <w:r w:rsidR="00D07D0D">
        <w:rPr>
          <w:rFonts w:ascii="Times New Roman" w:hAnsi="Times New Roman" w:cs="Times New Roman"/>
          <w:sz w:val="24"/>
          <w:szCs w:val="24"/>
          <w:shd w:val="clear" w:color="auto" w:fill="E0E7DA"/>
        </w:rPr>
        <w:t>.</w:t>
      </w:r>
    </w:p>
    <w:p w:rsidR="009206A6" w:rsidRDefault="009206A6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1E18F7" w:rsidRDefault="00664064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FACTORES QUE AFECTAN LA GENERACIÓN DE CREATININA</w:t>
      </w:r>
    </w:p>
    <w:p w:rsidR="00664064" w:rsidRDefault="00664064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Aumento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Raza negra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Mayor masa muscular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Dieta </w:t>
      </w:r>
      <w:proofErr w:type="spellStart"/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hiperproteica</w:t>
      </w:r>
      <w:proofErr w:type="spellEnd"/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Disminución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Edad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Sexo femenino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Amputación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Malnutrición</w:t>
      </w:r>
    </w:p>
    <w:p w:rsidR="00664064" w:rsidRPr="00664064" w:rsidRDefault="00664064" w:rsidP="0066406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Dieta vegetariana</w:t>
      </w:r>
    </w:p>
    <w:p w:rsidR="00664064" w:rsidRDefault="00664064" w:rsidP="0066406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Enfermedad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6406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neuromuscular</w:t>
      </w:r>
    </w:p>
    <w:p w:rsidR="00E51821" w:rsidRDefault="00E51821" w:rsidP="00664064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Medicamentos: </w:t>
      </w:r>
    </w:p>
    <w:p w:rsidR="00664064" w:rsidRDefault="00664064" w:rsidP="006640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664064" w:rsidRDefault="00664064" w:rsidP="006640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Debido a lo anterior, la medición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creatinina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plasmática no es el método m</w:t>
      </w:r>
      <w:r w:rsidR="00D07D0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 adecuado para medir la tasa de filtración glomerular, por lo tanto se sugiere realizar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clearance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creatinina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664064" w:rsidRPr="00664064" w:rsidRDefault="00664064" w:rsidP="006640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inconveniente del proceso mencionada es la recolección de orina de 24 horas, por lo cual se emplean fórmulas que permiten un mejor acercamiento.</w:t>
      </w:r>
    </w:p>
    <w:p w:rsidR="009206A6" w:rsidRPr="009206A6" w:rsidRDefault="009206A6" w:rsidP="0092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E44A5D" w:rsidRDefault="00E44A5D" w:rsidP="00E44A5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FACTORES DE RIESGO PARA ENFERMEDAD RENAL</w:t>
      </w:r>
    </w:p>
    <w:p w:rsidR="00E44A5D" w:rsidRDefault="00E44A5D" w:rsidP="00E44A5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Hipertensos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Antecedentes de infarto agudo de miocardio, accidente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cerebrovascular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arteriopatía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periférica.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Fumadores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Consumo crónico de drogas potencialmente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nefrotoxicas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exposición a metales pesados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de patologías obstructivas urológicas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familiares de enfermedades renales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de enfermedades sistémicas que pueden afectar el riñón como Lupus Eritematoso Sistémico</w:t>
      </w:r>
    </w:p>
    <w:p w:rsidR="00E44A5D" w:rsidRDefault="00E44A5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 que se detecta proteinuria</w:t>
      </w:r>
    </w:p>
    <w:p w:rsidR="00E44A5D" w:rsidRDefault="00D07D0D" w:rsidP="00E44A5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que se detecta hemat</w:t>
      </w:r>
      <w:r w:rsidR="00E44A5D">
        <w:rPr>
          <w:rFonts w:ascii="Times New Roman" w:hAnsi="Times New Roman" w:cs="Times New Roman"/>
          <w:sz w:val="24"/>
          <w:szCs w:val="24"/>
        </w:rPr>
        <w:t>uria aislada luego de descartarse una causa urológica</w:t>
      </w:r>
    </w:p>
    <w:p w:rsidR="00E44A5D" w:rsidRDefault="00E44A5D" w:rsidP="00E44A5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206A6" w:rsidRDefault="009206A6" w:rsidP="00E44A5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CLASIFICACIÓN DE ENFERMEDAD RENAL CRÓNICA</w:t>
      </w:r>
    </w:p>
    <w:p w:rsidR="009206A6" w:rsidRPr="009206A6" w:rsidRDefault="009206A6" w:rsidP="00E44A5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44A5D" w:rsidRDefault="00E44A5D" w:rsidP="00E44A5D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15280" cy="13182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21" w:rsidRDefault="00E51821" w:rsidP="00E44A5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206A6" w:rsidRDefault="009206A6" w:rsidP="009206A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PÁGINAS RELACIONADAS</w:t>
      </w:r>
    </w:p>
    <w:p w:rsidR="009206A6" w:rsidRDefault="009206A6" w:rsidP="009206A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9206A6" w:rsidRPr="009206A6" w:rsidRDefault="00B42BC6" w:rsidP="009206A6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9206A6">
          <w:rPr>
            <w:rStyle w:val="Hipervnculo"/>
          </w:rPr>
          <w:t>http://www.san.org.ar/grupostrabajo/docs/DIPTICO_2sept_rev_externa.pdf</w:t>
        </w:r>
      </w:hyperlink>
      <w:r w:rsidR="009206A6">
        <w:t xml:space="preserve"> Qué es enfermedad renal crónica</w:t>
      </w:r>
    </w:p>
    <w:p w:rsidR="009206A6" w:rsidRPr="00664064" w:rsidRDefault="00B42BC6" w:rsidP="009206A6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664064">
          <w:rPr>
            <w:rStyle w:val="Hipervnculo"/>
          </w:rPr>
          <w:t>http://www.saludrenal.com.ar/prevencion/Portals/2/Skins/prevencion/03-Profesionales/Evaluacion_de_la_funcion_renal.pdf</w:t>
        </w:r>
      </w:hyperlink>
    </w:p>
    <w:p w:rsidR="00664064" w:rsidRPr="009206A6" w:rsidRDefault="00B42BC6" w:rsidP="009206A6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9A6EA0">
          <w:rPr>
            <w:rStyle w:val="Hipervnculo"/>
          </w:rPr>
          <w:t>http://www.eluniversal.com.co/cartagena/vida-sana/mas-de-20-mil-personas-con-dialisis-en-colombia-13620</w:t>
        </w:r>
      </w:hyperlink>
    </w:p>
    <w:sectPr w:rsidR="00664064" w:rsidRPr="009206A6" w:rsidSect="000C5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2EE6"/>
    <w:multiLevelType w:val="hybridMultilevel"/>
    <w:tmpl w:val="EA08DFF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5D0878"/>
    <w:multiLevelType w:val="hybridMultilevel"/>
    <w:tmpl w:val="88D03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C3A9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07A8E"/>
    <w:multiLevelType w:val="hybridMultilevel"/>
    <w:tmpl w:val="97505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D5103"/>
    <w:multiLevelType w:val="hybridMultilevel"/>
    <w:tmpl w:val="60227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81B6E"/>
    <w:multiLevelType w:val="hybridMultilevel"/>
    <w:tmpl w:val="249E1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13131"/>
    <w:multiLevelType w:val="hybridMultilevel"/>
    <w:tmpl w:val="BD44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27686"/>
    <w:multiLevelType w:val="hybridMultilevel"/>
    <w:tmpl w:val="9C7001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4628"/>
    <w:rsid w:val="000C51BF"/>
    <w:rsid w:val="00122388"/>
    <w:rsid w:val="001E18F7"/>
    <w:rsid w:val="00245A96"/>
    <w:rsid w:val="0038244A"/>
    <w:rsid w:val="003A1D7C"/>
    <w:rsid w:val="00664064"/>
    <w:rsid w:val="00704628"/>
    <w:rsid w:val="007377DC"/>
    <w:rsid w:val="00785589"/>
    <w:rsid w:val="008D5A9F"/>
    <w:rsid w:val="009206A6"/>
    <w:rsid w:val="00973013"/>
    <w:rsid w:val="009A6EA0"/>
    <w:rsid w:val="00B42BC6"/>
    <w:rsid w:val="00CC7DB1"/>
    <w:rsid w:val="00D07D0D"/>
    <w:rsid w:val="00E44A5D"/>
    <w:rsid w:val="00E51821"/>
    <w:rsid w:val="00FA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62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04628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9206A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A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3A1D7C"/>
  </w:style>
  <w:style w:type="character" w:styleId="Textoennegrita">
    <w:name w:val="Strong"/>
    <w:basedOn w:val="Fuentedeprrafopredeter"/>
    <w:uiPriority w:val="22"/>
    <w:qFormat/>
    <w:rsid w:val="003A1D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.org.ar/grupostrabajo/docs/DIPTICO_2sept_rev_extern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universal.com.co/cartagena/vida-sana/mas-de-20-mil-personas-con-dialisis-en-colombia-136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luniversal.com.co/cartagena/vida-sana/mas-de-20-mil-personas-con-dialisis-en-colombia-13620" TargetMode="External"/><Relationship Id="rId10" Type="http://schemas.openxmlformats.org/officeDocument/2006/relationships/hyperlink" Target="http://www.eluniversal.com.co/cartagena/vida-sana/mas-de-20-mil-personas-con-dialisis-en-colombia-136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ludrenal.com.ar/prevencion/Portals/2/Skins/prevencion/03-Profesionales/Evaluacion_de_la_funcion_ren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David Ricardo</cp:lastModifiedBy>
  <cp:revision>4</cp:revision>
  <dcterms:created xsi:type="dcterms:W3CDTF">2012-11-06T01:54:00Z</dcterms:created>
  <dcterms:modified xsi:type="dcterms:W3CDTF">2012-11-21T13:39:00Z</dcterms:modified>
</cp:coreProperties>
</file>