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E8CB5" w14:textId="264BC53E" w:rsidR="00FB0974" w:rsidRDefault="008D38CC" w:rsidP="00E46A5D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Encontrar exemplos de comportamento dos deuses babilônicos (3) e correlacionar com sentimento, valor e crenças, dando exemplos dentro do próprio texto.</w:t>
      </w:r>
    </w:p>
    <w:p w14:paraId="3613BD7D" w14:textId="77777777" w:rsidR="008D38CC" w:rsidRDefault="008D38CC">
      <w:pPr>
        <w:rPr>
          <w:rFonts w:ascii="Arial" w:hAnsi="Arial" w:cs="Arial"/>
        </w:rPr>
      </w:pPr>
    </w:p>
    <w:p w14:paraId="6E8C9765" w14:textId="0EF6418C" w:rsidR="006436A2" w:rsidRPr="006436A2" w:rsidRDefault="006436A2" w:rsidP="006436A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6436A2">
        <w:rPr>
          <w:rFonts w:ascii="Arial" w:hAnsi="Arial" w:cs="Arial"/>
        </w:rPr>
        <w:t xml:space="preserve">“Entre os deuses que eram os seus filhos, </w:t>
      </w:r>
      <w:r w:rsidRPr="006436A2">
        <w:rPr>
          <w:rFonts w:ascii="Arial" w:hAnsi="Arial" w:cs="Arial"/>
          <w:highlight w:val="green"/>
        </w:rPr>
        <w:t>porquanto ele lhe tinha dado ajuda</w:t>
      </w:r>
      <w:r w:rsidRPr="006436A2">
        <w:rPr>
          <w:rFonts w:ascii="Arial" w:hAnsi="Arial" w:cs="Arial"/>
        </w:rPr>
        <w:t xml:space="preserve">, Ela </w:t>
      </w:r>
      <w:r w:rsidRPr="006436A2">
        <w:rPr>
          <w:rFonts w:ascii="Arial" w:hAnsi="Arial" w:cs="Arial"/>
          <w:highlight w:val="green"/>
        </w:rPr>
        <w:t>exaltou</w:t>
      </w:r>
      <w:r w:rsidRPr="006436A2">
        <w:rPr>
          <w:rFonts w:ascii="Arial" w:hAnsi="Arial" w:cs="Arial"/>
        </w:rPr>
        <w:t xml:space="preserve"> Kingu; do meio deles ela o levantou para o poder. [...] Em tecido de grande preço ela o fez sentar.”</w:t>
      </w:r>
    </w:p>
    <w:p w14:paraId="6991BFF6" w14:textId="1E305DCB" w:rsidR="000464BE" w:rsidRDefault="006436A2" w:rsidP="000464BE">
      <w:p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Comportamento: </w:t>
      </w:r>
      <w:r>
        <w:rPr>
          <w:rFonts w:ascii="Arial" w:hAnsi="Arial" w:cs="Arial"/>
        </w:rPr>
        <w:t>Tiamat, impulsionada por gratidão por ter sido apoiada por Kingu na vingança da morte de seu esposo Apsu, decide elevá-lo a um posto elevado em seu exército, onde ele lideraria e marcharia contra os deuses rebeldes.</w:t>
      </w:r>
    </w:p>
    <w:p w14:paraId="30B2EE10" w14:textId="34BF0435" w:rsidR="006436A2" w:rsidRDefault="006436A2" w:rsidP="000464BE">
      <w:p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Sentimento:</w:t>
      </w:r>
      <w:r>
        <w:rPr>
          <w:rFonts w:ascii="Arial" w:hAnsi="Arial" w:cs="Arial"/>
        </w:rPr>
        <w:t xml:space="preserve"> Gratidão e confiança. Tiamat decide confiar a liderança de seu exército a Kingu.</w:t>
      </w:r>
    </w:p>
    <w:p w14:paraId="46EFCD73" w14:textId="343024EF" w:rsidR="006436A2" w:rsidRPr="006C4BFD" w:rsidRDefault="006436A2" w:rsidP="006436A2">
      <w:p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Valores:</w:t>
      </w:r>
      <w:r>
        <w:rPr>
          <w:rFonts w:ascii="Arial" w:hAnsi="Arial" w:cs="Arial"/>
        </w:rPr>
        <w:t xml:space="preserve"> </w:t>
      </w:r>
      <w:r w:rsidRPr="006C4BFD">
        <w:rPr>
          <w:rFonts w:ascii="Arial" w:hAnsi="Arial" w:cs="Arial"/>
        </w:rPr>
        <w:t xml:space="preserve">Lealdade e recompensa. Na cosmovisão babilônica, a lealdade é um valor central, e Tiamat recompensa Kingu com </w:t>
      </w:r>
      <w:r w:rsidRPr="006C4BFD">
        <w:rPr>
          <w:rFonts w:ascii="Arial" w:hAnsi="Arial" w:cs="Arial"/>
        </w:rPr>
        <w:t xml:space="preserve">status </w:t>
      </w:r>
      <w:r w:rsidRPr="006C4BFD">
        <w:rPr>
          <w:rFonts w:ascii="Arial" w:hAnsi="Arial" w:cs="Arial"/>
        </w:rPr>
        <w:t>elevado, simbolizado pelo “tecido de grande preço”.</w:t>
      </w:r>
      <w:r w:rsidR="006C4BFD">
        <w:rPr>
          <w:rFonts w:ascii="Arial" w:hAnsi="Arial" w:cs="Arial"/>
        </w:rPr>
        <w:t xml:space="preserve"> Para nós, reconhecer e recompensar quem mer</w:t>
      </w:r>
      <w:r w:rsidR="00D06C4B">
        <w:rPr>
          <w:rFonts w:ascii="Arial" w:hAnsi="Arial" w:cs="Arial"/>
        </w:rPr>
        <w:t>ece</w:t>
      </w:r>
      <w:r w:rsidR="006C4BFD">
        <w:rPr>
          <w:rFonts w:ascii="Arial" w:hAnsi="Arial" w:cs="Arial"/>
        </w:rPr>
        <w:t xml:space="preserve"> no momento certo pode abrir novas portas.</w:t>
      </w:r>
    </w:p>
    <w:p w14:paraId="723BE101" w14:textId="28C617AB" w:rsidR="006436A2" w:rsidRPr="006436A2" w:rsidRDefault="006436A2" w:rsidP="006436A2">
      <w:pPr>
        <w:spacing w:line="360" w:lineRule="auto"/>
        <w:ind w:left="709"/>
        <w:jc w:val="both"/>
      </w:pPr>
      <w:r>
        <w:rPr>
          <w:rFonts w:ascii="Arial" w:hAnsi="Arial" w:cs="Arial"/>
          <w:b/>
          <w:bCs/>
        </w:rPr>
        <w:t>Crenças:</w:t>
      </w:r>
      <w:r>
        <w:t xml:space="preserve"> </w:t>
      </w:r>
      <w:r w:rsidRPr="006C4BFD">
        <w:rPr>
          <w:rFonts w:ascii="Arial" w:hAnsi="Arial" w:cs="Arial"/>
        </w:rPr>
        <w:t>Poder como mérito. Os babilônios acreditavam que o poder divino podia ser concedido com base em ações meritórias, como o apoio de Kingu.</w:t>
      </w:r>
      <w:r w:rsidR="006C4BFD">
        <w:rPr>
          <w:rFonts w:ascii="Arial" w:hAnsi="Arial" w:cs="Arial"/>
        </w:rPr>
        <w:t xml:space="preserve"> Tudo (ou pelo menos deveria) é conquistado por mérito, dar o braço a torcer e não ter medo de se arriscar por boas causas.</w:t>
      </w:r>
    </w:p>
    <w:p w14:paraId="1ADCC594" w14:textId="7E33D8D9" w:rsidR="006436A2" w:rsidRPr="006436A2" w:rsidRDefault="006436A2" w:rsidP="006436A2">
      <w:pPr>
        <w:spacing w:line="360" w:lineRule="auto"/>
        <w:ind w:left="709"/>
        <w:jc w:val="both"/>
      </w:pPr>
    </w:p>
    <w:p w14:paraId="5662889A" w14:textId="77777777" w:rsidR="00E46A5D" w:rsidRDefault="00E46A5D" w:rsidP="00E46A5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46A5D">
        <w:rPr>
          <w:rFonts w:ascii="Arial" w:hAnsi="Arial" w:cs="Arial"/>
        </w:rPr>
        <w:t xml:space="preserve">“Agora Kingu, </w:t>
      </w:r>
      <w:r w:rsidRPr="00E46A5D">
        <w:rPr>
          <w:rFonts w:ascii="Arial" w:hAnsi="Arial" w:cs="Arial"/>
          <w:highlight w:val="green"/>
        </w:rPr>
        <w:t>assim exaltado</w:t>
      </w:r>
      <w:r w:rsidRPr="00E46A5D">
        <w:rPr>
          <w:rFonts w:ascii="Arial" w:hAnsi="Arial" w:cs="Arial"/>
        </w:rPr>
        <w:t xml:space="preserve">, tendo recebido o poder de Anu, </w:t>
      </w:r>
      <w:r w:rsidRPr="00E46A5D">
        <w:rPr>
          <w:rFonts w:ascii="Arial" w:hAnsi="Arial" w:cs="Arial"/>
          <w:highlight w:val="green"/>
        </w:rPr>
        <w:t>Decretou o destino</w:t>
      </w:r>
      <w:r w:rsidRPr="00E46A5D">
        <w:rPr>
          <w:rFonts w:ascii="Arial" w:hAnsi="Arial" w:cs="Arial"/>
        </w:rPr>
        <w:t xml:space="preserve"> entre os deuses seus filhos, dizendo: ‘Que o abrir da tua boca extinga o deus do fogo; </w:t>
      </w:r>
      <w:r w:rsidRPr="00E46A5D">
        <w:rPr>
          <w:rFonts w:ascii="Arial" w:hAnsi="Arial" w:cs="Arial"/>
          <w:highlight w:val="green"/>
        </w:rPr>
        <w:t>Aquele que é assim exaltado na batalha, que ele revele o seu poder!</w:t>
      </w:r>
      <w:r w:rsidRPr="00E46A5D">
        <w:rPr>
          <w:rFonts w:ascii="Arial" w:hAnsi="Arial" w:cs="Arial"/>
        </w:rPr>
        <w:t>’”</w:t>
      </w:r>
    </w:p>
    <w:p w14:paraId="0C443E2E" w14:textId="6D78A0DE" w:rsidR="00E46A5D" w:rsidRDefault="00E46A5D" w:rsidP="00E46A5D">
      <w:pPr>
        <w:spacing w:line="360" w:lineRule="auto"/>
        <w:ind w:left="708"/>
        <w:jc w:val="both"/>
        <w:rPr>
          <w:rFonts w:ascii="Arial" w:hAnsi="Arial" w:cs="Arial"/>
        </w:rPr>
      </w:pPr>
      <w:r w:rsidRPr="00E46A5D">
        <w:rPr>
          <w:rFonts w:ascii="Arial" w:hAnsi="Arial" w:cs="Arial"/>
          <w:b/>
          <w:bCs/>
        </w:rPr>
        <w:t>C</w:t>
      </w:r>
      <w:r>
        <w:rPr>
          <w:rFonts w:ascii="Arial" w:hAnsi="Arial" w:cs="Arial"/>
          <w:b/>
          <w:bCs/>
        </w:rPr>
        <w:t xml:space="preserve">omportamento: </w:t>
      </w:r>
      <w:r w:rsidRPr="00E46A5D">
        <w:rPr>
          <w:rFonts w:ascii="Arial" w:hAnsi="Arial" w:cs="Arial"/>
        </w:rPr>
        <w:t xml:space="preserve">Kingu, recém-investido de autoridade por Tiamat, assume o papel de decretar destinos, dando ordens aos outros deuses </w:t>
      </w:r>
      <w:r w:rsidRPr="00E46A5D">
        <w:rPr>
          <w:rFonts w:ascii="Arial" w:hAnsi="Arial" w:cs="Arial"/>
        </w:rPr>
        <w:lastRenderedPageBreak/>
        <w:t>como se fosse igual ou superior a eles.</w:t>
      </w:r>
      <w:r w:rsidR="006C4BFD">
        <w:rPr>
          <w:rFonts w:ascii="Arial" w:hAnsi="Arial" w:cs="Arial"/>
        </w:rPr>
        <w:t xml:space="preserve"> É bem comum, se não for uma pessoa madura e equilibrada, transformar as bençãos que a vida dá em maldições.</w:t>
      </w:r>
    </w:p>
    <w:p w14:paraId="2AB393F4" w14:textId="77777777" w:rsidR="00E46A5D" w:rsidRDefault="00E46A5D" w:rsidP="00E46A5D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Sentimento: </w:t>
      </w:r>
      <w:r w:rsidRPr="00E46A5D">
        <w:rPr>
          <w:rFonts w:ascii="Arial" w:hAnsi="Arial" w:cs="Arial"/>
        </w:rPr>
        <w:t>Arrogância e autoconfiança. Kingu sente-se poderoso ao receber o “poder de Anu” e as Tábuas do Destino, agindo como se sua palavra fosse incontestável.</w:t>
      </w:r>
    </w:p>
    <w:p w14:paraId="4EEE7D3C" w14:textId="3855300B" w:rsidR="00E46A5D" w:rsidRDefault="00E46A5D" w:rsidP="00E46A5D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Valores: </w:t>
      </w:r>
      <w:r w:rsidRPr="00E46A5D">
        <w:rPr>
          <w:rFonts w:ascii="Arial" w:hAnsi="Arial" w:cs="Arial"/>
        </w:rPr>
        <w:t>Supremacia e liderança. Na cultura babilônica, a capacidade de liderar e vencer na batalha é essencial para afirmar a divindade, e Kingu busca provar isso ao comandar os deuses.</w:t>
      </w:r>
      <w:r w:rsidR="00CB00BF">
        <w:rPr>
          <w:rFonts w:ascii="Arial" w:hAnsi="Arial" w:cs="Arial"/>
        </w:rPr>
        <w:t xml:space="preserve"> Isso refletia e reflete muito na nossa decisão de quem vamos seguir e confiar. Se não for alguém capaz e hábil, </w:t>
      </w:r>
      <w:r w:rsidR="000F22F5">
        <w:rPr>
          <w:rFonts w:ascii="Arial" w:hAnsi="Arial" w:cs="Arial"/>
        </w:rPr>
        <w:t>nós como sociedade e indivíduos não</w:t>
      </w:r>
      <w:r w:rsidR="00CB00BF">
        <w:rPr>
          <w:rFonts w:ascii="Arial" w:hAnsi="Arial" w:cs="Arial"/>
        </w:rPr>
        <w:t xml:space="preserve"> iremos dar crédito.</w:t>
      </w:r>
    </w:p>
    <w:p w14:paraId="6D3DEF33" w14:textId="77777777" w:rsidR="00E46A5D" w:rsidRDefault="00E46A5D" w:rsidP="00E46A5D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Crenças: </w:t>
      </w:r>
      <w:r w:rsidRPr="00E46A5D">
        <w:rPr>
          <w:rFonts w:ascii="Arial" w:hAnsi="Arial" w:cs="Arial"/>
        </w:rPr>
        <w:t>Controle do destino. Os babilônios acreditavam que quem detém as Tábuas do Destino pode moldar o futuro, e Kingu usa isso para impor sua vontade, como em “a palavra da tua boca será estabelecida”.</w:t>
      </w:r>
    </w:p>
    <w:p w14:paraId="0011825A" w14:textId="77777777" w:rsidR="00E46A5D" w:rsidRDefault="00E46A5D" w:rsidP="00E46A5D">
      <w:pPr>
        <w:spacing w:line="360" w:lineRule="auto"/>
        <w:ind w:left="708"/>
        <w:jc w:val="both"/>
        <w:rPr>
          <w:rFonts w:ascii="Arial" w:hAnsi="Arial" w:cs="Arial"/>
          <w:b/>
          <w:bCs/>
        </w:rPr>
      </w:pPr>
    </w:p>
    <w:p w14:paraId="6D2BEF39" w14:textId="3269DE8D" w:rsidR="00E46A5D" w:rsidRPr="00E46A5D" w:rsidRDefault="00E46A5D" w:rsidP="006C4BFD">
      <w:pPr>
        <w:pStyle w:val="PargrafodaLista"/>
        <w:numPr>
          <w:ilvl w:val="0"/>
          <w:numId w:val="2"/>
        </w:numPr>
        <w:spacing w:after="0" w:line="360" w:lineRule="auto"/>
        <w:ind w:left="1066" w:hanging="357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“</w:t>
      </w:r>
      <w:r w:rsidRPr="00E46A5D">
        <w:rPr>
          <w:rFonts w:ascii="Arial" w:eastAsia="Times New Roman" w:hAnsi="Arial" w:cs="Arial"/>
          <w:kern w:val="0"/>
          <w:lang w:eastAsia="pt-BR"/>
          <w14:ligatures w14:val="none"/>
        </w:rPr>
        <w:t xml:space="preserve">Quando Ansar ouviu como Tiamat estava tão poderosamente em revolta, </w:t>
      </w:r>
      <w:r w:rsidRPr="00CB00BF">
        <w:rPr>
          <w:rFonts w:ascii="Arial" w:eastAsia="Times New Roman" w:hAnsi="Arial" w:cs="Arial"/>
          <w:kern w:val="0"/>
          <w:highlight w:val="green"/>
          <w:lang w:eastAsia="pt-BR"/>
          <w14:ligatures w14:val="none"/>
        </w:rPr>
        <w:t>os seus lábios tremeram, a sua mente não estava em paz</w:t>
      </w:r>
      <w:r w:rsidRPr="00E46A5D">
        <w:rPr>
          <w:rFonts w:ascii="Arial" w:eastAsia="Times New Roman" w:hAnsi="Arial" w:cs="Arial"/>
          <w:kern w:val="0"/>
          <w:lang w:eastAsia="pt-BR"/>
          <w14:ligatures w14:val="none"/>
        </w:rPr>
        <w:t xml:space="preserve">. [...] Ele fez uma </w:t>
      </w:r>
      <w:r w:rsidRPr="00CB00BF">
        <w:rPr>
          <w:rFonts w:ascii="Arial" w:eastAsia="Times New Roman" w:hAnsi="Arial" w:cs="Arial"/>
          <w:kern w:val="0"/>
          <w:highlight w:val="green"/>
          <w:lang w:eastAsia="pt-BR"/>
          <w14:ligatures w14:val="none"/>
        </w:rPr>
        <w:t>amarga lamentação</w:t>
      </w:r>
      <w:r w:rsidRPr="00E46A5D">
        <w:rPr>
          <w:rFonts w:ascii="Arial" w:eastAsia="Times New Roman" w:hAnsi="Arial" w:cs="Arial"/>
          <w:kern w:val="0"/>
          <w:lang w:eastAsia="pt-BR"/>
          <w14:ligatures w14:val="none"/>
        </w:rPr>
        <w:t xml:space="preserve">: [...] ‘Mas Tiamat exaltou Kingu, e </w:t>
      </w:r>
      <w:r w:rsidRPr="00CB00BF">
        <w:rPr>
          <w:rFonts w:ascii="Arial" w:eastAsia="Times New Roman" w:hAnsi="Arial" w:cs="Arial"/>
          <w:kern w:val="0"/>
          <w:highlight w:val="green"/>
          <w:lang w:eastAsia="pt-BR"/>
          <w14:ligatures w14:val="none"/>
        </w:rPr>
        <w:t>onde está aquele que se pode opôr</w:t>
      </w:r>
      <w:r w:rsidRPr="00E46A5D">
        <w:rPr>
          <w:rFonts w:ascii="Arial" w:eastAsia="Times New Roman" w:hAnsi="Arial" w:cs="Arial"/>
          <w:kern w:val="0"/>
          <w:lang w:eastAsia="pt-BR"/>
          <w14:ligatures w14:val="none"/>
        </w:rPr>
        <w:t xml:space="preserve">?’ Ansar dirige a palavra ao seu filho: ‘...meu poderoso herói, cuja fortaleza é grande [...], vai e põe-te diante de Tiamat, </w:t>
      </w:r>
      <w:r w:rsidRPr="00CB00BF">
        <w:rPr>
          <w:rFonts w:ascii="Arial" w:eastAsia="Times New Roman" w:hAnsi="Arial" w:cs="Arial"/>
          <w:kern w:val="0"/>
          <w:highlight w:val="green"/>
          <w:lang w:eastAsia="pt-BR"/>
          <w14:ligatures w14:val="none"/>
        </w:rPr>
        <w:t>para que o seu espírito possa ser satisfeito, para que o coração dela possa ser</w:t>
      </w:r>
      <w:r w:rsidRPr="00E46A5D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CB00BF">
        <w:rPr>
          <w:rFonts w:ascii="Arial" w:eastAsia="Times New Roman" w:hAnsi="Arial" w:cs="Arial"/>
          <w:kern w:val="0"/>
          <w:highlight w:val="red"/>
          <w:lang w:eastAsia="pt-BR"/>
          <w14:ligatures w14:val="none"/>
        </w:rPr>
        <w:t>misericordioso</w:t>
      </w:r>
      <w:r w:rsidRPr="00E46A5D">
        <w:rPr>
          <w:rFonts w:ascii="Arial" w:eastAsia="Times New Roman" w:hAnsi="Arial" w:cs="Arial"/>
          <w:kern w:val="0"/>
          <w:lang w:eastAsia="pt-BR"/>
          <w14:ligatures w14:val="none"/>
        </w:rPr>
        <w:t>. Mas se ela não atentar para a tua palavra, a nossa poderás tu falar para ela, para que possa ser apaziguada.’”</w:t>
      </w:r>
    </w:p>
    <w:p w14:paraId="004F9333" w14:textId="1492796A" w:rsidR="00E46A5D" w:rsidRDefault="00E46A5D" w:rsidP="00E46A5D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Comportamento: </w:t>
      </w:r>
      <w:r w:rsidRPr="00E46A5D">
        <w:rPr>
          <w:rFonts w:ascii="Arial" w:hAnsi="Arial" w:cs="Arial"/>
        </w:rPr>
        <w:t xml:space="preserve">Ansar, assustado com a revolta de Tiamat, lamenta-se e pede a seu filho </w:t>
      </w:r>
      <w:r w:rsidR="00D06C4B">
        <w:rPr>
          <w:rFonts w:ascii="Arial" w:hAnsi="Arial" w:cs="Arial"/>
        </w:rPr>
        <w:t xml:space="preserve">(Marduk?) </w:t>
      </w:r>
      <w:r w:rsidRPr="00E46A5D">
        <w:rPr>
          <w:rFonts w:ascii="Arial" w:hAnsi="Arial" w:cs="Arial"/>
        </w:rPr>
        <w:t>que intervenha, buscando apaziguar a ira dela com palavras ou poder.</w:t>
      </w:r>
    </w:p>
    <w:p w14:paraId="5B648E99" w14:textId="001E0EE6" w:rsidR="00E46A5D" w:rsidRDefault="00E46A5D" w:rsidP="00E46A5D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Sentimento: </w:t>
      </w:r>
      <w:r w:rsidRPr="00E46A5D">
        <w:rPr>
          <w:rFonts w:ascii="Arial" w:hAnsi="Arial" w:cs="Arial"/>
        </w:rPr>
        <w:t>Medo e desespero. Ansar tremendo e com a mente inquieta reflete seu temor diante da força de Tiamat e da ascensão de Kingu.</w:t>
      </w:r>
      <w:r w:rsidR="00CB00BF">
        <w:rPr>
          <w:rFonts w:ascii="Arial" w:hAnsi="Arial" w:cs="Arial"/>
        </w:rPr>
        <w:t xml:space="preserve"> Fica aqui um exemplo que até mesmo os deuses babilônicos sentiam medo e </w:t>
      </w:r>
      <w:r w:rsidR="00CB00BF">
        <w:rPr>
          <w:rFonts w:ascii="Arial" w:hAnsi="Arial" w:cs="Arial"/>
        </w:rPr>
        <w:lastRenderedPageBreak/>
        <w:t>precisavam recorrer à misericórdia</w:t>
      </w:r>
      <w:r w:rsidR="00D06C4B">
        <w:rPr>
          <w:rFonts w:ascii="Arial" w:hAnsi="Arial" w:cs="Arial"/>
        </w:rPr>
        <w:t>, o que nos incentiva a fazer o mesmo quando necessário.</w:t>
      </w:r>
    </w:p>
    <w:p w14:paraId="3B23AD7E" w14:textId="61121FBE" w:rsidR="00E46A5D" w:rsidRDefault="00E46A5D" w:rsidP="00D06C4B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Valores: </w:t>
      </w:r>
      <w:r w:rsidRPr="00E46A5D">
        <w:rPr>
          <w:rFonts w:ascii="Arial" w:hAnsi="Arial" w:cs="Arial"/>
        </w:rPr>
        <w:t>Diplomacia e força. Ansar valoriza tanto a tentativa de negociação (“satisfazer o espírito dela”) quanto o uso da força como último recurso (“cuja ofensiva não pode ser suportada”), típico da resolução de conflitos babilônica.</w:t>
      </w:r>
      <w:r w:rsidR="00D06C4B">
        <w:rPr>
          <w:rFonts w:ascii="Arial" w:hAnsi="Arial" w:cs="Arial"/>
        </w:rPr>
        <w:t xml:space="preserve"> Reflete muito bem a sociedade moderna também. Quando eu não consigo negociar algo, por medo de perder algum posto ou benefício, </w:t>
      </w:r>
      <w:r w:rsidR="00D06C4B" w:rsidRPr="00D06C4B">
        <w:rPr>
          <w:rFonts w:ascii="Arial" w:hAnsi="Arial" w:cs="Arial"/>
        </w:rPr>
        <w:t>é tentador usar a força</w:t>
      </w:r>
      <w:r w:rsidR="00D06C4B">
        <w:rPr>
          <w:rFonts w:ascii="Arial" w:hAnsi="Arial" w:cs="Arial"/>
        </w:rPr>
        <w:t>.</w:t>
      </w:r>
    </w:p>
    <w:p w14:paraId="2B6DBEB8" w14:textId="435700E0" w:rsidR="00E46A5D" w:rsidRPr="00E46A5D" w:rsidRDefault="00E46A5D" w:rsidP="00E46A5D">
      <w:pPr>
        <w:spacing w:line="360" w:lineRule="auto"/>
        <w:ind w:left="70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Crença: </w:t>
      </w:r>
      <w:r w:rsidRPr="00E46A5D">
        <w:rPr>
          <w:rFonts w:ascii="Arial" w:hAnsi="Arial" w:cs="Arial"/>
        </w:rPr>
        <w:t>Possibilidade de redenção. Há uma crença de que mesmo uma deusa em fúria como Tiamat pode ser apaziguada, seja por palavras ou submissão, mostrando uma visão de equilíbrio cósmico negociável.</w:t>
      </w:r>
      <w:r w:rsidR="00D06C4B">
        <w:rPr>
          <w:rFonts w:ascii="Arial" w:hAnsi="Arial" w:cs="Arial"/>
        </w:rPr>
        <w:t xml:space="preserve"> Demonstra que nem tudo é o fim, mas como a história relata, é sempre o começo de alguma coisa nova. O importante é estar preparado para as oscilações que a vida dá, com a mente em equilíbrio com todas as áreas da vida.</w:t>
      </w:r>
    </w:p>
    <w:p w14:paraId="35C75CEB" w14:textId="2C3A6160" w:rsidR="00E46A5D" w:rsidRPr="00E46A5D" w:rsidRDefault="00E46A5D" w:rsidP="00E46A5D">
      <w:pPr>
        <w:spacing w:line="360" w:lineRule="auto"/>
        <w:ind w:left="708"/>
        <w:jc w:val="both"/>
        <w:rPr>
          <w:rFonts w:ascii="Arial" w:hAnsi="Arial" w:cs="Arial"/>
          <w:b/>
          <w:bCs/>
        </w:rPr>
      </w:pPr>
    </w:p>
    <w:p w14:paraId="5FDB4887" w14:textId="62C39283" w:rsidR="00E46A5D" w:rsidRPr="00E46A5D" w:rsidRDefault="00E46A5D" w:rsidP="00E46A5D">
      <w:pPr>
        <w:spacing w:line="360" w:lineRule="auto"/>
        <w:ind w:left="708"/>
        <w:jc w:val="both"/>
        <w:rPr>
          <w:rFonts w:ascii="Arial" w:hAnsi="Arial" w:cs="Arial"/>
          <w:b/>
          <w:bCs/>
        </w:rPr>
      </w:pPr>
    </w:p>
    <w:p w14:paraId="338111BF" w14:textId="3BBF5A46" w:rsidR="00E46A5D" w:rsidRPr="00E46A5D" w:rsidRDefault="00E46A5D" w:rsidP="00E46A5D">
      <w:pPr>
        <w:spacing w:line="360" w:lineRule="auto"/>
        <w:ind w:left="708"/>
        <w:jc w:val="both"/>
        <w:rPr>
          <w:rFonts w:ascii="Arial" w:hAnsi="Arial" w:cs="Arial"/>
        </w:rPr>
      </w:pPr>
    </w:p>
    <w:p w14:paraId="7FFFDB9A" w14:textId="07CECDD8" w:rsidR="00E46A5D" w:rsidRPr="00E46A5D" w:rsidRDefault="00E46A5D" w:rsidP="00E46A5D">
      <w:pPr>
        <w:spacing w:line="360" w:lineRule="auto"/>
        <w:ind w:left="708"/>
        <w:jc w:val="both"/>
        <w:rPr>
          <w:rFonts w:ascii="Arial" w:hAnsi="Arial" w:cs="Arial"/>
        </w:rPr>
      </w:pPr>
    </w:p>
    <w:p w14:paraId="7515E69D" w14:textId="7C0E660B" w:rsidR="00E46A5D" w:rsidRPr="00E46A5D" w:rsidRDefault="00E46A5D" w:rsidP="00E46A5D">
      <w:pPr>
        <w:spacing w:line="360" w:lineRule="auto"/>
        <w:ind w:left="708"/>
        <w:jc w:val="both"/>
        <w:rPr>
          <w:rFonts w:ascii="Arial" w:hAnsi="Arial" w:cs="Arial"/>
          <w:b/>
          <w:bCs/>
        </w:rPr>
      </w:pPr>
    </w:p>
    <w:p w14:paraId="687A9231" w14:textId="2E4758D7" w:rsidR="00E46A5D" w:rsidRPr="00E46A5D" w:rsidRDefault="00E46A5D" w:rsidP="00E46A5D">
      <w:pPr>
        <w:spacing w:line="360" w:lineRule="auto"/>
        <w:ind w:left="708"/>
        <w:jc w:val="both"/>
        <w:rPr>
          <w:rFonts w:ascii="Arial" w:hAnsi="Arial" w:cs="Arial"/>
          <w:b/>
          <w:bCs/>
        </w:rPr>
      </w:pPr>
    </w:p>
    <w:p w14:paraId="5B0DF8CA" w14:textId="463FAE7B" w:rsidR="00E46A5D" w:rsidRPr="00E46A5D" w:rsidRDefault="00E46A5D" w:rsidP="00E46A5D">
      <w:pPr>
        <w:spacing w:line="360" w:lineRule="auto"/>
        <w:ind w:left="708"/>
        <w:jc w:val="both"/>
        <w:rPr>
          <w:rFonts w:ascii="Arial" w:hAnsi="Arial" w:cs="Arial"/>
        </w:rPr>
      </w:pPr>
    </w:p>
    <w:p w14:paraId="53D0A00D" w14:textId="311223CF" w:rsidR="00E46A5D" w:rsidRPr="00E46A5D" w:rsidRDefault="00E46A5D" w:rsidP="00E46A5D">
      <w:pPr>
        <w:spacing w:line="360" w:lineRule="auto"/>
        <w:ind w:left="708"/>
        <w:jc w:val="both"/>
        <w:rPr>
          <w:rFonts w:ascii="Arial" w:hAnsi="Arial" w:cs="Arial"/>
        </w:rPr>
      </w:pPr>
    </w:p>
    <w:p w14:paraId="2D7CF40A" w14:textId="3BA8D0E4" w:rsidR="008D38CC" w:rsidRPr="006436A2" w:rsidRDefault="008D38CC" w:rsidP="00E46A5D">
      <w:pPr>
        <w:pStyle w:val="PargrafodaLista"/>
        <w:spacing w:line="360" w:lineRule="auto"/>
        <w:ind w:left="1068"/>
        <w:jc w:val="both"/>
        <w:rPr>
          <w:rFonts w:ascii="Arial" w:hAnsi="Arial" w:cs="Arial"/>
        </w:rPr>
      </w:pPr>
    </w:p>
    <w:sectPr w:rsidR="008D38CC" w:rsidRPr="006436A2" w:rsidSect="00F2628C">
      <w:headerReference w:type="first" r:id="rId7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2B8C6" w14:textId="77777777" w:rsidR="009967D6" w:rsidRDefault="009967D6" w:rsidP="00FB0974">
      <w:pPr>
        <w:spacing w:after="0" w:line="240" w:lineRule="auto"/>
      </w:pPr>
      <w:r>
        <w:separator/>
      </w:r>
    </w:p>
  </w:endnote>
  <w:endnote w:type="continuationSeparator" w:id="0">
    <w:p w14:paraId="287A54F3" w14:textId="77777777" w:rsidR="009967D6" w:rsidRDefault="009967D6" w:rsidP="00FB0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BD451A" w14:textId="77777777" w:rsidR="009967D6" w:rsidRDefault="009967D6" w:rsidP="00FB0974">
      <w:pPr>
        <w:spacing w:after="0" w:line="240" w:lineRule="auto"/>
      </w:pPr>
      <w:r>
        <w:separator/>
      </w:r>
    </w:p>
  </w:footnote>
  <w:footnote w:type="continuationSeparator" w:id="0">
    <w:p w14:paraId="2FB67CC8" w14:textId="77777777" w:rsidR="009967D6" w:rsidRDefault="009967D6" w:rsidP="00FB0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3B5EB" w14:textId="6E85C761" w:rsidR="00F2628C" w:rsidRPr="00F2628C" w:rsidRDefault="00F2628C" w:rsidP="00F2628C">
    <w:pPr>
      <w:pStyle w:val="Ttulo1"/>
      <w:rPr>
        <w:rFonts w:ascii="Arial" w:hAnsi="Arial" w:cs="Arial"/>
      </w:rPr>
    </w:pPr>
    <w:r w:rsidRPr="00F2628C">
      <w:rPr>
        <w:rFonts w:ascii="Arial" w:hAnsi="Arial" w:cs="Arial"/>
      </w:rPr>
      <w:t>Cosmovisão Babilônica – Enuma Elish (Segunda Tábua)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F3022"/>
    <w:multiLevelType w:val="hybridMultilevel"/>
    <w:tmpl w:val="997825C8"/>
    <w:lvl w:ilvl="0" w:tplc="DB943A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41D6686"/>
    <w:multiLevelType w:val="hybridMultilevel"/>
    <w:tmpl w:val="5E846986"/>
    <w:lvl w:ilvl="0" w:tplc="7486D87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65370882">
    <w:abstractNumId w:val="0"/>
  </w:num>
  <w:num w:numId="2" w16cid:durableId="1674139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74"/>
    <w:rsid w:val="000464BE"/>
    <w:rsid w:val="000F22F5"/>
    <w:rsid w:val="002D3DFA"/>
    <w:rsid w:val="003E0659"/>
    <w:rsid w:val="006436A2"/>
    <w:rsid w:val="006C4BFD"/>
    <w:rsid w:val="008D38CC"/>
    <w:rsid w:val="009967D6"/>
    <w:rsid w:val="00CB00BF"/>
    <w:rsid w:val="00D06C4B"/>
    <w:rsid w:val="00E46A5D"/>
    <w:rsid w:val="00F2628C"/>
    <w:rsid w:val="00FB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7D6DF"/>
  <w15:chartTrackingRefBased/>
  <w15:docId w15:val="{B5C7FC2A-1102-4378-82EF-BCD315C9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0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0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0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0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0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0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0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0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0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0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0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0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09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09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09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09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09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09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0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0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0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0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0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09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09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09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0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09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097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B09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0974"/>
  </w:style>
  <w:style w:type="paragraph" w:styleId="Rodap">
    <w:name w:val="footer"/>
    <w:basedOn w:val="Normal"/>
    <w:link w:val="RodapChar"/>
    <w:uiPriority w:val="99"/>
    <w:unhideWhenUsed/>
    <w:rsid w:val="00FB09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0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2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5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670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David Trolesi Dos Santos</dc:creator>
  <cp:keywords/>
  <dc:description/>
  <cp:lastModifiedBy>EA - David Trolesi Dos Santos</cp:lastModifiedBy>
  <cp:revision>2</cp:revision>
  <cp:lastPrinted>2025-03-04T03:39:00Z</cp:lastPrinted>
  <dcterms:created xsi:type="dcterms:W3CDTF">2025-03-04T01:43:00Z</dcterms:created>
  <dcterms:modified xsi:type="dcterms:W3CDTF">2025-03-04T03:58:00Z</dcterms:modified>
</cp:coreProperties>
</file>