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Calibri" w:hAnsi="Calibri"/>
          <w:b/>
          <w:color w:val="163A5F"/>
          <w:sz w:val="46"/>
        </w:rPr>
        <w:t>ТЕХНИЧЕСКОЕ ЗАДАНИЕ</w:t>
      </w:r>
    </w:p>
    <w:p>
      <w:pPr>
        <w:spacing w:after="320"/>
      </w:pPr>
      <w:r>
        <w:rPr>
          <w:rFonts w:ascii="Calibri" w:hAnsi="Calibri"/>
          <w:color w:val="5F6B76"/>
          <w:sz w:val="28"/>
        </w:rPr>
        <w:t>Онлайн-панель для управления продажами шинопровода KLM в Республике Таджикистан</w:t>
      </w:r>
    </w:p>
    <w:p>
      <w:pPr>
        <w:spacing w:after="40"/>
      </w:pPr>
      <w:r>
        <w:rPr>
          <w:b/>
        </w:rPr>
        <w:t xml:space="preserve">Заказчик документа: </w:t>
      </w:r>
      <w:r>
        <w:t>KLM / коммерческое и проектное подразделения</w:t>
      </w:r>
    </w:p>
    <w:p>
      <w:pPr>
        <w:spacing w:after="40"/>
      </w:pPr>
      <w:r>
        <w:rPr>
          <w:b/>
        </w:rPr>
        <w:t xml:space="preserve">Назначение: </w:t>
      </w:r>
      <w:r>
        <w:t>Основа для проектирования, оценки и поэтапной разработки системы</w:t>
      </w:r>
    </w:p>
    <w:p>
      <w:pPr>
        <w:spacing w:after="40"/>
      </w:pPr>
      <w:r>
        <w:rPr>
          <w:b/>
        </w:rPr>
        <w:t xml:space="preserve">Горизонт данных: </w:t>
      </w:r>
      <w:r>
        <w:t>Действующие и перспективные проекты; первичный срез на 26.08.2026</w:t>
      </w:r>
    </w:p>
    <w:p>
      <w:pPr>
        <w:spacing w:after="40"/>
      </w:pPr>
      <w:r>
        <w:rPr>
          <w:b/>
        </w:rPr>
        <w:t xml:space="preserve">Статус: </w:t>
      </w:r>
      <w:r>
        <w:t>Проект ТЗ для согласования</w:t>
      </w:r>
    </w:p>
    <w:p>
      <w:pPr>
        <w:spacing w:after="240"/>
        <w:pBdr>
          <w:bottom w:val="single" w:sz="12" w:space="1" w:color="2E74B5"/>
        </w:pBdr>
      </w:pPr>
    </w:p>
    <w:p>
      <w:pPr>
        <w:pStyle w:val="Heading1"/>
      </w:pPr>
      <w:r>
        <w:t>1. Резюме и границы проекта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63A5F"/>
              </w:rPr>
              <w:t xml:space="preserve">Цель: </w:t>
            </w:r>
            <w:r>
              <w:t>Создать единое рабочее пространство, в котором KLM видит рынок строительных и промышленных проектов Таджикистана, выявляет точки применения шинопровода, управляет контактами и воронкой, готовит технико-коммерческие предложения и контролирует следующий шаг по каждой возможности.</w:t>
            </w:r>
          </w:p>
        </w:tc>
      </w:tr>
    </w:tbl>
    <w:p>
      <w:pPr>
        <w:spacing w:after="0"/>
      </w:pPr>
    </w:p>
    <w:p>
      <w:r>
        <w:t>Панель должна заменить разрозненные таблицы, переписку и неструктурированные заметки. Система не является бухгалтерией, складской ERP или полноценной CAD/электротехнической расчётной программой в первой версии, но должна быть готова к интеграции с ними.</w:t>
      </w:r>
    </w:p>
    <w:p>
      <w:pPr>
        <w:pStyle w:val="Heading2"/>
      </w:pPr>
      <w:r>
        <w:t>1.1. Бизнес-результаты</w:t>
      </w:r>
    </w:p>
    <w:p>
      <w:pPr>
        <w:pStyle w:val="ListBullet"/>
      </w:pPr>
      <w:r>
        <w:t>Единый реестр действующих и перспективных объектов с доказательной базой и датой последней проверки.</w:t>
      </w:r>
    </w:p>
    <w:p>
      <w:pPr>
        <w:pStyle w:val="ListBullet"/>
      </w:pPr>
      <w:r>
        <w:t>Прозрачная карта лиц, влияющих на спецификацию и закупку: инвестор, заказчик, технический заказчик, проектировщик, EPC/генподрядчик, электромонтажная организация, поставщик щитов и закупщик.</w:t>
      </w:r>
    </w:p>
    <w:p>
      <w:pPr>
        <w:pStyle w:val="ListBullet"/>
      </w:pPr>
      <w:r>
        <w:t>Раннее выявление проектов до фиксации электротехнической спецификации.</w:t>
      </w:r>
    </w:p>
    <w:p>
      <w:pPr>
        <w:pStyle w:val="ListBullet"/>
      </w:pPr>
      <w:r>
        <w:t>Приоритизация возможностей по вероятности заказа, потенциалу шинопровода и сроку закупки.</w:t>
      </w:r>
    </w:p>
    <w:p>
      <w:pPr>
        <w:pStyle w:val="ListBullet"/>
      </w:pPr>
      <w:r>
        <w:t>Сокращение времени от получения исходных данных до выдачи предложения и контроля последующих действий.</w:t>
      </w:r>
    </w:p>
    <w:p>
      <w:pPr>
        <w:pStyle w:val="Heading2"/>
      </w:pPr>
      <w:r>
        <w:t>1.2. KPI после запуска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5100"/>
        <w:gridCol w:w="2360"/>
      </w:tblGrid>
      <w:tr>
        <w:trPr>
          <w:tblHeader w:val="true"/>
        </w:trPr>
        <w:tc>
          <w:tcPr>
            <w:tcW w:type="dxa" w:w="1900"/>
            <w:shd w:fill="2E74B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5100"/>
            <w:shd w:fill="2E74B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Определение</w:t>
            </w:r>
          </w:p>
        </w:tc>
        <w:tc>
          <w:tcPr>
            <w:tcW w:type="dxa" w:w="2360"/>
            <w:shd w:fill="2E74B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Цель через 6 месяцев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8"/>
              </w:rPr>
              <w:t>Покрытие рынка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8"/>
              </w:rPr>
              <w:t>Доля приоритетных проектов с заказчиком, стадией, источником и ответственным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8"/>
              </w:rPr>
              <w:t>≥ 90%</w:t>
            </w:r>
          </w:p>
        </w:tc>
      </w:tr>
      <w:tr>
        <w:tc>
          <w:tcPr>
            <w:tcW w:type="dxa" w:w="190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8"/>
              </w:rPr>
              <w:t>Полнота stakeholder map</w:t>
            </w:r>
          </w:p>
        </w:tc>
        <w:tc>
          <w:tcPr>
            <w:tcW w:type="dxa" w:w="510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8"/>
              </w:rPr>
              <w:t>Доля возможностей с минимум 3 ролями и контактами</w:t>
            </w:r>
          </w:p>
        </w:tc>
        <w:tc>
          <w:tcPr>
            <w:tcW w:type="dxa" w:w="236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8"/>
              </w:rPr>
              <w:t>≥ 70%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8"/>
              </w:rPr>
              <w:t>Актуальность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8"/>
              </w:rPr>
              <w:t>Доля записей, проверенных не более 45 дней назад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8"/>
              </w:rPr>
              <w:t>≥ 85%</w:t>
            </w:r>
          </w:p>
        </w:tc>
      </w:tr>
      <w:tr>
        <w:tc>
          <w:tcPr>
            <w:tcW w:type="dxa" w:w="190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8"/>
              </w:rPr>
              <w:t>Дисциплина воронки</w:t>
            </w:r>
          </w:p>
        </w:tc>
        <w:tc>
          <w:tcPr>
            <w:tcW w:type="dxa" w:w="510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8"/>
              </w:rPr>
              <w:t>Возможности с датой следующего шага</w:t>
            </w:r>
          </w:p>
        </w:tc>
        <w:tc>
          <w:tcPr>
            <w:tcW w:type="dxa" w:w="236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8"/>
              </w:rPr>
              <w:t>≥ 95%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8"/>
              </w:rPr>
              <w:t>Скорость КП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8"/>
              </w:rPr>
              <w:t>Медианное время от квалификации до черновика КП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8"/>
              </w:rPr>
              <w:t>≤ 3 раб. дней</w:t>
            </w:r>
          </w:p>
        </w:tc>
      </w:tr>
      <w:tr>
        <w:tc>
          <w:tcPr>
            <w:tcW w:type="dxa" w:w="190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8"/>
              </w:rPr>
              <w:t>Конверсия</w:t>
            </w:r>
          </w:p>
        </w:tc>
        <w:tc>
          <w:tcPr>
            <w:tcW w:type="dxa" w:w="510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8"/>
              </w:rPr>
              <w:t>Квалифицированная возможность → запрос цены/тендер</w:t>
            </w:r>
          </w:p>
        </w:tc>
        <w:tc>
          <w:tcPr>
            <w:tcW w:type="dxa" w:w="236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8"/>
              </w:rPr>
              <w:t>Базовая линия +20%</w:t>
            </w:r>
          </w:p>
        </w:tc>
      </w:tr>
    </w:tbl>
    <w:p>
      <w:pPr>
        <w:spacing w:after="0"/>
      </w:pPr>
    </w:p>
    <w:p>
      <w:pPr>
        <w:pStyle w:val="Heading1"/>
      </w:pPr>
      <w:r>
        <w:t>2. Пользователи и права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2E74B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Роль</w:t>
            </w:r>
          </w:p>
        </w:tc>
        <w:tc>
          <w:tcPr>
            <w:tcW w:type="dxa" w:w="7260"/>
            <w:shd w:fill="2E74B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Основные права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8"/>
              </w:rPr>
              <w:t>Администратор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8"/>
              </w:rPr>
              <w:t>Пользователи, роли, справочники, интеграции, аудит, правила доступа.</w:t>
            </w:r>
          </w:p>
        </w:tc>
      </w:tr>
      <w:tr>
        <w:tc>
          <w:tcPr>
            <w:tcW w:type="dxa" w:w="210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8"/>
              </w:rPr>
              <w:t>Руководитель продаж</w:t>
            </w:r>
          </w:p>
        </w:tc>
        <w:tc>
          <w:tcPr>
            <w:tcW w:type="dxa" w:w="726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8"/>
              </w:rPr>
              <w:t>Весь pipeline, прогноз, распределение ответственных, утверждение скидок и закрытия.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8"/>
              </w:rPr>
              <w:t>Менеджер по продажам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8"/>
              </w:rPr>
              <w:t>Свои/назначенные проекты, контакты, активности, возможности, документы и задачи.</w:t>
            </w:r>
          </w:p>
        </w:tc>
      </w:tr>
      <w:tr>
        <w:tc>
          <w:tcPr>
            <w:tcW w:type="dxa" w:w="210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8"/>
              </w:rPr>
              <w:t>Инженер KLM</w:t>
            </w:r>
          </w:p>
        </w:tc>
        <w:tc>
          <w:tcPr>
            <w:tcW w:type="dxa" w:w="726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8"/>
              </w:rPr>
              <w:t>Технические требования, расчётные параметры, подбор системы, замечания к спецификациям.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8"/>
              </w:rPr>
              <w:t>Маркетинг/аналитик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8"/>
              </w:rPr>
              <w:t>Источники, импорт проектов, дедупликация, сегментация и рыночные отчёты.</w:t>
            </w:r>
          </w:p>
        </w:tc>
      </w:tr>
      <w:tr>
        <w:tc>
          <w:tcPr>
            <w:tcW w:type="dxa" w:w="210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8"/>
              </w:rPr>
              <w:t>Руководство</w:t>
            </w:r>
          </w:p>
        </w:tc>
        <w:tc>
          <w:tcPr>
            <w:tcW w:type="dxa" w:w="726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8"/>
              </w:rPr>
              <w:t>Только чтение: дашборды, прогноз, риски, ключевые проекты и журнал решений.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8"/>
              </w:rPr>
              <w:t>Внешний партнёр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8"/>
              </w:rPr>
              <w:t>Ограниченный кабинет: назначенные запросы, документы и статусы без доступа к марже.</w:t>
            </w:r>
          </w:p>
        </w:tc>
      </w:tr>
    </w:tbl>
    <w:p>
      <w:pPr>
        <w:spacing w:after="0"/>
      </w:pPr>
    </w:p>
    <w:p>
      <w:r>
        <w:t>Доступ — ролевой и объектный. Финансовая маржа, себестоимость и специальные цены доступны только утверждённым ролям. Любое изменение стадии, суммы, вероятности, цены или ответственного фиксируется в журнале аудита.</w:t>
      </w:r>
    </w:p>
    <w:p>
      <w:pPr>
        <w:pStyle w:val="Heading1"/>
      </w:pPr>
      <w:r>
        <w:t>3. Информационная модель</w:t>
      </w:r>
    </w:p>
    <w:p>
      <w:pPr>
        <w:pStyle w:val="Heading2"/>
      </w:pPr>
      <w:r>
        <w:t>3.1. Карточка проекта/объекта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2E74B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Группа</w:t>
            </w:r>
          </w:p>
        </w:tc>
        <w:tc>
          <w:tcPr>
            <w:tcW w:type="dxa" w:w="7460"/>
            <w:shd w:fill="2E74B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Обязательные поля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Идентификация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Название RU/TJ/EN, тип объекта, отрасль, область/город/координаты, внутренний код.</w:t>
            </w:r>
          </w:p>
        </w:tc>
      </w:tr>
      <w:tr>
        <w:tc>
          <w:tcPr>
            <w:tcW w:type="dxa" w:w="190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Стадия</w:t>
            </w:r>
          </w:p>
        </w:tc>
        <w:tc>
          <w:tcPr>
            <w:tcW w:type="dxa" w:w="746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Идея; ТЭО; проектирование; тендер; строительство; монтаж MEP; закупка; введён; заморожен; отменён.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Сроки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Дата объявления, начало/окончание, план закупки электрооборудования, следующий контроль.</w:t>
            </w:r>
          </w:p>
        </w:tc>
      </w:tr>
      <w:tr>
        <w:tc>
          <w:tcPr>
            <w:tcW w:type="dxa" w:w="190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Инвестиции</w:t>
            </w:r>
          </w:p>
        </w:tc>
        <w:tc>
          <w:tcPr>
            <w:tcW w:type="dxa" w:w="746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Сумма, валюта, тип значения (официально/оценка/диапазон), источник финансирования, инвесторы/МФО.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Участники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Заказчик, владелец, инвестор, PMC, проектировщик, EPC/генподрядчик, субподрядчики, закупочная организация.</w:t>
            </w:r>
          </w:p>
        </w:tc>
      </w:tr>
      <w:tr>
        <w:tc>
          <w:tcPr>
            <w:tcW w:type="dxa" w:w="190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Электрика</w:t>
            </w:r>
          </w:p>
        </w:tc>
        <w:tc>
          <w:tcPr>
            <w:tcW w:type="dxa" w:w="746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Мощность объекта, напряжения, токи, трансформаторы, ДГУ/UPS, IP, температура, огнестойкость, трассы.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Потенциал KLM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Сценарии применения, ориентировочная длина, токовый диапазон, тип шинопровода, количество точек отвода.</w:t>
            </w:r>
          </w:p>
        </w:tc>
      </w:tr>
      <w:tr>
        <w:tc>
          <w:tcPr>
            <w:tcW w:type="dxa" w:w="190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Доказательства</w:t>
            </w:r>
          </w:p>
        </w:tc>
        <w:tc>
          <w:tcPr>
            <w:tcW w:type="dxa" w:w="746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URL/файл, издатель, дата публикации, дата проверки, цитата/выдержка, достоверность A/B/C/D.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Коммерция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Ответственный, стадия воронки, сумма, вероятность, конкуренты, стратегия, следующий шаг.</w:t>
            </w:r>
          </w:p>
        </w:tc>
      </w:tr>
    </w:tbl>
    <w:p>
      <w:pPr>
        <w:spacing w:after="0"/>
      </w:pPr>
    </w:p>
    <w:p>
      <w:pPr>
        <w:pStyle w:val="Heading2"/>
      </w:pPr>
      <w:r>
        <w:t>3.2. Связанные сущности</w:t>
      </w:r>
    </w:p>
    <w:p>
      <w:pPr>
        <w:pStyle w:val="ListBullet"/>
      </w:pPr>
      <w:r>
        <w:t>Компания: юридическое и торговое наименование, страна, тип роли, сайт, ИНН при наличии, связи с группой компаний.</w:t>
      </w:r>
    </w:p>
    <w:p>
      <w:pPr>
        <w:pStyle w:val="ListBullet"/>
      </w:pPr>
      <w:r>
        <w:t>Контакт: ФИО, должность, влияние, роль в закупке, языки, каналы связи, согласие/основание обработки данных.</w:t>
      </w:r>
    </w:p>
    <w:p>
      <w:pPr>
        <w:pStyle w:val="ListBullet"/>
      </w:pPr>
      <w:r>
        <w:t>Возможность: проект + пакет/лот + продуктовая линия + сумма + стадия + вероятность + ожидаемая дата заказа.</w:t>
      </w:r>
    </w:p>
    <w:p>
      <w:pPr>
        <w:pStyle w:val="ListBullet"/>
      </w:pPr>
      <w:r>
        <w:t>Активность: звонок, встреча, письмо, визит, тендерное событие, запрос исходных данных, задача, протокол.</w:t>
      </w:r>
    </w:p>
    <w:p>
      <w:pPr>
        <w:pStyle w:val="ListBullet"/>
      </w:pPr>
      <w:r>
        <w:t>Технический запрос: однолинейная схема, спецификация, BIM/CAD, нагрузки, трассы, чек-лист недостающих данных.</w:t>
      </w:r>
    </w:p>
    <w:p>
      <w:pPr>
        <w:pStyle w:val="ListBullet"/>
      </w:pPr>
      <w:r>
        <w:t>Предложение: версия, комплектация, цены, валюта, Incoterms, сроки, гарантия, согласования и статус клиента.</w:t>
      </w:r>
    </w:p>
    <w:p>
      <w:pPr>
        <w:pStyle w:val="ListBullet"/>
      </w:pPr>
      <w:r>
        <w:t>Источник/сигнал: веб-страница, закупочная площадка, PDF, новость, письмо, визит; может относиться к нескольким проектам.</w:t>
      </w:r>
    </w:p>
    <w:p>
      <w:pPr>
        <w:pStyle w:val="Heading1"/>
      </w:pPr>
      <w:r>
        <w:t>4. Функциональные требования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2100"/>
        <w:gridCol w:w="6410"/>
      </w:tblGrid>
      <w:tr>
        <w:trPr>
          <w:tblHeader w:val="true"/>
        </w:trPr>
        <w:tc>
          <w:tcPr>
            <w:tcW w:type="dxa" w:w="850"/>
            <w:shd w:fill="2E74B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100"/>
            <w:shd w:fill="2E74B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6410"/>
            <w:shd w:fill="2E74B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Требование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FR-01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Реестр проектов</w:t>
            </w:r>
          </w:p>
        </w:tc>
        <w:tc>
          <w:tcPr>
            <w:tcW w:type="dxa" w:w="6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Список и карта; быстрый поиск; фильтры по отрасли, стадии, региону, инвестициям, сроку закупки, ответственному и достоверности.</w:t>
            </w:r>
          </w:p>
        </w:tc>
      </w:tr>
      <w:tr>
        <w:tc>
          <w:tcPr>
            <w:tcW w:type="dxa" w:w="85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FR-02</w:t>
            </w:r>
          </w:p>
        </w:tc>
        <w:tc>
          <w:tcPr>
            <w:tcW w:type="dxa" w:w="210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Карточка 360°</w:t>
            </w:r>
          </w:p>
        </w:tc>
        <w:tc>
          <w:tcPr>
            <w:tcW w:type="dxa" w:w="641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Хронология, участники, инвестиции, технический потенциал, документы, риски, задачи, история изменений.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FR-03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Разведка рынка</w:t>
            </w:r>
          </w:p>
        </w:tc>
        <w:tc>
          <w:tcPr>
            <w:tcW w:type="dxa" w:w="6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Ручное добавление и импорт CSV/XLSX; очередь новых сигналов; сопоставление с существующими объектами; дедупликация.</w:t>
            </w:r>
          </w:p>
        </w:tc>
      </w:tr>
      <w:tr>
        <w:tc>
          <w:tcPr>
            <w:tcW w:type="dxa" w:w="85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FR-04</w:t>
            </w:r>
          </w:p>
        </w:tc>
        <w:tc>
          <w:tcPr>
            <w:tcW w:type="dxa" w:w="210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Stakeholder map</w:t>
            </w:r>
          </w:p>
        </w:tc>
        <w:tc>
          <w:tcPr>
            <w:tcW w:type="dxa" w:w="641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Граф связей компаний и контактов; роль в решении; влияние; отношение к KLM; последняя коммуникация.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FR-05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CRM-воронка</w:t>
            </w:r>
          </w:p>
        </w:tc>
        <w:tc>
          <w:tcPr>
            <w:tcW w:type="dxa" w:w="6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Канбан по стадиям; причины проигрыша; сумма/вероятность; следующий шаг; прогноз по месяцу/кварталу.</w:t>
            </w:r>
          </w:p>
        </w:tc>
      </w:tr>
      <w:tr>
        <w:tc>
          <w:tcPr>
            <w:tcW w:type="dxa" w:w="85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FR-06</w:t>
            </w:r>
          </w:p>
        </w:tc>
        <w:tc>
          <w:tcPr>
            <w:tcW w:type="dxa" w:w="210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Техническая квалификация</w:t>
            </w:r>
          </w:p>
        </w:tc>
        <w:tc>
          <w:tcPr>
            <w:tcW w:type="dxa" w:w="641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Анкета объекта, контроль полноты исходных данных, инженерное заключение и сценарии применения KLM.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FR-07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Подбор и КП</w:t>
            </w:r>
          </w:p>
        </w:tc>
        <w:tc>
          <w:tcPr>
            <w:tcW w:type="dxa" w:w="6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Каталог изделий/параметров, конфигурация решения, версии BOM, шаблон КП, согласование цены и экспорт DOCX/PDF.</w:t>
            </w:r>
          </w:p>
        </w:tc>
      </w:tr>
      <w:tr>
        <w:tc>
          <w:tcPr>
            <w:tcW w:type="dxa" w:w="85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FR-08</w:t>
            </w:r>
          </w:p>
        </w:tc>
        <w:tc>
          <w:tcPr>
            <w:tcW w:type="dxa" w:w="210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Задачи и уведомления</w:t>
            </w:r>
          </w:p>
        </w:tc>
        <w:tc>
          <w:tcPr>
            <w:tcW w:type="dxa" w:w="641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Напоминания о следующем шаге, просроченной проверке, изменении источника, приближении тендера и отсутствии контактов.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FR-09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Документы</w:t>
            </w:r>
          </w:p>
        </w:tc>
        <w:tc>
          <w:tcPr>
            <w:tcW w:type="dxa" w:w="6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Загрузка, версии, теги, полнотекстовый поиск, разграничение доступа, привязка к проекту/возможности.</w:t>
            </w:r>
          </w:p>
        </w:tc>
      </w:tr>
      <w:tr>
        <w:tc>
          <w:tcPr>
            <w:tcW w:type="dxa" w:w="85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FR-10</w:t>
            </w:r>
          </w:p>
        </w:tc>
        <w:tc>
          <w:tcPr>
            <w:tcW w:type="dxa" w:w="210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Дашборды</w:t>
            </w:r>
          </w:p>
        </w:tc>
        <w:tc>
          <w:tcPr>
            <w:tcW w:type="dxa" w:w="641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Pipeline, прогноз, тепловая карта, приоритеты, просроченные действия, качество данных, источники и конверсия.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FR-11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Справочники</w:t>
            </w:r>
          </w:p>
        </w:tc>
        <w:tc>
          <w:tcPr>
            <w:tcW w:type="dxa" w:w="6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Отрасли, стадии, роли, типы объектов, конкуренты, валюты, Incoterms, продуктовые семейства, причины потерь.</w:t>
            </w:r>
          </w:p>
        </w:tc>
      </w:tr>
      <w:tr>
        <w:tc>
          <w:tcPr>
            <w:tcW w:type="dxa" w:w="85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FR-12</w:t>
            </w:r>
          </w:p>
        </w:tc>
        <w:tc>
          <w:tcPr>
            <w:tcW w:type="dxa" w:w="210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Администрирование</w:t>
            </w:r>
          </w:p>
        </w:tc>
        <w:tc>
          <w:tcPr>
            <w:tcW w:type="dxa" w:w="641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Пользователи, RBAC, аудит, импорт/экспорт, правила SLA, резервное копирование и системные журналы.</w:t>
            </w:r>
          </w:p>
        </w:tc>
      </w:tr>
    </w:tbl>
    <w:p>
      <w:pPr>
        <w:spacing w:after="0"/>
      </w:pPr>
    </w:p>
    <w:p>
      <w:pPr>
        <w:pStyle w:val="Heading2"/>
      </w:pPr>
      <w:r>
        <w:t>4.1. Главный экран</w:t>
      </w:r>
    </w:p>
    <w:p>
      <w:pPr>
        <w:pStyle w:val="ListBullet"/>
      </w:pPr>
      <w:r>
        <w:t>Карточки: взвешенный pipeline, открытые возможности, ожидаемые заказы 90 дней, просроченные действия, новые сигналы за 7 дней.</w:t>
      </w:r>
    </w:p>
    <w:p>
      <w:pPr>
        <w:pStyle w:val="ListBullet"/>
      </w:pPr>
      <w:r>
        <w:t>Воронка по стадиям и квартальный прогноз: базовый, вероятностный и подтверждённый сценарии.</w:t>
      </w:r>
    </w:p>
    <w:p>
      <w:pPr>
        <w:pStyle w:val="ListBullet"/>
      </w:pPr>
      <w:r>
        <w:t>Топ-10 проектов с причиной приоритета и ближайшим коммерческим действием.</w:t>
      </w:r>
    </w:p>
    <w:p>
      <w:pPr>
        <w:pStyle w:val="ListBullet"/>
      </w:pPr>
      <w:r>
        <w:t>Карта Таджикистана с кластерами объектов и фильтрами по отрасли/стадии.</w:t>
      </w:r>
    </w:p>
    <w:p>
      <w:pPr>
        <w:pStyle w:val="ListBullet"/>
      </w:pPr>
      <w:r>
        <w:t>Блок качества данных: нет заказчика, не найден EPC, устаревший источник, неизвестен срок закупки, нет следующего шага.</w:t>
      </w:r>
    </w:p>
    <w:p>
      <w:pPr>
        <w:pStyle w:val="Heading2"/>
      </w:pPr>
      <w:r>
        <w:t>4.2. Стадии воронки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650"/>
        <w:gridCol w:w="3910"/>
      </w:tblGrid>
      <w:tr>
        <w:trPr>
          <w:tblHeader w:val="true"/>
        </w:trPr>
        <w:tc>
          <w:tcPr>
            <w:tcW w:type="dxa" w:w="1800"/>
            <w:shd w:fill="2E74B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Стадия</w:t>
            </w:r>
          </w:p>
        </w:tc>
        <w:tc>
          <w:tcPr>
            <w:tcW w:type="dxa" w:w="3650"/>
            <w:shd w:fill="2E74B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Условие входа</w:t>
            </w:r>
          </w:p>
        </w:tc>
        <w:tc>
          <w:tcPr>
            <w:tcW w:type="dxa" w:w="3910"/>
            <w:shd w:fill="2E74B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Условие выхода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Сигнал</w:t>
            </w:r>
          </w:p>
        </w:tc>
        <w:tc>
          <w:tcPr>
            <w:tcW w:type="dxa" w:w="3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Найдена публикация/рекомендация</w:t>
            </w:r>
          </w:p>
        </w:tc>
        <w:tc>
          <w:tcPr>
            <w:tcW w:type="dxa" w:w="39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Создан объект и первичный источник</w:t>
            </w:r>
          </w:p>
        </w:tc>
      </w:tr>
      <w:tr>
        <w:tc>
          <w:tcPr>
            <w:tcW w:type="dxa" w:w="180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Проверен</w:t>
            </w:r>
          </w:p>
        </w:tc>
        <w:tc>
          <w:tcPr>
            <w:tcW w:type="dxa" w:w="365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Факт проекта подтверждён</w:t>
            </w:r>
          </w:p>
        </w:tc>
        <w:tc>
          <w:tcPr>
            <w:tcW w:type="dxa" w:w="391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Определены стадия, география и заказчик/владелец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Квалифицирован</w:t>
            </w:r>
          </w:p>
        </w:tc>
        <w:tc>
          <w:tcPr>
            <w:tcW w:type="dxa" w:w="3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Есть релевантная электрическая нагрузка</w:t>
            </w:r>
          </w:p>
        </w:tc>
        <w:tc>
          <w:tcPr>
            <w:tcW w:type="dxa" w:w="39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Оценён потенциал KLM и окно закупки</w:t>
            </w:r>
          </w:p>
        </w:tc>
      </w:tr>
      <w:tr>
        <w:tc>
          <w:tcPr>
            <w:tcW w:type="dxa" w:w="180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Контакт установлен</w:t>
            </w:r>
          </w:p>
        </w:tc>
        <w:tc>
          <w:tcPr>
            <w:tcW w:type="dxa" w:w="365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Есть рабочий контакт у одной стороны</w:t>
            </w:r>
          </w:p>
        </w:tc>
        <w:tc>
          <w:tcPr>
            <w:tcW w:type="dxa" w:w="391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Зафиксирована потребность/встреча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В спецификации</w:t>
            </w:r>
          </w:p>
        </w:tc>
        <w:tc>
          <w:tcPr>
            <w:tcW w:type="dxa" w:w="3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KLM или эквивалент рассматривается</w:t>
            </w:r>
          </w:p>
        </w:tc>
        <w:tc>
          <w:tcPr>
            <w:tcW w:type="dxa" w:w="39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Получены исходные данные/спецификация</w:t>
            </w:r>
          </w:p>
        </w:tc>
      </w:tr>
      <w:tr>
        <w:tc>
          <w:tcPr>
            <w:tcW w:type="dxa" w:w="180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RFQ/тендер</w:t>
            </w:r>
          </w:p>
        </w:tc>
        <w:tc>
          <w:tcPr>
            <w:tcW w:type="dxa" w:w="365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Получен запрос цены или тендер</w:t>
            </w:r>
          </w:p>
        </w:tc>
        <w:tc>
          <w:tcPr>
            <w:tcW w:type="dxa" w:w="391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Подано предложение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Переговоры</w:t>
            </w:r>
          </w:p>
        </w:tc>
        <w:tc>
          <w:tcPr>
            <w:tcW w:type="dxa" w:w="3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Обсуждаются цена/условия/эквивалентность</w:t>
            </w:r>
          </w:p>
        </w:tc>
        <w:tc>
          <w:tcPr>
            <w:tcW w:type="dxa" w:w="39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Получено решение</w:t>
            </w:r>
          </w:p>
        </w:tc>
      </w:tr>
      <w:tr>
        <w:tc>
          <w:tcPr>
            <w:tcW w:type="dxa" w:w="180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Заказ</w:t>
            </w:r>
          </w:p>
        </w:tc>
        <w:tc>
          <w:tcPr>
            <w:tcW w:type="dxa" w:w="365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PO/контракт/аванс</w:t>
            </w:r>
          </w:p>
        </w:tc>
        <w:tc>
          <w:tcPr>
            <w:tcW w:type="dxa" w:w="391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Передача на исполнение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Проиграно/отложено</w:t>
            </w:r>
          </w:p>
        </w:tc>
        <w:tc>
          <w:tcPr>
            <w:tcW w:type="dxa" w:w="3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Есть подтверждённая причина</w:t>
            </w:r>
          </w:p>
        </w:tc>
        <w:tc>
          <w:tcPr>
            <w:tcW w:type="dxa" w:w="39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Дата пересмотра либо закрытие</w:t>
            </w:r>
          </w:p>
        </w:tc>
      </w:tr>
    </w:tbl>
    <w:p>
      <w:pPr>
        <w:spacing w:after="0"/>
      </w:pPr>
    </w:p>
    <w:p>
      <w:pPr>
        <w:pStyle w:val="Heading1"/>
      </w:pPr>
      <w:r>
        <w:t>5. Приоритизация возможностей</w:t>
      </w:r>
    </w:p>
    <w:p>
      <w:r>
        <w:t>Система рассчитывает балл 0–100, но менеджер может изменить приоритет только с обязательным комментарием. Формула и веса настраиваются администратором.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900"/>
        <w:gridCol w:w="5160"/>
      </w:tblGrid>
      <w:tr>
        <w:trPr>
          <w:tblHeader w:val="true"/>
        </w:trPr>
        <w:tc>
          <w:tcPr>
            <w:tcW w:type="dxa" w:w="3300"/>
            <w:shd w:fill="2E74B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Фактор</w:t>
            </w:r>
          </w:p>
        </w:tc>
        <w:tc>
          <w:tcPr>
            <w:tcW w:type="dxa" w:w="900"/>
            <w:shd w:fill="2E74B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Вес</w:t>
            </w:r>
          </w:p>
        </w:tc>
        <w:tc>
          <w:tcPr>
            <w:tcW w:type="dxa" w:w="5160"/>
            <w:shd w:fill="2E74B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Пример правила</w:t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Электротехническая пригодность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25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ЦОД/непрерывное производство/вертикальные магистрали = высокий балл</w:t>
            </w:r>
          </w:p>
        </w:tc>
      </w:tr>
      <w:tr>
        <w:tc>
          <w:tcPr>
            <w:tcW w:type="dxa" w:w="330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Размер и инвестиции</w:t>
            </w:r>
          </w:p>
        </w:tc>
        <w:tc>
          <w:tcPr>
            <w:tcW w:type="dxa" w:w="90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15</w:t>
            </w:r>
          </w:p>
        </w:tc>
        <w:tc>
          <w:tcPr>
            <w:tcW w:type="dxa" w:w="516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Официальный бюджет или подтверждённый крупный CAPEX</w:t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Стадия и окно влияния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20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Проектирование/ранняя стройка выше, чем поздний монтаж</w:t>
            </w:r>
          </w:p>
        </w:tc>
      </w:tr>
      <w:tr>
        <w:tc>
          <w:tcPr>
            <w:tcW w:type="dxa" w:w="330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Доступ к ЛПР</w:t>
            </w:r>
          </w:p>
        </w:tc>
        <w:tc>
          <w:tcPr>
            <w:tcW w:type="dxa" w:w="90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15</w:t>
            </w:r>
          </w:p>
        </w:tc>
        <w:tc>
          <w:tcPr>
            <w:tcW w:type="dxa" w:w="516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Есть контакт заказчика + проектировщика/EPC</w:t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Определённость финансирования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10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Подписано соглашение/выделено финансирование</w:t>
            </w:r>
          </w:p>
        </w:tc>
      </w:tr>
      <w:tr>
        <w:tc>
          <w:tcPr>
            <w:tcW w:type="dxa" w:w="330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Конкурентная позиция</w:t>
            </w:r>
          </w:p>
        </w:tc>
        <w:tc>
          <w:tcPr>
            <w:tcW w:type="dxa" w:w="90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10</w:t>
            </w:r>
          </w:p>
        </w:tc>
        <w:tc>
          <w:tcPr>
            <w:tcW w:type="dxa" w:w="516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KLM включён в спецификацию или допускается эквивалент</w:t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Качество данных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Свежие источники класса A/B и заполненные ключевые поля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4D6"/>
          </w:tcPr>
          <w:p>
            <w:pPr>
              <w:spacing w:after="0"/>
            </w:pPr>
            <w:r>
              <w:rPr>
                <w:b/>
                <w:color w:val="163A5F"/>
              </w:rPr>
              <w:t xml:space="preserve">Классы достоверности: </w:t>
            </w:r>
            <w:r>
              <w:t>A — первичный официальный источник/тендерный документ; B — МФО, заказчик, подрядчик или проверенное деловое СМИ; C — вторичная публикация; D — неподтверждённый сигнал. Инвестиции и участники без A/B не должны отображаться как установленный факт.</w:t>
            </w:r>
          </w:p>
        </w:tc>
      </w:tr>
    </w:tbl>
    <w:p>
      <w:pPr>
        <w:spacing w:after="0"/>
      </w:pPr>
    </w:p>
    <w:p>
      <w:pPr>
        <w:pStyle w:val="Heading1"/>
      </w:pPr>
      <w:r>
        <w:t>6. Начальный реестр проектов для загрузки</w:t>
      </w:r>
    </w:p>
    <w:p>
      <w:r>
        <w:t>Ниже — стартовый набор, а не окончательный список продаж. Команда обязана проверить стадию закупки, электрическую часть и фактических участников до начала коммерческой коммуникации.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00"/>
        <w:gridCol w:w="1750"/>
        <w:gridCol w:w="900"/>
        <w:gridCol w:w="1350"/>
        <w:gridCol w:w="1550"/>
        <w:gridCol w:w="1750"/>
        <w:gridCol w:w="1050"/>
        <w:gridCol w:w="410"/>
      </w:tblGrid>
      <w:tr>
        <w:trPr>
          <w:tblHeader w:val="true"/>
        </w:trPr>
        <w:tc>
          <w:tcPr>
            <w:tcW w:type="dxa" w:w="600"/>
            <w:shd w:fill="2E74B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1750"/>
            <w:shd w:fill="2E74B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Проект</w:t>
            </w:r>
          </w:p>
        </w:tc>
        <w:tc>
          <w:tcPr>
            <w:tcW w:type="dxa" w:w="900"/>
            <w:shd w:fill="2E74B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Сектор</w:t>
            </w:r>
          </w:p>
        </w:tc>
        <w:tc>
          <w:tcPr>
            <w:tcW w:type="dxa" w:w="1350"/>
            <w:shd w:fill="2E74B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Статус</w:t>
            </w:r>
          </w:p>
        </w:tc>
        <w:tc>
          <w:tcPr>
            <w:tcW w:type="dxa" w:w="1550"/>
            <w:shd w:fill="2E74B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Заказчик/инициатор</w:t>
            </w:r>
          </w:p>
        </w:tc>
        <w:tc>
          <w:tcPr>
            <w:tcW w:type="dxa" w:w="1750"/>
            <w:shd w:fill="2E74B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EPC/генподрядчик</w:t>
            </w:r>
          </w:p>
        </w:tc>
        <w:tc>
          <w:tcPr>
            <w:tcW w:type="dxa" w:w="1050"/>
            <w:shd w:fill="2E74B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Потенциал</w:t>
            </w:r>
          </w:p>
        </w:tc>
        <w:tc>
          <w:tcPr>
            <w:tcW w:type="dxa" w:w="410"/>
            <w:shd w:fill="2E74B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Дов.</w:t>
            </w:r>
          </w:p>
        </w:tc>
      </w:tr>
      <w:tr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4"/>
              </w:rPr>
              <w:t>P-001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4"/>
              </w:rPr>
              <w:t>Рогунская ГЭС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4"/>
              </w:rPr>
              <w:t>Энергетика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4"/>
              </w:rPr>
              <w:t>Строительство</w:t>
            </w:r>
          </w:p>
        </w:tc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4"/>
              </w:rPr>
              <w:t>ОАО «Рогунская ГЭС»; PMG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4"/>
              </w:rPr>
              <w:t>Voith Hydro; Webuild; TGEM; Lot 4 — проверить</w:t>
            </w:r>
          </w:p>
        </w:tc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4"/>
              </w:rPr>
              <w:t>Очень высокий</w:t>
            </w:r>
          </w:p>
        </w:tc>
        <w:tc>
          <w:tcPr>
            <w:tcW w:type="dxa" w:w="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4"/>
              </w:rPr>
              <w:t>A</w:t>
            </w:r>
          </w:p>
        </w:tc>
      </w:tr>
      <w:tr>
        <w:tc>
          <w:tcPr>
            <w:tcW w:type="dxa" w:w="60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4"/>
              </w:rPr>
              <w:t>P-002</w:t>
            </w:r>
          </w:p>
        </w:tc>
        <w:tc>
          <w:tcPr>
            <w:tcW w:type="dxa" w:w="175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4"/>
              </w:rPr>
              <w:t>Горно-обогатительный/металлургический комплекс, Б. Гафуров</w:t>
            </w:r>
          </w:p>
        </w:tc>
        <w:tc>
          <w:tcPr>
            <w:tcW w:type="dxa" w:w="90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4"/>
              </w:rPr>
              <w:t>ГМК</w:t>
            </w:r>
          </w:p>
        </w:tc>
        <w:tc>
          <w:tcPr>
            <w:tcW w:type="dxa" w:w="135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4"/>
              </w:rPr>
              <w:t>1-я очередь &gt;80%; ввод 09.2027</w:t>
            </w:r>
          </w:p>
        </w:tc>
        <w:tc>
          <w:tcPr>
            <w:tcW w:type="dxa" w:w="155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4"/>
              </w:rPr>
              <w:t>ЗАО «Таджикский металлургический комбинат»</w:t>
            </w:r>
          </w:p>
        </w:tc>
        <w:tc>
          <w:tcPr>
            <w:tcW w:type="dxa" w:w="175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4"/>
              </w:rPr>
              <w:t>Китайские партнёры упомянуты; точный EPC проверить</w:t>
            </w:r>
          </w:p>
        </w:tc>
        <w:tc>
          <w:tcPr>
            <w:tcW w:type="dxa" w:w="105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4"/>
              </w:rPr>
              <w:t>Очень высокий</w:t>
            </w:r>
          </w:p>
        </w:tc>
        <w:tc>
          <w:tcPr>
            <w:tcW w:type="dxa" w:w="41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4"/>
              </w:rPr>
              <w:t>A</w:t>
            </w:r>
          </w:p>
        </w:tc>
      </w:tr>
      <w:tr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4"/>
              </w:rPr>
              <w:t>P-003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4"/>
              </w:rPr>
              <w:t>Crystal Green Glass — 3 завода, Душанбе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4"/>
              </w:rPr>
              <w:t>Стекло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4"/>
              </w:rPr>
              <w:t>Строительство</w:t>
            </w:r>
          </w:p>
        </w:tc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4"/>
              </w:rPr>
              <w:t>ООО «Crystal Green Glass»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4"/>
              </w:rPr>
              <w:t>Не раскрыт в найденных первичных публикациях</w:t>
            </w:r>
          </w:p>
        </w:tc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4"/>
              </w:rPr>
              <w:t>Очень высокий</w:t>
            </w:r>
          </w:p>
        </w:tc>
        <w:tc>
          <w:tcPr>
            <w:tcW w:type="dxa" w:w="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4"/>
              </w:rPr>
              <w:t>A</w:t>
            </w:r>
          </w:p>
        </w:tc>
      </w:tr>
      <w:tr>
        <w:tc>
          <w:tcPr>
            <w:tcW w:type="dxa" w:w="60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4"/>
              </w:rPr>
              <w:t>P-004</w:t>
            </w:r>
          </w:p>
        </w:tc>
        <w:tc>
          <w:tcPr>
            <w:tcW w:type="dxa" w:w="175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4"/>
              </w:rPr>
              <w:t>Цементный завод, Истаравшан</w:t>
            </w:r>
          </w:p>
        </w:tc>
        <w:tc>
          <w:tcPr>
            <w:tcW w:type="dxa" w:w="90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4"/>
              </w:rPr>
              <w:t>Цемент</w:t>
            </w:r>
          </w:p>
        </w:tc>
        <w:tc>
          <w:tcPr>
            <w:tcW w:type="dxa" w:w="135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4"/>
              </w:rPr>
              <w:t>Строительство; ввод до 2029</w:t>
            </w:r>
          </w:p>
        </w:tc>
        <w:tc>
          <w:tcPr>
            <w:tcW w:type="dxa" w:w="155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4"/>
              </w:rPr>
              <w:t>ЗАО «Таджикский металлургический комбинат»</w:t>
            </w:r>
          </w:p>
        </w:tc>
        <w:tc>
          <w:tcPr>
            <w:tcW w:type="dxa" w:w="175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4"/>
              </w:rPr>
              <w:t>Проверить; SINOMA подтверждена для соседнего известкового проекта</w:t>
            </w:r>
          </w:p>
        </w:tc>
        <w:tc>
          <w:tcPr>
            <w:tcW w:type="dxa" w:w="105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4"/>
              </w:rPr>
              <w:t>Очень высокий</w:t>
            </w:r>
          </w:p>
        </w:tc>
        <w:tc>
          <w:tcPr>
            <w:tcW w:type="dxa" w:w="41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4"/>
              </w:rPr>
              <w:t>A</w:t>
            </w:r>
          </w:p>
        </w:tc>
      </w:tr>
      <w:tr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4"/>
              </w:rPr>
              <w:t>P-005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4"/>
              </w:rPr>
              <w:t>Известковый завод, Б. Гафуров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4"/>
              </w:rPr>
              <w:t>Стройматериалы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4"/>
              </w:rPr>
              <w:t>Строительство; ввод до 2029</w:t>
            </w:r>
          </w:p>
        </w:tc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4"/>
              </w:rPr>
              <w:t>ЗАО «Таджикский металлургический комбинат»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4"/>
              </w:rPr>
              <w:t>SINOMA (проектирование, оборудование, монтаж, пуск)</w:t>
            </w:r>
          </w:p>
        </w:tc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4"/>
              </w:rPr>
              <w:t>Высокий</w:t>
            </w:r>
          </w:p>
        </w:tc>
        <w:tc>
          <w:tcPr>
            <w:tcW w:type="dxa" w:w="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4"/>
              </w:rPr>
              <w:t>A</w:t>
            </w:r>
          </w:p>
        </w:tc>
      </w:tr>
      <w:tr>
        <w:tc>
          <w:tcPr>
            <w:tcW w:type="dxa" w:w="60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4"/>
              </w:rPr>
              <w:t>P-006</w:t>
            </w:r>
          </w:p>
        </w:tc>
        <w:tc>
          <w:tcPr>
            <w:tcW w:type="dxa" w:w="175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4"/>
              </w:rPr>
              <w:t>Второй цементный завод, Вахдат/Харангони боло, Варзоб</w:t>
            </w:r>
          </w:p>
        </w:tc>
        <w:tc>
          <w:tcPr>
            <w:tcW w:type="dxa" w:w="90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4"/>
              </w:rPr>
              <w:t>Цемент</w:t>
            </w:r>
          </w:p>
        </w:tc>
        <w:tc>
          <w:tcPr>
            <w:tcW w:type="dxa" w:w="135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4"/>
              </w:rPr>
              <w:t>Старт 23.06.2026; срок 17 мес.</w:t>
            </w:r>
          </w:p>
        </w:tc>
        <w:tc>
          <w:tcPr>
            <w:tcW w:type="dxa" w:w="155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4"/>
              </w:rPr>
              <w:t>ООО «Сементи Точик»</w:t>
            </w:r>
          </w:p>
        </w:tc>
        <w:tc>
          <w:tcPr>
            <w:tcW w:type="dxa" w:w="175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4"/>
              </w:rPr>
              <w:t>Не раскрыт — установить</w:t>
            </w:r>
          </w:p>
        </w:tc>
        <w:tc>
          <w:tcPr>
            <w:tcW w:type="dxa" w:w="105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4"/>
              </w:rPr>
              <w:t>Очень высокий</w:t>
            </w:r>
          </w:p>
        </w:tc>
        <w:tc>
          <w:tcPr>
            <w:tcW w:type="dxa" w:w="41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4"/>
              </w:rPr>
              <w:t>A</w:t>
            </w:r>
          </w:p>
        </w:tc>
      </w:tr>
      <w:tr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4"/>
              </w:rPr>
              <w:t>P-007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4"/>
              </w:rPr>
              <w:t>Darya AI, Дарвоз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4"/>
              </w:rPr>
              <w:t>ЦОД/AI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4"/>
              </w:rPr>
              <w:t>Введён 25.06.2025; расширение — гипотеза</w:t>
            </w:r>
          </w:p>
        </w:tc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4"/>
              </w:rPr>
              <w:t>Шерзод Кабиров / Азизджон Азими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4"/>
              </w:rPr>
              <w:t>Партнёры по развитию — не раскрыты</w:t>
            </w:r>
          </w:p>
        </w:tc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4"/>
              </w:rPr>
              <w:t>Средний для расширения</w:t>
            </w:r>
          </w:p>
        </w:tc>
        <w:tc>
          <w:tcPr>
            <w:tcW w:type="dxa" w:w="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4"/>
              </w:rPr>
              <w:t>A</w:t>
            </w:r>
          </w:p>
        </w:tc>
      </w:tr>
      <w:tr>
        <w:tc>
          <w:tcPr>
            <w:tcW w:type="dxa" w:w="60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4"/>
              </w:rPr>
              <w:t>P-008</w:t>
            </w:r>
          </w:p>
        </w:tc>
        <w:tc>
          <w:tcPr>
            <w:tcW w:type="dxa" w:w="175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4"/>
              </w:rPr>
              <w:t>InterContinental Opera Dushanbe</w:t>
            </w:r>
          </w:p>
        </w:tc>
        <w:tc>
          <w:tcPr>
            <w:tcW w:type="dxa" w:w="90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4"/>
              </w:rPr>
              <w:t>Гостиница</w:t>
            </w:r>
          </w:p>
        </w:tc>
        <w:tc>
          <w:tcPr>
            <w:tcW w:type="dxa" w:w="135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4"/>
              </w:rPr>
              <w:t>Pipeline; ожидается 2027</w:t>
            </w:r>
          </w:p>
        </w:tc>
        <w:tc>
          <w:tcPr>
            <w:tcW w:type="dxa" w:w="155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4"/>
              </w:rPr>
              <w:t>Установить собственника/девелопера</w:t>
            </w:r>
          </w:p>
        </w:tc>
        <w:tc>
          <w:tcPr>
            <w:tcW w:type="dxa" w:w="175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4"/>
              </w:rPr>
              <w:t>Установить генподрядчика и MEP</w:t>
            </w:r>
          </w:p>
        </w:tc>
        <w:tc>
          <w:tcPr>
            <w:tcW w:type="dxa" w:w="105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4"/>
              </w:rPr>
              <w:t>Высокий</w:t>
            </w:r>
          </w:p>
        </w:tc>
        <w:tc>
          <w:tcPr>
            <w:tcW w:type="dxa" w:w="41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4"/>
              </w:rPr>
              <w:t>B</w:t>
            </w:r>
          </w:p>
        </w:tc>
      </w:tr>
      <w:tr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4"/>
              </w:rPr>
              <w:t>P-009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4"/>
              </w:rPr>
              <w:t>Шахристан Eco Resort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4"/>
              </w:rPr>
              <w:t>Туризм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4"/>
              </w:rPr>
              <w:t>Инвестпроект; 4 очереди</w:t>
            </w:r>
          </w:p>
        </w:tc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4"/>
              </w:rPr>
              <w:t>Установить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4"/>
              </w:rPr>
              <w:t>Установить</w:t>
            </w:r>
          </w:p>
        </w:tc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4"/>
              </w:rPr>
              <w:t>Средний/высокий</w:t>
            </w:r>
          </w:p>
        </w:tc>
        <w:tc>
          <w:tcPr>
            <w:tcW w:type="dxa" w:w="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4"/>
              </w:rPr>
              <w:t>A</w:t>
            </w:r>
          </w:p>
        </w:tc>
      </w:tr>
      <w:tr>
        <w:tc>
          <w:tcPr>
            <w:tcW w:type="dxa" w:w="60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4"/>
              </w:rPr>
              <w:t>P-010</w:t>
            </w:r>
          </w:p>
        </w:tc>
        <w:tc>
          <w:tcPr>
            <w:tcW w:type="dxa" w:w="175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4"/>
              </w:rPr>
              <w:t>АСУЭ/учёт электроэнергии, этап 2</w:t>
            </w:r>
          </w:p>
        </w:tc>
        <w:tc>
          <w:tcPr>
            <w:tcW w:type="dxa" w:w="90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4"/>
              </w:rPr>
              <w:t>Энергетика</w:t>
            </w:r>
          </w:p>
        </w:tc>
        <w:tc>
          <w:tcPr>
            <w:tcW w:type="dxa" w:w="135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4"/>
              </w:rPr>
              <w:t>Инвестсоглашение</w:t>
            </w:r>
          </w:p>
        </w:tc>
        <w:tc>
          <w:tcPr>
            <w:tcW w:type="dxa" w:w="155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4"/>
              </w:rPr>
              <w:t>Консорциум Avesta Group / TGEM / Dushanbe City</w:t>
            </w:r>
          </w:p>
        </w:tc>
        <w:tc>
          <w:tcPr>
            <w:tcW w:type="dxa" w:w="175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4"/>
              </w:rPr>
              <w:t>Консорциум назван</w:t>
            </w:r>
          </w:p>
        </w:tc>
        <w:tc>
          <w:tcPr>
            <w:tcW w:type="dxa" w:w="105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4"/>
              </w:rPr>
              <w:t>Низкий прямой / высокий контактный</w:t>
            </w:r>
          </w:p>
        </w:tc>
        <w:tc>
          <w:tcPr>
            <w:tcW w:type="dxa" w:w="41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4"/>
              </w:rPr>
              <w:t>A</w:t>
            </w:r>
          </w:p>
        </w:tc>
      </w:tr>
    </w:tbl>
    <w:p>
      <w:pPr>
        <w:spacing w:after="0"/>
      </w:pPr>
    </w:p>
    <w:p>
      <w:pPr>
        <w:pStyle w:val="Heading2"/>
      </w:pPr>
      <w:r>
        <w:t>6.1. Инвестиционные ориентиры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2450"/>
        <w:gridCol w:w="4310"/>
      </w:tblGrid>
      <w:tr>
        <w:trPr>
          <w:tblHeader w:val="true"/>
        </w:trPr>
        <w:tc>
          <w:tcPr>
            <w:tcW w:type="dxa" w:w="2600"/>
            <w:shd w:fill="2E74B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Проект/портфель</w:t>
            </w:r>
          </w:p>
        </w:tc>
        <w:tc>
          <w:tcPr>
            <w:tcW w:type="dxa" w:w="2450"/>
            <w:shd w:fill="2E74B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Подтверждённая величина</w:t>
            </w:r>
          </w:p>
        </w:tc>
        <w:tc>
          <w:tcPr>
            <w:tcW w:type="dxa" w:w="4310"/>
            <w:shd w:fill="2E74B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Как хранить в системе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Рогунская ГЭС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Общая стоимость в документах — около USD 6,1 млрд; пакет МФО до USD 3 млрд; отдельные решения WB/AIIB</w:t>
            </w:r>
          </w:p>
        </w:tc>
        <w:tc>
          <w:tcPr>
            <w:tcW w:type="dxa" w:w="4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Несколько траншей/источников; не суммировать автоматически без проверки пересечения</w:t>
            </w:r>
          </w:p>
        </w:tc>
      </w:tr>
      <w:tr>
        <w:tc>
          <w:tcPr>
            <w:tcW w:type="dxa" w:w="260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Металлургический комплекс</w:t>
            </w:r>
          </w:p>
        </w:tc>
        <w:tc>
          <w:tcPr>
            <w:tcW w:type="dxa" w:w="245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Около 6 млрд сомони</w:t>
            </w:r>
          </w:p>
        </w:tc>
        <w:tc>
          <w:tcPr>
            <w:tcW w:type="dxa" w:w="431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Официальная сумма; дата источника 09.07.2026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Crystal Green Glass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Около 1,2 млрд сомони: 150 + 650 + 380 млн</w:t>
            </w:r>
          </w:p>
        </w:tc>
        <w:tc>
          <w:tcPr>
            <w:tcW w:type="dxa" w:w="4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Три связанных подпроекта с отдельным CAPEX</w:t>
            </w:r>
          </w:p>
        </w:tc>
      </w:tr>
      <w:tr>
        <w:tc>
          <w:tcPr>
            <w:tcW w:type="dxa" w:w="260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Обработка сурьмы, Айни</w:t>
            </w:r>
          </w:p>
        </w:tc>
        <w:tc>
          <w:tcPr>
            <w:tcW w:type="dxa" w:w="245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USD 35 млн</w:t>
            </w:r>
          </w:p>
        </w:tc>
        <w:tc>
          <w:tcPr>
            <w:tcW w:type="dxa" w:w="431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Добавить как отдельный prospect; проверить электропотребление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АСУЭ, этап 2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USD 110 млн</w:t>
            </w:r>
          </w:p>
        </w:tc>
        <w:tc>
          <w:tcPr>
            <w:tcW w:type="dxa" w:w="4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Контактный/экосистемный проект, не прямой прогноз шинопровода</w:t>
            </w:r>
          </w:p>
        </w:tc>
      </w:tr>
      <w:tr>
        <w:tc>
          <w:tcPr>
            <w:tcW w:type="dxa" w:w="260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Госинвестпортфель 2025</w:t>
            </w:r>
          </w:p>
        </w:tc>
        <w:tc>
          <w:tcPr>
            <w:tcW w:type="dxa" w:w="245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82 проекта, USD 4,6807 млрд</w:t>
            </w:r>
          </w:p>
        </w:tc>
        <w:tc>
          <w:tcPr>
            <w:tcW w:type="dxa" w:w="431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Рыночный источник; использовать для обнаружения объектов, не как pipeline продаж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Pamir Invest 2025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&gt;650 млн сомони, 46 соглашений</w:t>
            </w:r>
          </w:p>
        </w:tc>
        <w:tc>
          <w:tcPr>
            <w:tcW w:type="dxa" w:w="4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Создать очередь сигналов; проекты раскрывать по отдельности</w:t>
            </w:r>
          </w:p>
        </w:tc>
      </w:tr>
    </w:tbl>
    <w:p>
      <w:pPr>
        <w:spacing w:after="0"/>
      </w:pPr>
    </w:p>
    <w:p>
      <w:pPr>
        <w:pStyle w:val="Heading1"/>
      </w:pPr>
      <w:r>
        <w:t>7. Ключевые пользовательские сценарии</w:t>
      </w:r>
    </w:p>
    <w:p>
      <w:pPr>
        <w:spacing w:after="160" w:line="280" w:lineRule="auto"/>
        <w:numPr>
          <w:ilvl w:val="0"/>
          <w:numId w:val="1000"/>
        </w:numPr>
      </w:pPr>
      <w:r>
        <w:t>Аналитик находит официальный сигнал, создаёт источник, проверяет совпадения и связывает его с новым или существующим проектом.</w:t>
      </w:r>
    </w:p>
    <w:p>
      <w:pPr>
        <w:spacing w:after="160" w:line="280" w:lineRule="auto"/>
        <w:numPr>
          <w:ilvl w:val="0"/>
          <w:numId w:val="1000"/>
        </w:numPr>
      </w:pPr>
      <w:r>
        <w:t>Руководитель назначает менеджера; система формирует чек-лист квалификации и дату повторной проверки.</w:t>
      </w:r>
    </w:p>
    <w:p>
      <w:pPr>
        <w:spacing w:after="160" w:line="280" w:lineRule="auto"/>
        <w:numPr>
          <w:ilvl w:val="0"/>
          <w:numId w:val="1000"/>
        </w:numPr>
      </w:pPr>
      <w:r>
        <w:t>Менеджер строит карту участников, фиксирует контакт и переводит объект в квалифицированную возможность.</w:t>
      </w:r>
    </w:p>
    <w:p>
      <w:pPr>
        <w:spacing w:after="160" w:line="280" w:lineRule="auto"/>
        <w:numPr>
          <w:ilvl w:val="0"/>
          <w:numId w:val="1000"/>
        </w:numPr>
      </w:pPr>
      <w:r>
        <w:t>Инженер получает исходные данные, отмечает пробелы, предлагает тип шинопровода и формирует предварительную спецификацию/BOM.</w:t>
      </w:r>
    </w:p>
    <w:p>
      <w:pPr>
        <w:spacing w:after="160" w:line="280" w:lineRule="auto"/>
        <w:numPr>
          <w:ilvl w:val="0"/>
          <w:numId w:val="1000"/>
        </w:numPr>
      </w:pPr>
      <w:r>
        <w:t>Менеджер выпускает версию КП; скидка выше порога уходит на согласование руководителю.</w:t>
      </w:r>
    </w:p>
    <w:p>
      <w:pPr>
        <w:spacing w:after="160" w:line="280" w:lineRule="auto"/>
        <w:numPr>
          <w:ilvl w:val="0"/>
          <w:numId w:val="1000"/>
        </w:numPr>
      </w:pPr>
      <w:r>
        <w:t>После отправки система создаёт следующий шаг; отсутствие активности сверх SLA подсвечивается на дашборде.</w:t>
      </w:r>
    </w:p>
    <w:p>
      <w:pPr>
        <w:spacing w:after="160" w:line="280" w:lineRule="auto"/>
        <w:numPr>
          <w:ilvl w:val="0"/>
          <w:numId w:val="1000"/>
        </w:numPr>
      </w:pPr>
      <w:r>
        <w:t>При выигрыше возможность передаётся в исполнение; при проигрыше обязательны причина, конкурент и дата возможного возврата.</w:t>
      </w:r>
    </w:p>
    <w:p>
      <w:pPr>
        <w:pStyle w:val="Heading1"/>
      </w:pPr>
      <w:r>
        <w:t>8. Отчёты и аналитика</w:t>
      </w:r>
    </w:p>
    <w:p>
      <w:pPr>
        <w:pStyle w:val="ListBullet"/>
      </w:pPr>
      <w:r>
        <w:t>Pipeline по менеджеру, отрасли, региону, стадии проекта, кварталу заказа и продуктовой линии.</w:t>
      </w:r>
    </w:p>
    <w:p>
      <w:pPr>
        <w:pStyle w:val="ListBullet"/>
      </w:pPr>
      <w:r>
        <w:t>Взвешенный прогноз = сумма возможности × вероятность; отдельно показывать ручной и модельный прогноз.</w:t>
      </w:r>
    </w:p>
    <w:p>
      <w:pPr>
        <w:pStyle w:val="ListBullet"/>
      </w:pPr>
      <w:r>
        <w:t>Матрица «ценность × срочность» и проекты без доступа к проектировщику/EPC.</w:t>
      </w:r>
    </w:p>
    <w:p>
      <w:pPr>
        <w:pStyle w:val="ListBullet"/>
      </w:pPr>
      <w:r>
        <w:t>Срез заказчиков, EPC и проектировщиков по числу проектов и сумме потенциала.</w:t>
      </w:r>
    </w:p>
    <w:p>
      <w:pPr>
        <w:pStyle w:val="ListBullet"/>
      </w:pPr>
      <w:r>
        <w:t>Конкурентный отчёт: бренд, объект, причина преимущества/проигрыша, ценовой разрыв.</w:t>
      </w:r>
    </w:p>
    <w:p>
      <w:pPr>
        <w:pStyle w:val="ListBullet"/>
      </w:pPr>
      <w:r>
        <w:t>Качество данных и SLA: устаревшие записи, пропущенные поля, просроченные задачи, источники класса C/D.</w:t>
      </w:r>
    </w:p>
    <w:p>
      <w:pPr>
        <w:pStyle w:val="ListBullet"/>
      </w:pPr>
      <w:r>
        <w:t>Экспорт в XLSX/PDF с учётом текущих фильтров и прав доступа.</w:t>
      </w:r>
    </w:p>
    <w:p>
      <w:pPr>
        <w:pStyle w:val="Heading1"/>
      </w:pPr>
      <w:r>
        <w:t>9. Источники и обновление данных</w:t>
      </w:r>
    </w:p>
    <w:p>
      <w:pPr>
        <w:pStyle w:val="ListBullet"/>
      </w:pPr>
      <w:r>
        <w:t>Приоритет источников: сайты Президента и Правительства РТ, Комитет по инвестициям, отраслевые ведомства и закупочные площадки; затем МФО, заказчики/EPC и деловые СМИ.</w:t>
      </w:r>
    </w:p>
    <w:p>
      <w:pPr>
        <w:pStyle w:val="ListBullet"/>
      </w:pPr>
      <w:r>
        <w:t>Каждый факт хранится с URL, датой публикации и проверки, автором проверки, выдержкой и классом достоверности.</w:t>
      </w:r>
    </w:p>
    <w:p>
      <w:pPr>
        <w:pStyle w:val="ListBullet"/>
      </w:pPr>
      <w:r>
        <w:t>Автоматически полученный сигнал не меняет инвестиции, заказчика или стадию без подтверждения пользователем.</w:t>
      </w:r>
    </w:p>
    <w:p>
      <w:pPr>
        <w:pStyle w:val="ListBullet"/>
      </w:pPr>
      <w:r>
        <w:t>Дедупликация по названию, географии, участникам и временным признакам; решение о слиянии журналируется и обратимо.</w:t>
      </w:r>
    </w:p>
    <w:p>
      <w:pPr>
        <w:pStyle w:val="ListBullet"/>
      </w:pPr>
      <w:r>
        <w:t>Периодичность: A/B-проекты с высоким приоритетом — каждые 14 дней; прочие активные — 30–45 дней; ранние сигналы — 90 дней.</w:t>
      </w:r>
    </w:p>
    <w:p>
      <w:pPr>
        <w:pStyle w:val="ListBullet"/>
      </w:pPr>
      <w:r>
        <w:t>Изменение источника должно создавать событие: новая сумма, перенос срока, новый подрядчик, тендер или отмена.</w:t>
      </w:r>
    </w:p>
    <w:p>
      <w:pPr>
        <w:pStyle w:val="Heading1"/>
      </w:pPr>
      <w:r>
        <w:t>10. Интеграции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000"/>
        <w:gridCol w:w="4160"/>
      </w:tblGrid>
      <w:tr>
        <w:trPr>
          <w:tblHeader w:val="true"/>
        </w:trPr>
        <w:tc>
          <w:tcPr>
            <w:tcW w:type="dxa" w:w="2200"/>
            <w:shd w:fill="2E74B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Интеграция</w:t>
            </w:r>
          </w:p>
        </w:tc>
        <w:tc>
          <w:tcPr>
            <w:tcW w:type="dxa" w:w="3000"/>
            <w:shd w:fill="2E74B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MVP</w:t>
            </w:r>
          </w:p>
        </w:tc>
        <w:tc>
          <w:tcPr>
            <w:tcW w:type="dxa" w:w="4160"/>
            <w:shd w:fill="2E74B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Следующий этап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Почта и календарь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Ссылки/ручная регистрация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Microsoft 365/Google: письма, встречи, напоминания</w:t>
            </w:r>
          </w:p>
        </w:tc>
      </w:tr>
      <w:tr>
        <w:tc>
          <w:tcPr>
            <w:tcW w:type="dxa" w:w="220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Файлы</w:t>
            </w:r>
          </w:p>
        </w:tc>
        <w:tc>
          <w:tcPr>
            <w:tcW w:type="dxa" w:w="300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Локальное/S3-совместимое хранилище</w:t>
            </w:r>
          </w:p>
        </w:tc>
        <w:tc>
          <w:tcPr>
            <w:tcW w:type="dxa" w:w="416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SharePoint/Google Drive/Dropbox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Карты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OpenStreetMap/геокодирование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Маршруты, региональные слои и кластеры</w:t>
            </w:r>
          </w:p>
        </w:tc>
      </w:tr>
      <w:tr>
        <w:tc>
          <w:tcPr>
            <w:tcW w:type="dxa" w:w="220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Валюты</w:t>
            </w:r>
          </w:p>
        </w:tc>
        <w:tc>
          <w:tcPr>
            <w:tcW w:type="dxa" w:w="300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Ручной курс с датой</w:t>
            </w:r>
          </w:p>
        </w:tc>
        <w:tc>
          <w:tcPr>
            <w:tcW w:type="dxa" w:w="416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API НБТ/надёжного провайдера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ERP/1C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CSV/XLSX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Заказы, оплаты, себестоимость, отгрузки</w:t>
            </w:r>
          </w:p>
        </w:tc>
      </w:tr>
      <w:tr>
        <w:tc>
          <w:tcPr>
            <w:tcW w:type="dxa" w:w="220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Тендеры/сайты</w:t>
            </w:r>
          </w:p>
        </w:tc>
        <w:tc>
          <w:tcPr>
            <w:tcW w:type="dxa" w:w="300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Ссылки и импорт</w:t>
            </w:r>
          </w:p>
        </w:tc>
        <w:tc>
          <w:tcPr>
            <w:tcW w:type="dxa" w:w="416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Разрешённый мониторинг RSS/API/веб-источников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Документы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Шаблон КП DOCX/PDF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Электронное согласование/подпись</w:t>
            </w:r>
          </w:p>
        </w:tc>
      </w:tr>
    </w:tbl>
    <w:p>
      <w:pPr>
        <w:spacing w:after="0"/>
      </w:pPr>
    </w:p>
    <w:p>
      <w:pPr>
        <w:pStyle w:val="Heading1"/>
      </w:pPr>
      <w:r>
        <w:t>11. Нефункциональные требования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2E74B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Категория</w:t>
            </w:r>
          </w:p>
        </w:tc>
        <w:tc>
          <w:tcPr>
            <w:tcW w:type="dxa" w:w="7160"/>
            <w:shd w:fill="2E74B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Требование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Интерфейс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Русский — основной; готовность к таджикскому и английскому. Desktop-first, адаптивность от 1280 px.</w:t>
            </w:r>
          </w:p>
        </w:tc>
      </w:tr>
      <w:tr>
        <w:tc>
          <w:tcPr>
            <w:tcW w:type="dxa" w:w="220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Производительность</w:t>
            </w:r>
          </w:p>
        </w:tc>
        <w:tc>
          <w:tcPr>
            <w:tcW w:type="dxa" w:w="716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95-й перцентиль основных экранов ≤2 сек при 100 тыс. проектов/контактов; поиск ≤1 сек.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Доступность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Целевой SLA 99,5% в месяц, кроме согласованных работ.</w:t>
            </w:r>
          </w:p>
        </w:tc>
      </w:tr>
      <w:tr>
        <w:tc>
          <w:tcPr>
            <w:tcW w:type="dxa" w:w="220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Безопасность</w:t>
            </w:r>
          </w:p>
        </w:tc>
        <w:tc>
          <w:tcPr>
            <w:tcW w:type="dxa" w:w="716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TLS, хэширование паролей, MFA для привилегированных ролей, RBAC, ограничение сессий, защита OWASP Top 10.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Аудит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Неизменяемый журнал входов и критичных изменений; хранение не менее 24 месяцев.</w:t>
            </w:r>
          </w:p>
        </w:tc>
      </w:tr>
      <w:tr>
        <w:tc>
          <w:tcPr>
            <w:tcW w:type="dxa" w:w="220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Резервирование</w:t>
            </w:r>
          </w:p>
        </w:tc>
        <w:tc>
          <w:tcPr>
            <w:tcW w:type="dxa" w:w="716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Ежедневный backup БД, еженедельный полный backup файлов; RPO ≤24 ч, RTO ≤8 ч для MVP.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Персональные данные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Минимизация, разграничение, экспорт/удаление по регламенту; правовая проверка применимых требований РТ.</w:t>
            </w:r>
          </w:p>
        </w:tc>
      </w:tr>
      <w:tr>
        <w:tc>
          <w:tcPr>
            <w:tcW w:type="dxa" w:w="220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Поддерживаемость</w:t>
            </w:r>
          </w:p>
        </w:tc>
        <w:tc>
          <w:tcPr>
            <w:tcW w:type="dxa" w:w="716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Документированный REST API/OpenAPI, миграции БД, автоматические тесты, централизованные логи и мониторинг.</w:t>
            </w:r>
          </w:p>
        </w:tc>
      </w:tr>
    </w:tbl>
    <w:p>
      <w:pPr>
        <w:spacing w:after="0"/>
      </w:pPr>
    </w:p>
    <w:p>
      <w:pPr>
        <w:pStyle w:val="Heading1"/>
      </w:pPr>
      <w:r>
        <w:t>12. Рекомендуемая архитектура</w:t>
      </w:r>
    </w:p>
    <w:p>
      <w:r>
        <w:t>С учётом уже заложенной основы KLM AI Platform рекомендуется сохранить модульный монорепозиторий: веб-интерфейс Next.js, REST API NestJS, PostgreSQL/Prisma и Redis для очередей/кэша. Файлы — в S3-совместимом хранилище. Развёртывание — Docker; окружения dev/test/prod разделены.</w:t>
      </w:r>
    </w:p>
    <w:p>
      <w:pPr>
        <w:pStyle w:val="ListBullet"/>
      </w:pPr>
      <w:r>
        <w:t>Модули backend: auth, users, companies, contacts, projects, opportunities, activities, technical-requests, quotations, documents, sources, analytics, notifications, audit.</w:t>
      </w:r>
    </w:p>
    <w:p>
      <w:pPr>
        <w:pStyle w:val="ListBullet"/>
      </w:pPr>
      <w:r>
        <w:t>Поиск MVP — PostgreSQL full-text/trigram; отдельный поисковый движок добавлять только после измерения нагрузки.</w:t>
      </w:r>
    </w:p>
    <w:p>
      <w:pPr>
        <w:pStyle w:val="ListBullet"/>
      </w:pPr>
      <w:r>
        <w:t>Фоновые задачи: импорт, проверка источников, уведомления, генерация документов и пересчёт аналитики.</w:t>
      </w:r>
    </w:p>
    <w:p>
      <w:pPr>
        <w:pStyle w:val="ListBullet"/>
      </w:pPr>
      <w:r>
        <w:t>AI-функции допускаются как помощник: извлечение фактов и резюме источника, поиск дублей, черновик заметки. Любой факт утверждает пользователь; исходная ссылка обязательна.</w:t>
      </w:r>
    </w:p>
    <w:p>
      <w:pPr>
        <w:pStyle w:val="Heading1"/>
      </w:pPr>
      <w:r>
        <w:t>13. Этапы реализации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5700"/>
        <w:gridCol w:w="1960"/>
      </w:tblGrid>
      <w:tr>
        <w:trPr>
          <w:tblHeader w:val="true"/>
        </w:trPr>
        <w:tc>
          <w:tcPr>
            <w:tcW w:type="dxa" w:w="1700"/>
            <w:shd w:fill="2E74B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Этап</w:t>
            </w:r>
          </w:p>
        </w:tc>
        <w:tc>
          <w:tcPr>
            <w:tcW w:type="dxa" w:w="5700"/>
            <w:shd w:fill="2E74B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Состав</w:t>
            </w:r>
          </w:p>
        </w:tc>
        <w:tc>
          <w:tcPr>
            <w:tcW w:type="dxa" w:w="1960"/>
            <w:shd w:fill="2E74B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Ориентир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0. Проектирование</w:t>
            </w:r>
          </w:p>
        </w:tc>
        <w:tc>
          <w:tcPr>
            <w:tcW w:type="dxa" w:w="5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Интервью, карта процесса, словарь данных, прототип 5 ключевых экранов, миграционная модель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2–3 недели</w:t>
            </w:r>
          </w:p>
        </w:tc>
      </w:tr>
      <w:tr>
        <w:tc>
          <w:tcPr>
            <w:tcW w:type="dxa" w:w="170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1. MVP</w:t>
            </w:r>
          </w:p>
        </w:tc>
        <w:tc>
          <w:tcPr>
            <w:tcW w:type="dxa" w:w="570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Авторизация, проекты, компании/контакты, источники, воронка, задачи, базовый дашборд, импорт/экспорт</w:t>
            </w:r>
          </w:p>
        </w:tc>
        <w:tc>
          <w:tcPr>
            <w:tcW w:type="dxa" w:w="196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8–10 недель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2. Инженерный контур</w:t>
            </w:r>
          </w:p>
        </w:tc>
        <w:tc>
          <w:tcPr>
            <w:tcW w:type="dxa" w:w="5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Анкета нагрузок, каталог KLM, BOM, версии КП, согласование скидок, документы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6–8 недель</w:t>
            </w:r>
          </w:p>
        </w:tc>
      </w:tr>
      <w:tr>
        <w:tc>
          <w:tcPr>
            <w:tcW w:type="dxa" w:w="170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3. Автоматизация</w:t>
            </w:r>
          </w:p>
        </w:tc>
        <w:tc>
          <w:tcPr>
            <w:tcW w:type="dxa" w:w="570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Мониторинг источников, почта/календарь, расширенная аналитика, мобильная адаптация</w:t>
            </w:r>
          </w:p>
        </w:tc>
        <w:tc>
          <w:tcPr>
            <w:tcW w:type="dxa" w:w="196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6–8 недель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4. Интеграции</w:t>
            </w:r>
          </w:p>
        </w:tc>
        <w:tc>
          <w:tcPr>
            <w:tcW w:type="dxa" w:w="5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ERP/1C, электронное согласование, партнёрский кабинет, расширенный прогноз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по приоритету</w:t>
            </w:r>
          </w:p>
        </w:tc>
      </w:tr>
    </w:tbl>
    <w:p>
      <w:pPr>
        <w:spacing w:after="0"/>
      </w:pPr>
    </w:p>
    <w:p>
      <w:pPr>
        <w:pStyle w:val="Heading1"/>
      </w:pPr>
      <w:r>
        <w:t>14. Критерии приёмки MVP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8360"/>
      </w:tblGrid>
      <w:tr>
        <w:trPr>
          <w:tblHeader w:val="true"/>
        </w:trPr>
        <w:tc>
          <w:tcPr>
            <w:tcW w:type="dxa" w:w="1000"/>
            <w:shd w:fill="2E74B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8360"/>
            <w:shd w:fill="2E74B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Проверяемый результат</w:t>
            </w:r>
          </w:p>
        </w:tc>
      </w:tr>
      <w:tr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AC-01</w:t>
            </w:r>
          </w:p>
        </w:tc>
        <w:tc>
          <w:tcPr>
            <w:tcW w:type="dxa" w:w="8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Пользователь входит в систему и видит только разрешённые данные и действия.</w:t>
            </w:r>
          </w:p>
        </w:tc>
      </w:tr>
      <w:tr>
        <w:tc>
          <w:tcPr>
            <w:tcW w:type="dxa" w:w="100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AC-02</w:t>
            </w:r>
          </w:p>
        </w:tc>
        <w:tc>
          <w:tcPr>
            <w:tcW w:type="dxa" w:w="836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Можно создать проект с источником, стадией, заказчиком, инвестициями и датой повторной проверки.</w:t>
            </w:r>
          </w:p>
        </w:tc>
      </w:tr>
      <w:tr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AC-03</w:t>
            </w:r>
          </w:p>
        </w:tc>
        <w:tc>
          <w:tcPr>
            <w:tcW w:type="dxa" w:w="8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Нельзя пометить инвестиции/подрядчика как подтверждённые без источника и класса достоверности.</w:t>
            </w:r>
          </w:p>
        </w:tc>
      </w:tr>
      <w:tr>
        <w:tc>
          <w:tcPr>
            <w:tcW w:type="dxa" w:w="100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AC-04</w:t>
            </w:r>
          </w:p>
        </w:tc>
        <w:tc>
          <w:tcPr>
            <w:tcW w:type="dxa" w:w="836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Импорт CSV/XLSX выдаёт предпросмотр, ошибки строк и предложения по дублям; исходные данные не теряются.</w:t>
            </w:r>
          </w:p>
        </w:tc>
      </w:tr>
      <w:tr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AC-05</w:t>
            </w:r>
          </w:p>
        </w:tc>
        <w:tc>
          <w:tcPr>
            <w:tcW w:type="dxa" w:w="8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Из карточки создаётся возможность, назначается менеджер, сумма, вероятность и следующий шаг.</w:t>
            </w:r>
          </w:p>
        </w:tc>
      </w:tr>
      <w:tr>
        <w:tc>
          <w:tcPr>
            <w:tcW w:type="dxa" w:w="100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AC-06</w:t>
            </w:r>
          </w:p>
        </w:tc>
        <w:tc>
          <w:tcPr>
            <w:tcW w:type="dxa" w:w="836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Канбан меняет стадию с фиксацией пользователя, времени и предыдущего значения.</w:t>
            </w:r>
          </w:p>
        </w:tc>
      </w:tr>
      <w:tr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AC-07</w:t>
            </w:r>
          </w:p>
        </w:tc>
        <w:tc>
          <w:tcPr>
            <w:tcW w:type="dxa" w:w="8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Дашборд корректно считает сумму и взвешенный pipeline по фильтрам и правам.</w:t>
            </w:r>
          </w:p>
        </w:tc>
      </w:tr>
      <w:tr>
        <w:tc>
          <w:tcPr>
            <w:tcW w:type="dxa" w:w="100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AC-08</w:t>
            </w:r>
          </w:p>
        </w:tc>
        <w:tc>
          <w:tcPr>
            <w:tcW w:type="dxa" w:w="836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Просроченные действия и проекты с устаревшими источниками видны руководителю и ответственному.</w:t>
            </w:r>
          </w:p>
        </w:tc>
      </w:tr>
      <w:tr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AC-09</w:t>
            </w:r>
          </w:p>
        </w:tc>
        <w:tc>
          <w:tcPr>
            <w:tcW w:type="dxa" w:w="8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Поиск находит проект по варианту названия, компании, городу и ключевому слову источника.</w:t>
            </w:r>
          </w:p>
        </w:tc>
      </w:tr>
      <w:tr>
        <w:tc>
          <w:tcPr>
            <w:tcW w:type="dxa" w:w="100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AC-10</w:t>
            </w:r>
          </w:p>
        </w:tc>
        <w:tc>
          <w:tcPr>
            <w:tcW w:type="dxa" w:w="836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Экспорт не раскрывает поля, к которым у пользователя нет доступа.</w:t>
            </w:r>
          </w:p>
        </w:tc>
      </w:tr>
      <w:tr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AC-11</w:t>
            </w:r>
          </w:p>
        </w:tc>
        <w:tc>
          <w:tcPr>
            <w:tcW w:type="dxa" w:w="8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Резервная копия восстанавливается на тестовом окружении в пределах заявленного RTO.</w:t>
            </w:r>
          </w:p>
        </w:tc>
      </w:tr>
      <w:tr>
        <w:tc>
          <w:tcPr>
            <w:tcW w:type="dxa" w:w="100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AC-12</w:t>
            </w:r>
          </w:p>
        </w:tc>
        <w:tc>
          <w:tcPr>
            <w:tcW w:type="dxa" w:w="8360"/>
            <w:shd w:fill="F8FA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Критические сценарии покрыты автотестами; нет открытых дефектов severity 1–2.</w:t>
            </w:r>
          </w:p>
        </w:tc>
      </w:tr>
    </w:tbl>
    <w:p>
      <w:pPr>
        <w:spacing w:after="0"/>
      </w:pPr>
    </w:p>
    <w:p>
      <w:pPr>
        <w:pStyle w:val="Heading1"/>
      </w:pPr>
      <w:r>
        <w:t>15. Решения, которые заказчик должен утвердить</w:t>
      </w:r>
    </w:p>
    <w:p>
      <w:pPr>
        <w:pStyle w:val="ListBullet"/>
      </w:pPr>
      <w:r>
        <w:t>Юридическое лицо — владелец системы и место размещения production (Таджикистан/другая юрисдикция/облако).</w:t>
      </w:r>
    </w:p>
    <w:p>
      <w:pPr>
        <w:pStyle w:val="ListBullet"/>
      </w:pPr>
      <w:r>
        <w:t>Состав MVP и допустимый бюджет/срок; перечень обязательных интеграций первой очереди.</w:t>
      </w:r>
    </w:p>
    <w:p>
      <w:pPr>
        <w:pStyle w:val="ListBullet"/>
      </w:pPr>
      <w:r>
        <w:t>Владелец справочника проектов и регламент проверки данных.</w:t>
      </w:r>
    </w:p>
    <w:p>
      <w:pPr>
        <w:pStyle w:val="ListBullet"/>
      </w:pPr>
      <w:r>
        <w:t>Модель коммерческой тайны: кто видит себестоимость, маржу, специальные цены и контакты.</w:t>
      </w:r>
    </w:p>
    <w:p>
      <w:pPr>
        <w:pStyle w:val="ListBullet"/>
      </w:pPr>
      <w:r>
        <w:t>Порог согласования скидки и правила перевода возможности в прогноз/заказ.</w:t>
      </w:r>
    </w:p>
    <w:p>
      <w:pPr>
        <w:pStyle w:val="ListBullet"/>
      </w:pPr>
      <w:r>
        <w:t>Структура каталога KLM и минимальный набор инженерных параметров для предварительного подбора.</w:t>
      </w:r>
    </w:p>
    <w:p>
      <w:pPr>
        <w:pStyle w:val="Heading1"/>
      </w:pPr>
      <w:r>
        <w:t>Приложение A. Первоочередные действия коммерческой команды</w:t>
      </w:r>
    </w:p>
    <w:p>
      <w:pPr>
        <w:spacing w:after="160" w:line="280" w:lineRule="auto"/>
        <w:numPr>
          <w:ilvl w:val="0"/>
          <w:numId w:val="1001"/>
        </w:numPr>
      </w:pPr>
      <w:r>
        <w:t>Для проектов P-002—P-006 установить точных проектировщиков, EPC/генподрядчиков, электромонтажников и статус MEP-закупки.</w:t>
      </w:r>
    </w:p>
    <w:p>
      <w:pPr>
        <w:spacing w:after="160" w:line="280" w:lineRule="auto"/>
        <w:numPr>
          <w:ilvl w:val="0"/>
          <w:numId w:val="1001"/>
        </w:numPr>
      </w:pPr>
      <w:r>
        <w:t>По Рогунской ГЭС разделить единый объект на лоты и пакеты, назначить отдельные возможности и контактные карты.</w:t>
      </w:r>
    </w:p>
    <w:p>
      <w:pPr>
        <w:spacing w:after="160" w:line="280" w:lineRule="auto"/>
        <w:numPr>
          <w:ilvl w:val="0"/>
          <w:numId w:val="1001"/>
        </w:numPr>
      </w:pPr>
      <w:r>
        <w:t>По Crystal Green Glass создать три подпроекта и запросить однолинейные схемы, мощности печей, компрессоров, насосов и производственных линий.</w:t>
      </w:r>
    </w:p>
    <w:p>
      <w:pPr>
        <w:spacing w:after="160" w:line="280" w:lineRule="auto"/>
        <w:numPr>
          <w:ilvl w:val="0"/>
          <w:numId w:val="1001"/>
        </w:numPr>
      </w:pPr>
      <w:r>
        <w:t>По InterContinental Opera Dushanbe подтвердить собственника, операционную структуру, генподрядчика, MEP-проектировщика и дату закупки вертикальных магистралей.</w:t>
      </w:r>
    </w:p>
    <w:p>
      <w:pPr>
        <w:spacing w:after="160" w:line="280" w:lineRule="auto"/>
        <w:numPr>
          <w:ilvl w:val="0"/>
          <w:numId w:val="1001"/>
        </w:numPr>
      </w:pPr>
      <w:r>
        <w:t>Разобрать 82 действующих государственных инвестпроекта и 46 соглашений Pamir Invest через фильтр: крупная нагрузка, распределённые корпуса, непрерывное производство, высотность, резервирование.</w:t>
      </w:r>
    </w:p>
    <w:p>
      <w:pPr>
        <w:spacing w:after="160" w:line="280" w:lineRule="auto"/>
        <w:numPr>
          <w:ilvl w:val="0"/>
          <w:numId w:val="1001"/>
        </w:numPr>
      </w:pPr>
      <w:r>
        <w:t>Подготовить две типовые продуктовые презентации: промышленный шинопровод повышенной защиты и отказоустойчивое распределение для ЦОД/критической инфраструктуры.</w:t>
      </w:r>
    </w:p>
    <w:p>
      <w:pPr>
        <w:pStyle w:val="Heading1"/>
      </w:pPr>
      <w:r>
        <w:t>Приложение B. Открытые источники первичного среза</w:t>
      </w:r>
    </w:p>
    <w:p>
      <w:pPr>
        <w:pStyle w:val="SmallText"/>
      </w:pPr>
      <w:r>
        <w:t xml:space="preserve">1. Президент РТ — металлургический комплекс, Б. Гафуров (01.04.2025): </w:t>
      </w:r>
      <w:hyperlink r:id="rId11">
        <w:r>
          <w:rPr>
            <w:color w:val="2E74B5"/>
            <w:u w:val="single"/>
          </w:rPr>
          <w:t>https://president.tj/event/news/50402</w:t>
        </w:r>
      </w:hyperlink>
    </w:p>
    <w:p>
      <w:pPr>
        <w:pStyle w:val="SmallText"/>
      </w:pPr>
      <w:r>
        <w:t xml:space="preserve">2. Президент РТ — ход строительства и инвестиции около 6 млрд сомони (09.07.2026): </w:t>
      </w:r>
      <w:hyperlink r:id="rId12">
        <w:r>
          <w:rPr>
            <w:color w:val="2E74B5"/>
            <w:u w:val="single"/>
          </w:rPr>
          <w:t>https://president.tj/event/speeches/56212</w:t>
        </w:r>
      </w:hyperlink>
    </w:p>
    <w:p>
      <w:pPr>
        <w:pStyle w:val="SmallText"/>
      </w:pPr>
      <w:r>
        <w:t xml:space="preserve">3. Президент РТ — Crystal Green Glass, 3 предприятия и CAPEX (2025): </w:t>
      </w:r>
      <w:hyperlink r:id="rId13">
        <w:r>
          <w:rPr>
            <w:color w:val="2E74B5"/>
            <w:u w:val="single"/>
          </w:rPr>
          <w:t>https://www.president.tj/event/news/53263</w:t>
        </w:r>
      </w:hyperlink>
    </w:p>
    <w:p>
      <w:pPr>
        <w:pStyle w:val="SmallText"/>
      </w:pPr>
      <w:r>
        <w:t xml:space="preserve">4. Президент РТ — цемент/известь, заказчик и SINOMA (09.07.2026): </w:t>
      </w:r>
      <w:hyperlink r:id="rId14">
        <w:r>
          <w:rPr>
            <w:color w:val="2E74B5"/>
            <w:u w:val="single"/>
          </w:rPr>
          <w:t>https://www.president.tj/event/news/56175</w:t>
        </w:r>
      </w:hyperlink>
    </w:p>
    <w:p>
      <w:pPr>
        <w:pStyle w:val="SmallText"/>
      </w:pPr>
      <w:r>
        <w:t xml:space="preserve">5. Президент РТ — второй цементный завод в Варзобе (23.06.2026): </w:t>
      </w:r>
      <w:hyperlink r:id="rId15">
        <w:r>
          <w:rPr>
            <w:color w:val="2E74B5"/>
            <w:u w:val="single"/>
          </w:rPr>
          <w:t>https://president.tj/event/news/55966</w:t>
        </w:r>
      </w:hyperlink>
    </w:p>
    <w:p>
      <w:pPr>
        <w:pStyle w:val="SmallText"/>
      </w:pPr>
      <w:r>
        <w:t xml:space="preserve">6. Президент РТ — Darya AI в Дарвозе (25.06.2025): </w:t>
      </w:r>
      <w:hyperlink r:id="rId16">
        <w:r>
          <w:rPr>
            <w:color w:val="2E74B5"/>
            <w:u w:val="single"/>
          </w:rPr>
          <w:t>https://president.tj/event/news/51364</w:t>
        </w:r>
      </w:hyperlink>
    </w:p>
    <w:p>
      <w:pPr>
        <w:pStyle w:val="SmallText"/>
      </w:pPr>
      <w:r>
        <w:t xml:space="preserve">7. Всемирный банк — программа финансирования Рогунской ГЭС: </w:t>
      </w:r>
      <w:hyperlink r:id="rId17">
        <w:r>
          <w:rPr>
            <w:color w:val="2E74B5"/>
            <w:u w:val="single"/>
          </w:rPr>
          <w:t>https://www.worldbank.org/en/programs/rogun-hydropower-plant-project</w:t>
        </w:r>
      </w:hyperlink>
    </w:p>
    <w:p>
      <w:pPr>
        <w:pStyle w:val="SmallText"/>
      </w:pPr>
      <w:r>
        <w:t xml:space="preserve">8. AIIB — USD 500 млн, фаза 1 USD 270 млн: </w:t>
      </w:r>
      <w:hyperlink r:id="rId18">
        <w:r>
          <w:rPr>
            <w:color w:val="2E74B5"/>
            <w:u w:val="single"/>
          </w:rPr>
          <w:t>https://www.aiib.org/en/news-events/news/2025/aiib-supports-clean-renewable-energy-development-in-tajikistan-and-central-asia.html</w:t>
        </w:r>
      </w:hyperlink>
    </w:p>
    <w:p>
      <w:pPr>
        <w:pStyle w:val="SmallText"/>
      </w:pPr>
      <w:r>
        <w:t xml:space="preserve">9. Комитет по инвестициям — 82 действующих проекта / USD 4,6807 млрд: </w:t>
      </w:r>
      <w:hyperlink r:id="rId19">
        <w:r>
          <w:rPr>
            <w:color w:val="2E74B5"/>
            <w:u w:val="single"/>
          </w:rPr>
          <w:t>https://investcom.tj/investment/publicinvestments/489-malumot-oid-ba-loiaoi-davlatii-sarmojaguzor.html</w:t>
        </w:r>
      </w:hyperlink>
    </w:p>
    <w:p>
      <w:pPr>
        <w:pStyle w:val="SmallText"/>
      </w:pPr>
      <w:r>
        <w:t xml:space="preserve">10. Комитет по инвестициям — ASUE, этап 2 / USD 110 млн: </w:t>
      </w:r>
      <w:hyperlink r:id="rId20">
        <w:r>
          <w:rPr>
            <w:color w:val="2E74B5"/>
            <w:u w:val="single"/>
          </w:rPr>
          <w:t>https://investcom.tj/presscenter/news/536-marosimi-baimzorasonii-sozishnomai-sarmojaguzor.html</w:t>
        </w:r>
      </w:hyperlink>
    </w:p>
    <w:p>
      <w:pPr>
        <w:pStyle w:val="SmallText"/>
      </w:pPr>
      <w:r>
        <w:t xml:space="preserve">11. Комитет по инвестициям — сурьма USD 35 млн и Crystal Green Glass: </w:t>
      </w:r>
      <w:hyperlink r:id="rId21">
        <w:r>
          <w:rPr>
            <w:color w:val="2E74B5"/>
            <w:u w:val="single"/>
          </w:rPr>
          <w:t>https://investcom.tj/presscenter/news/736-marosimi-baimzorasonii-sozishnomaoi-sarmojaguzor.html</w:t>
        </w:r>
      </w:hyperlink>
    </w:p>
    <w:p>
      <w:pPr>
        <w:pStyle w:val="SmallText"/>
      </w:pPr>
      <w:r>
        <w:t xml:space="preserve">12. Комитет по инвестициям — Pamir Invest 2025: </w:t>
      </w:r>
      <w:hyperlink r:id="rId22">
        <w:r>
          <w:rPr>
            <w:color w:val="2E74B5"/>
            <w:u w:val="single"/>
          </w:rPr>
          <w:t>https://investcom.tj/presscenter/news/594-barguzorii-forumi-bajnalmilalii-sarmojaguzorii-pomirinvest-2025.html</w:t>
        </w:r>
      </w:hyperlink>
    </w:p>
    <w:p>
      <w:pPr>
        <w:pStyle w:val="SmallText"/>
      </w:pPr>
      <w:r>
        <w:t xml:space="preserve">13. EBRD — стратегия по Таджикистану 2025–2030: </w:t>
      </w:r>
      <w:hyperlink r:id="rId23">
        <w:r>
          <w:rPr>
            <w:color w:val="2E74B5"/>
            <w:u w:val="single"/>
          </w:rPr>
          <w:t>https://www.ebrd.com/home/news-and-events/news/2025/ebrd-approves-new-country-strategy-for-tajikistan.html</w:t>
        </w:r>
      </w:hyperlink>
    </w:p>
    <w:p>
      <w:pPr>
        <w:pStyle w:val="SmallText"/>
      </w:pPr>
      <w:r>
        <w:t xml:space="preserve">14. Отраслевой обзор гостиничного pipeline Центральной Азии: </w:t>
      </w:r>
      <w:hyperlink r:id="rId24">
        <w:r>
          <w:rPr>
            <w:color w:val="2E74B5"/>
            <w:u w:val="single"/>
          </w:rPr>
          <w:t>https://cmwp.uz/images/ENG_Central_Asian%20Hotel_Chains_Final_Presentation.pdf</w:t>
        </w:r>
      </w:hyperlink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CE8E6"/>
          </w:tcPr>
          <w:p>
            <w:pPr>
              <w:spacing w:after="0"/>
            </w:pPr>
            <w:r>
              <w:rPr>
                <w:b/>
                <w:color w:val="163A5F"/>
              </w:rPr>
              <w:t xml:space="preserve">Оговорка: </w:t>
            </w:r>
            <w:r>
              <w:t>Открытые источники не всегда раскрывают генподрядчика, проектировщика и стадию закупки электротехнического оборудования. Такие поля в стартовом реестре помечены «установить/проверить» и не должны превращаться в факт без подтверждения.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F6B76"/>
        <w:sz w:val="16"/>
      </w:rPr>
      <w:t>Онлайн-панель управления продажами шинопровода KLM • версия 1.0 • 26 августа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F6B76"/>
        <w:sz w:val="16"/>
      </w:rPr>
      <w:t>KLM  |  ТЕХНИЧЕСКОЕ ЗАДАНИЕ  |  ТАДЖИКИСТАН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0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abstractNum w:abstractNumId="1001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1000"/>
  </w:num>
  <w:num w:numId="1001">
    <w:abstractNumId w:val="100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6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Text">
    <w:name w:val="Small Text"/>
    <w:basedOn w:val="Normal"/>
    <w:pPr>
      <w:spacing w:after="80"/>
    </w:pPr>
    <w:rPr>
      <w:rFonts w:ascii="Calibri" w:hAnsi="Calibri"/>
      <w:color w:val="5F6B7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president.tj/event/news/50402" TargetMode="External"/><Relationship Id="rId12" Type="http://schemas.openxmlformats.org/officeDocument/2006/relationships/hyperlink" Target="https://president.tj/event/speeches/56212" TargetMode="External"/><Relationship Id="rId13" Type="http://schemas.openxmlformats.org/officeDocument/2006/relationships/hyperlink" Target="https://www.president.tj/event/news/53263" TargetMode="External"/><Relationship Id="rId14" Type="http://schemas.openxmlformats.org/officeDocument/2006/relationships/hyperlink" Target="https://www.president.tj/event/news/56175" TargetMode="External"/><Relationship Id="rId15" Type="http://schemas.openxmlformats.org/officeDocument/2006/relationships/hyperlink" Target="https://president.tj/event/news/55966" TargetMode="External"/><Relationship Id="rId16" Type="http://schemas.openxmlformats.org/officeDocument/2006/relationships/hyperlink" Target="https://president.tj/event/news/51364" TargetMode="External"/><Relationship Id="rId17" Type="http://schemas.openxmlformats.org/officeDocument/2006/relationships/hyperlink" Target="https://www.worldbank.org/en/programs/rogun-hydropower-plant-project" TargetMode="External"/><Relationship Id="rId18" Type="http://schemas.openxmlformats.org/officeDocument/2006/relationships/hyperlink" Target="https://www.aiib.org/en/news-events/news/2025/aiib-supports-clean-renewable-energy-development-in-tajikistan-and-central-asia.html" TargetMode="External"/><Relationship Id="rId19" Type="http://schemas.openxmlformats.org/officeDocument/2006/relationships/hyperlink" Target="https://investcom.tj/investment/publicinvestments/489-malumot-oid-ba-loiaoi-davlatii-sarmojaguzor.html" TargetMode="External"/><Relationship Id="rId20" Type="http://schemas.openxmlformats.org/officeDocument/2006/relationships/hyperlink" Target="https://investcom.tj/presscenter/news/536-marosimi-baimzorasonii-sozishnomai-sarmojaguzor.html" TargetMode="External"/><Relationship Id="rId21" Type="http://schemas.openxmlformats.org/officeDocument/2006/relationships/hyperlink" Target="https://investcom.tj/presscenter/news/736-marosimi-baimzorasonii-sozishnomaoi-sarmojaguzor.html" TargetMode="External"/><Relationship Id="rId22" Type="http://schemas.openxmlformats.org/officeDocument/2006/relationships/hyperlink" Target="https://investcom.tj/presscenter/news/594-barguzorii-forumi-bajnalmilalii-sarmojaguzorii-pomirinvest-2025.html" TargetMode="External"/><Relationship Id="rId23" Type="http://schemas.openxmlformats.org/officeDocument/2006/relationships/hyperlink" Target="https://www.ebrd.com/home/news-and-events/news/2025/ebrd-approves-new-country-strategy-for-tajikistan.html" TargetMode="External"/><Relationship Id="rId24" Type="http://schemas.openxmlformats.org/officeDocument/2006/relationships/hyperlink" Target="https://cmwp.uz/images/ENG_Central_Asian%20Hotel_Chains_Final_Presentation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ТЗ — онлайн-панель продаж шинопровода KLM в Таджикистане</dc:title>
  <dc:subject>Функциональные, информационные и нефункциональные требования</dc:subject>
  <dc:creator/>
  <cp:keywords>KLM, шинопровод, Таджикистан, CRM, продажи, проекты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