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011F1" w14:textId="77777777" w:rsidR="00363204" w:rsidRDefault="00363204" w:rsidP="004D6852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6C25C2E7" w14:textId="77777777" w:rsidR="00363204" w:rsidRDefault="00363204" w:rsidP="004D6852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1332E049" w14:textId="77777777" w:rsidR="00363204" w:rsidRDefault="004D6852" w:rsidP="00363204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3E67D5">
        <w:rPr>
          <w:b/>
          <w:snapToGrid w:val="0"/>
          <w:sz w:val="28"/>
          <w:szCs w:val="28"/>
          <w:lang w:val="uz-Cyrl-UZ"/>
        </w:rPr>
        <w:t>O‘simliklardan olingan namunalarni radiologik tekshirish bayonnomasi</w:t>
      </w:r>
    </w:p>
    <w:p w14:paraId="6B3954E7" w14:textId="40690B06" w:rsidR="00363204" w:rsidRPr="00363204" w:rsidRDefault="00363204" w:rsidP="00363204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363204">
        <w:rPr>
          <w:b/>
          <w:snapToGrid w:val="0"/>
          <w:sz w:val="28"/>
          <w:szCs w:val="28"/>
          <w:lang w:val="uz-Cyrl-UZ"/>
        </w:rPr>
        <w:t>Yoʻriqnomasi</w:t>
      </w:r>
    </w:p>
    <w:p w14:paraId="26A0C1B4" w14:textId="18D8C5FD" w:rsidR="004D6852" w:rsidRDefault="00363204" w:rsidP="00363204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>
        <w:rPr>
          <w:b/>
          <w:snapToGrid w:val="0"/>
          <w:sz w:val="28"/>
          <w:szCs w:val="28"/>
          <w:lang w:val="uz-Cyrl-UZ"/>
        </w:rPr>
        <w:t>303</w:t>
      </w:r>
      <w:r w:rsidRPr="00363204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7A460992" w14:textId="77777777" w:rsidR="00363204" w:rsidRPr="003E67D5" w:rsidRDefault="00363204" w:rsidP="00363204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</w:p>
    <w:p w14:paraId="300E8A11" w14:textId="0033CB72" w:rsidR="00F87796" w:rsidRPr="004D6852" w:rsidRDefault="004D6852" w:rsidP="00363204">
      <w:pPr>
        <w:ind w:firstLine="567"/>
        <w:jc w:val="both"/>
        <w:rPr>
          <w:lang w:val="en-US"/>
        </w:rPr>
      </w:pPr>
      <w:r w:rsidRPr="003E67D5">
        <w:rPr>
          <w:bCs/>
          <w:snapToGrid w:val="0"/>
          <w:sz w:val="28"/>
          <w:szCs w:val="28"/>
          <w:lang w:val="uz-Cyrl-UZ"/>
        </w:rPr>
        <w:t>O‘simliklarda radioaktiv moddalarini tarkibini tekshirish bayonnomasi sanitariya vrachi tomonidan sanitariya-gigiyenik tekshiruv (o‘rganish) dalolatnomasi shakli rasmiylashtirilgandan so‘ng, ushbu  bayonnoma radiologik laboratoriya sharoitida  vrach-laboranti yoki laboranti tomonidan tahlil o‘tkazgandan so‘ng tahlil natijalari to‘ldiriladi.  Bunda muasasa nomi, manzili, namuna nomi, olingan vaqti va qo‘shimcha ma’lumotlar to‘ldirilgandan so‘ng sanitariya vrachining xulosasi beriladi.</w:t>
      </w:r>
    </w:p>
    <w:sectPr w:rsidR="00F87796" w:rsidRPr="004D68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63"/>
    <w:rsid w:val="00363204"/>
    <w:rsid w:val="004D6852"/>
    <w:rsid w:val="00746D22"/>
    <w:rsid w:val="00D32363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4F068"/>
  <w15:chartTrackingRefBased/>
  <w15:docId w15:val="{8FB502B3-BEA7-4C1E-977C-E7B51B123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6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2025-11-24T12:24:00Z</dcterms:created>
  <dcterms:modified xsi:type="dcterms:W3CDTF">2025-12-05T10:49:00Z</dcterms:modified>
</cp:coreProperties>
</file>