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4A93" w14:textId="77777777" w:rsidR="003E3FEE" w:rsidRDefault="003E3FEE" w:rsidP="002E5AE7">
      <w:pPr>
        <w:ind w:left="-284" w:firstLine="426"/>
        <w:jc w:val="both"/>
        <w:rPr>
          <w:b/>
          <w:snapToGrid w:val="0"/>
          <w:sz w:val="28"/>
          <w:szCs w:val="28"/>
          <w:lang w:val="uz-Cyrl-UZ"/>
        </w:rPr>
      </w:pPr>
    </w:p>
    <w:p w14:paraId="5490D820" w14:textId="77777777" w:rsidR="003E3FEE" w:rsidRDefault="003E3FEE" w:rsidP="002E5AE7">
      <w:pPr>
        <w:ind w:left="-284" w:firstLine="426"/>
        <w:jc w:val="both"/>
        <w:rPr>
          <w:b/>
          <w:snapToGrid w:val="0"/>
          <w:sz w:val="28"/>
          <w:szCs w:val="28"/>
          <w:lang w:val="uz-Cyrl-UZ"/>
        </w:rPr>
      </w:pPr>
    </w:p>
    <w:p w14:paraId="0D9E7FBD" w14:textId="46EBE290" w:rsidR="003E3FEE" w:rsidRDefault="002E5AE7" w:rsidP="003E3FEE">
      <w:pPr>
        <w:ind w:left="-284" w:firstLine="426"/>
        <w:jc w:val="center"/>
        <w:rPr>
          <w:b/>
          <w:snapToGrid w:val="0"/>
          <w:sz w:val="28"/>
          <w:szCs w:val="28"/>
          <w:lang w:val="uz-Cyrl-UZ"/>
        </w:rPr>
      </w:pPr>
      <w:r w:rsidRPr="0012060B">
        <w:rPr>
          <w:b/>
          <w:snapToGrid w:val="0"/>
          <w:sz w:val="28"/>
          <w:szCs w:val="28"/>
          <w:lang w:val="uz-Cyrl-UZ"/>
        </w:rPr>
        <w:t>Ultrabinafsha nurlanish darajasini o‘lchashdagi  – sonli protokol</w:t>
      </w:r>
    </w:p>
    <w:p w14:paraId="7D187114" w14:textId="77777777" w:rsidR="003E3FEE" w:rsidRPr="003E3FEE" w:rsidRDefault="003E3FEE" w:rsidP="003E3FEE">
      <w:pPr>
        <w:ind w:left="-284" w:firstLine="426"/>
        <w:jc w:val="center"/>
        <w:rPr>
          <w:b/>
          <w:snapToGrid w:val="0"/>
          <w:sz w:val="28"/>
          <w:szCs w:val="28"/>
          <w:lang w:val="uz-Cyrl-UZ"/>
        </w:rPr>
      </w:pPr>
      <w:r w:rsidRPr="003E3FEE">
        <w:rPr>
          <w:b/>
          <w:snapToGrid w:val="0"/>
          <w:sz w:val="28"/>
          <w:szCs w:val="28"/>
          <w:lang w:val="uz-Cyrl-UZ"/>
        </w:rPr>
        <w:t>Yoʻriqnomasi</w:t>
      </w:r>
    </w:p>
    <w:p w14:paraId="43F0668B" w14:textId="625F9AA8" w:rsidR="002E5AE7" w:rsidRDefault="003E3FEE" w:rsidP="003E3FEE">
      <w:pPr>
        <w:ind w:left="-284" w:firstLine="426"/>
        <w:jc w:val="center"/>
        <w:rPr>
          <w:b/>
          <w:snapToGrid w:val="0"/>
          <w:sz w:val="28"/>
          <w:szCs w:val="28"/>
          <w:lang w:val="uz-Cyrl-UZ"/>
        </w:rPr>
      </w:pPr>
      <w:r w:rsidRPr="003E3FEE">
        <w:rPr>
          <w:b/>
          <w:snapToGrid w:val="0"/>
          <w:sz w:val="28"/>
          <w:szCs w:val="28"/>
          <w:lang w:val="uz-Cyrl-UZ"/>
        </w:rPr>
        <w:t>3</w:t>
      </w:r>
      <w:r>
        <w:rPr>
          <w:b/>
          <w:snapToGrid w:val="0"/>
          <w:sz w:val="28"/>
          <w:szCs w:val="28"/>
          <w:lang w:val="uz-Cyrl-UZ"/>
        </w:rPr>
        <w:t>10</w:t>
      </w:r>
      <w:r w:rsidRPr="003E3FEE">
        <w:rPr>
          <w:b/>
          <w:snapToGrid w:val="0"/>
          <w:sz w:val="28"/>
          <w:szCs w:val="28"/>
          <w:lang w:val="uz-Cyrl-UZ"/>
        </w:rPr>
        <w:t>-raqamli tibbiy xujjat shakli</w:t>
      </w:r>
    </w:p>
    <w:p w14:paraId="65F896EC" w14:textId="77777777" w:rsidR="003E3FEE" w:rsidRDefault="003E3FEE" w:rsidP="003E3FEE">
      <w:pPr>
        <w:ind w:left="-284" w:firstLine="426"/>
        <w:jc w:val="both"/>
        <w:rPr>
          <w:b/>
          <w:snapToGrid w:val="0"/>
          <w:sz w:val="28"/>
          <w:szCs w:val="28"/>
          <w:lang w:val="uz-Cyrl-UZ"/>
        </w:rPr>
      </w:pPr>
    </w:p>
    <w:p w14:paraId="24CDE7B0" w14:textId="77777777" w:rsidR="003E3FEE" w:rsidRPr="0012060B" w:rsidRDefault="003E3FEE" w:rsidP="003E3FEE">
      <w:pPr>
        <w:ind w:left="-284" w:firstLine="426"/>
        <w:jc w:val="both"/>
        <w:rPr>
          <w:b/>
          <w:snapToGrid w:val="0"/>
          <w:sz w:val="28"/>
          <w:szCs w:val="28"/>
          <w:lang w:val="uz-Cyrl-UZ"/>
        </w:rPr>
      </w:pPr>
    </w:p>
    <w:p w14:paraId="1084476A" w14:textId="789AB750" w:rsidR="00F87796" w:rsidRPr="002E5AE7" w:rsidRDefault="002E5AE7" w:rsidP="003E3FEE">
      <w:pPr>
        <w:ind w:firstLine="567"/>
        <w:jc w:val="both"/>
        <w:rPr>
          <w:lang w:val="en-US"/>
        </w:rPr>
      </w:pPr>
      <w:r w:rsidRPr="0012060B">
        <w:rPr>
          <w:bCs/>
          <w:snapToGrid w:val="0"/>
          <w:sz w:val="28"/>
          <w:szCs w:val="28"/>
          <w:lang w:val="uz-Cyrl-UZ"/>
        </w:rPr>
        <w:t>Ishlab chiqarish, kommunal hamda davolash-profilaktika muassasalarida ish jarayonida ultrabinafsha nurlanish manbasidan foydalanish jarayonida, ishchilar, fuqarolarni ultrabinafsha nurlari salbiy ta’siridan himoya qilish maqsadida laboratoriya o‘lchov tahlillari olib boriladi. O‘lchovlar laboratoriya muxandisi tomonidan olib boriladi va tahlil natijalari asosida sanitariya vrachlari tomonidan xulosalar beriladi.</w:t>
      </w:r>
    </w:p>
    <w:sectPr w:rsidR="00F87796" w:rsidRPr="002E5A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B6"/>
    <w:rsid w:val="002E5AE7"/>
    <w:rsid w:val="003E3FEE"/>
    <w:rsid w:val="00746D22"/>
    <w:rsid w:val="00B34EB6"/>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6B4E3"/>
  <w15:chartTrackingRefBased/>
  <w15:docId w15:val="{790539A0-1833-4B8E-A2C6-3EDBE19E7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5AE7"/>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453</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2025-11-24T12:28:00Z</dcterms:created>
  <dcterms:modified xsi:type="dcterms:W3CDTF">2025-12-05T11:01:00Z</dcterms:modified>
</cp:coreProperties>
</file>