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2214" w14:textId="77777777" w:rsidR="004861C6" w:rsidRDefault="004861C6" w:rsidP="00E01B2C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30A4A911" w14:textId="77777777" w:rsidR="004861C6" w:rsidRDefault="004861C6" w:rsidP="00E01B2C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27EF7989" w14:textId="77777777" w:rsidR="004861C6" w:rsidRDefault="00E01B2C" w:rsidP="004861C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>Oqava suvlarni tahlil qilish bayonnomasini to‘ldirish</w:t>
      </w:r>
    </w:p>
    <w:p w14:paraId="667F52C6" w14:textId="2327BDE5" w:rsidR="004861C6" w:rsidRPr="004861C6" w:rsidRDefault="004861C6" w:rsidP="004861C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861C6">
        <w:rPr>
          <w:b/>
          <w:bCs/>
          <w:sz w:val="28"/>
          <w:szCs w:val="28"/>
          <w:lang w:val="uz-Cyrl-UZ" w:eastAsia="uz-Cyrl-UZ"/>
        </w:rPr>
        <w:t>Yoʻriqnomasi</w:t>
      </w:r>
    </w:p>
    <w:p w14:paraId="6B7E1FF2" w14:textId="46ACACD8" w:rsidR="00E01B2C" w:rsidRDefault="004861C6" w:rsidP="004861C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861C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28</w:t>
      </w:r>
      <w:r w:rsidRPr="004861C6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7C2E9A56" w14:textId="77777777" w:rsidR="004861C6" w:rsidRDefault="004861C6" w:rsidP="004861C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609C68B2" w14:textId="77777777" w:rsidR="00E01B2C" w:rsidRDefault="00E01B2C" w:rsidP="004861C6">
      <w:pPr>
        <w:ind w:firstLine="567"/>
        <w:jc w:val="both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Ushbu bayonnoma oqava suv namunalarining sanitariya holatini aniqlash uchun to‘ldiriladi.</w:t>
      </w:r>
      <w:r>
        <w:rPr>
          <w:sz w:val="28"/>
          <w:szCs w:val="28"/>
          <w:lang w:val="uz-Cyrl-UZ" w:eastAsia="uz-Cyrl-UZ"/>
        </w:rPr>
        <w:br/>
        <w:t>“Manba” grafasiga oqava suv chiqadigan obyekt nomi (korxona, kollektor, kanalizatsiya tizimi) yoziladi.</w:t>
      </w:r>
      <w:r>
        <w:rPr>
          <w:sz w:val="28"/>
          <w:szCs w:val="28"/>
          <w:lang w:val="uz-Cyrl-UZ" w:eastAsia="uz-Cyrl-UZ"/>
        </w:rPr>
        <w:br/>
        <w:t>“Olingan sana” grafasiga namuna olingan kun kiritiladi.</w:t>
      </w:r>
    </w:p>
    <w:p w14:paraId="6B695026" w14:textId="77777777" w:rsidR="00E01B2C" w:rsidRDefault="00E01B2C" w:rsidP="004861C6">
      <w:pPr>
        <w:ind w:firstLine="567"/>
        <w:jc w:val="both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“Tahlil turi” grafasiga bajarilgan tahlil yo‘nalishi (kimyoviy, bakteriologik, toksikologik) ko‘rsatiladi.</w:t>
      </w:r>
      <w:r>
        <w:rPr>
          <w:sz w:val="28"/>
          <w:szCs w:val="28"/>
          <w:lang w:val="uz-Cyrl-UZ" w:eastAsia="uz-Cyrl-UZ"/>
        </w:rPr>
        <w:br/>
        <w:t>“Tahlil natijalari” grafasiga aniqlangan ko‘rsatkichlar: ammiak, nitrat, fosfat, bakteriyalar soni va boshqa parametrlar yoziladi.</w:t>
      </w:r>
      <w:r>
        <w:rPr>
          <w:sz w:val="28"/>
          <w:szCs w:val="28"/>
          <w:lang w:val="uz-Cyrl-UZ" w:eastAsia="uz-Cyrl-UZ"/>
        </w:rPr>
        <w:br/>
        <w:t>“Xulosa” grafasida “suv ifloslangan”, “me’yorda”, yoki “gigiyenik talabga javob bermaydi” deb yoziladi.</w:t>
      </w:r>
    </w:p>
    <w:p w14:paraId="4234B9B1" w14:textId="77777777" w:rsidR="00E01B2C" w:rsidRDefault="00E01B2C" w:rsidP="004861C6">
      <w:pPr>
        <w:ind w:firstLine="567"/>
        <w:jc w:val="both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Bayonnoma laboratoriya mutaxassisi tomonidan imzo va sana bilan tasdiqlanadi.</w:t>
      </w:r>
    </w:p>
    <w:p w14:paraId="3FE4E661" w14:textId="77777777" w:rsidR="00F87796" w:rsidRPr="00E01B2C" w:rsidRDefault="00F87796">
      <w:pPr>
        <w:rPr>
          <w:lang w:val="uz-Cyrl-UZ"/>
        </w:rPr>
      </w:pPr>
    </w:p>
    <w:sectPr w:rsidR="00F87796" w:rsidRPr="00E01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B1"/>
    <w:rsid w:val="004861C6"/>
    <w:rsid w:val="006645B1"/>
    <w:rsid w:val="00746D22"/>
    <w:rsid w:val="00E01B2C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91F41"/>
  <w15:chartTrackingRefBased/>
  <w15:docId w15:val="{F218F3AE-4BFD-4166-8C9E-D16A6AFC2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B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2025-11-24T12:33:00Z</dcterms:created>
  <dcterms:modified xsi:type="dcterms:W3CDTF">2025-12-05T11:26:00Z</dcterms:modified>
</cp:coreProperties>
</file>