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1DC6B" w14:textId="77777777" w:rsidR="00B16990" w:rsidRDefault="00B16990" w:rsidP="005C5498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4DBE5FB5" w14:textId="77777777" w:rsidR="00B16990" w:rsidRDefault="00B16990" w:rsidP="005C5498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61D586E3" w14:textId="77777777" w:rsidR="00B16990" w:rsidRDefault="005C5498" w:rsidP="00B16990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>
        <w:rPr>
          <w:b/>
          <w:bCs/>
          <w:sz w:val="28"/>
          <w:szCs w:val="28"/>
          <w:lang w:val="uz-Cyrl-UZ" w:eastAsia="uz-Cyrl-UZ"/>
        </w:rPr>
        <w:t>Ichimlik suvi tahlili dalolatnomasini to‘ldirish</w:t>
      </w:r>
    </w:p>
    <w:p w14:paraId="07F3B748" w14:textId="479933AF" w:rsidR="00B16990" w:rsidRPr="00B16990" w:rsidRDefault="00B16990" w:rsidP="00B16990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B16990">
        <w:rPr>
          <w:b/>
          <w:bCs/>
          <w:sz w:val="28"/>
          <w:szCs w:val="28"/>
          <w:lang w:val="uz-Cyrl-UZ" w:eastAsia="uz-Cyrl-UZ"/>
        </w:rPr>
        <w:t>Yoʻriqnomasi</w:t>
      </w:r>
    </w:p>
    <w:p w14:paraId="166BD9C6" w14:textId="5B6097DD" w:rsidR="005C5498" w:rsidRDefault="00B16990" w:rsidP="00B16990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B16990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31</w:t>
      </w:r>
      <w:r w:rsidRPr="00B16990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7A8C1975" w14:textId="77777777" w:rsidR="00B16990" w:rsidRDefault="00B16990" w:rsidP="00B16990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428E2E1D" w14:textId="77777777" w:rsidR="005C5498" w:rsidRDefault="005C5498" w:rsidP="005C5498">
      <w:pPr>
        <w:rPr>
          <w:sz w:val="28"/>
          <w:szCs w:val="28"/>
          <w:lang w:val="uz-Cyrl-UZ" w:eastAsia="uz-Cyrl-UZ"/>
        </w:rPr>
      </w:pPr>
      <w:r>
        <w:rPr>
          <w:sz w:val="28"/>
          <w:szCs w:val="28"/>
          <w:lang w:val="uz-Cyrl-UZ" w:eastAsia="uz-Cyrl-UZ"/>
        </w:rPr>
        <w:t>“Manba” grafasida suv olingan joy yoziladi.</w:t>
      </w:r>
      <w:r>
        <w:rPr>
          <w:sz w:val="28"/>
          <w:szCs w:val="28"/>
          <w:lang w:val="uz-Cyrl-UZ" w:eastAsia="uz-Cyrl-UZ"/>
        </w:rPr>
        <w:br/>
        <w:t>“Sana” grafasiga tahlil kuni kiritiladi.</w:t>
      </w:r>
      <w:r>
        <w:rPr>
          <w:sz w:val="28"/>
          <w:szCs w:val="28"/>
          <w:lang w:val="uz-Cyrl-UZ" w:eastAsia="uz-Cyrl-UZ"/>
        </w:rPr>
        <w:br/>
        <w:t>“Ko‘rsatkichlar” grafasida o‘lchov natijalari (rangi, hid, bakteriyalar soni) qayd etiladi.</w:t>
      </w:r>
      <w:r>
        <w:rPr>
          <w:sz w:val="28"/>
          <w:szCs w:val="28"/>
          <w:lang w:val="uz-Cyrl-UZ" w:eastAsia="uz-Cyrl-UZ"/>
        </w:rPr>
        <w:br/>
        <w:t>“Xulosa” grafasida “gigiyenik talabga javob beradi” yoki “javob bermaydi” deb yoziladi.</w:t>
      </w:r>
      <w:r>
        <w:rPr>
          <w:sz w:val="28"/>
          <w:szCs w:val="28"/>
          <w:lang w:val="uz-Cyrl-UZ" w:eastAsia="uz-Cyrl-UZ"/>
        </w:rPr>
        <w:br/>
        <w:t>Dalolatnoma laboratoriya rahbari tomonidan imzo va muhr bilan tasdiqlanadi.</w:t>
      </w:r>
    </w:p>
    <w:p w14:paraId="356000A8" w14:textId="77777777" w:rsidR="00F87796" w:rsidRDefault="00F87796"/>
    <w:sectPr w:rsidR="00F87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5A3"/>
    <w:rsid w:val="000565A3"/>
    <w:rsid w:val="005C5498"/>
    <w:rsid w:val="00746D22"/>
    <w:rsid w:val="00B16990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86EBC"/>
  <w15:chartTrackingRefBased/>
  <w15:docId w15:val="{26F5E76C-E135-4BBE-9728-5C291F5E5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54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2025-11-24T12:34:00Z</dcterms:created>
  <dcterms:modified xsi:type="dcterms:W3CDTF">2025-12-05T11:36:00Z</dcterms:modified>
</cp:coreProperties>
</file>