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CC91" w14:textId="77777777" w:rsidR="004325EC" w:rsidRDefault="004325EC" w:rsidP="00BC7FF4">
      <w:pPr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7C2ABA40" w14:textId="77777777" w:rsidR="004325EC" w:rsidRDefault="004325EC" w:rsidP="00BC7FF4">
      <w:pPr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7EE0D31F" w14:textId="45F34FBD" w:rsidR="004325EC" w:rsidRDefault="004325EC" w:rsidP="004325EC">
      <w:pPr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  <w:r w:rsidRPr="004325EC">
        <w:rPr>
          <w:b/>
          <w:bCs/>
          <w:noProof/>
          <w:color w:val="000000"/>
          <w:sz w:val="28"/>
          <w:szCs w:val="28"/>
          <w:lang w:val="uz-Cyrl-UZ"/>
        </w:rPr>
        <w:t>Elektromagnit maydoni kuchlanishini oʻlchashdagi</w:t>
      </w:r>
      <w:r w:rsidRPr="004325EC">
        <w:rPr>
          <w:b/>
          <w:bCs/>
          <w:noProof/>
          <w:color w:val="000000"/>
          <w:sz w:val="28"/>
          <w:szCs w:val="28"/>
          <w:lang w:val="uz-Cyrl-UZ"/>
        </w:rPr>
        <w:tab/>
        <w:t>-sonli bayonnoma</w:t>
      </w:r>
    </w:p>
    <w:p w14:paraId="5BA06181" w14:textId="77777777" w:rsidR="004325EC" w:rsidRPr="004325EC" w:rsidRDefault="004325EC" w:rsidP="004325E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325EC">
        <w:rPr>
          <w:b/>
          <w:bCs/>
          <w:sz w:val="28"/>
          <w:szCs w:val="28"/>
          <w:lang w:val="uz-Cyrl-UZ" w:eastAsia="uz-Cyrl-UZ"/>
        </w:rPr>
        <w:t>Yoʻriqnomasi</w:t>
      </w:r>
    </w:p>
    <w:p w14:paraId="2E78E09E" w14:textId="2246DB75" w:rsidR="00BC7FF4" w:rsidRDefault="004325EC" w:rsidP="004325E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325EC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40</w:t>
      </w:r>
      <w:r w:rsidRPr="004325EC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18090204" w14:textId="77777777" w:rsidR="004325EC" w:rsidRDefault="004325EC" w:rsidP="004325EC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6DBF7446" w14:textId="77777777" w:rsidR="004325EC" w:rsidRDefault="004325EC" w:rsidP="004325EC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9B69363" w14:textId="77777777" w:rsidR="009823E7" w:rsidRDefault="009823E7" w:rsidP="00FC7E48">
      <w:pPr>
        <w:rPr>
          <w:sz w:val="28"/>
          <w:szCs w:val="28"/>
          <w:lang w:val="uz-Cyrl-UZ" w:eastAsia="uz-Cyrl-UZ"/>
        </w:rPr>
      </w:pPr>
    </w:p>
    <w:p w14:paraId="33F2303D" w14:textId="77777777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Bayonnoma elektromagnit maydon kuchini o‘lchash natijalarini qayd etish uchun yuritiladi.</w:t>
      </w:r>
    </w:p>
    <w:p w14:paraId="6D315F29" w14:textId="77777777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“Joy” grafasida obyekt nomi (radio minorasi, transformator, antennali inshoot) yoziladi.</w:t>
      </w:r>
    </w:p>
    <w:p w14:paraId="1A1CA148" w14:textId="77777777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“Sana” grafasiga o‘lchov kuni kiritiladi.</w:t>
      </w:r>
    </w:p>
    <w:p w14:paraId="57640485" w14:textId="77777777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“Asbob” grafasida ishlatilgan o‘lchov asbobi nomi yoziladi.</w:t>
      </w:r>
    </w:p>
    <w:p w14:paraId="330E5974" w14:textId="77777777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“Maydon kuchi” ustunida natija V/m yoki mG birligida yoziladi.</w:t>
      </w:r>
    </w:p>
    <w:p w14:paraId="258B0BBD" w14:textId="488A89A3" w:rsidR="009823E7" w:rsidRPr="009823E7" w:rsidRDefault="009823E7" w:rsidP="009823E7">
      <w:pPr>
        <w:rPr>
          <w:sz w:val="28"/>
          <w:szCs w:val="28"/>
          <w:lang w:val="uz-Cyrl-UZ"/>
        </w:rPr>
      </w:pPr>
      <w:r w:rsidRPr="009823E7">
        <w:rPr>
          <w:sz w:val="28"/>
          <w:szCs w:val="28"/>
          <w:lang w:val="uz-Cyrl-UZ"/>
        </w:rPr>
        <w:t>“Xulosa” grafasida “ruxsat etilgan me’yorda” yoki “ortiqcha” deb yoziladi.</w:t>
      </w:r>
    </w:p>
    <w:sectPr w:rsidR="009823E7" w:rsidRPr="00982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12"/>
    <w:rsid w:val="003E0912"/>
    <w:rsid w:val="004325EC"/>
    <w:rsid w:val="00746D22"/>
    <w:rsid w:val="009823E7"/>
    <w:rsid w:val="00BC7FF4"/>
    <w:rsid w:val="00F87796"/>
    <w:rsid w:val="00FC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7939B"/>
  <w15:chartTrackingRefBased/>
  <w15:docId w15:val="{AC1B1256-4FB5-46B6-8313-202F06D1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5</cp:revision>
  <dcterms:created xsi:type="dcterms:W3CDTF">2025-11-24T12:37:00Z</dcterms:created>
  <dcterms:modified xsi:type="dcterms:W3CDTF">2025-12-05T12:04:00Z</dcterms:modified>
</cp:coreProperties>
</file>