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FAEB" w14:textId="77777777" w:rsidR="00861059" w:rsidRDefault="00861059" w:rsidP="005710D1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5BB45921" w14:textId="77777777" w:rsidR="00861059" w:rsidRDefault="00861059" w:rsidP="005710D1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23DD4220" w14:textId="307A3C5E" w:rsidR="00861059" w:rsidRDefault="005710D1" w:rsidP="0086105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Isteʼmol uchun yaroqsiz deb topilgan oziq- ovqat mahsulotlarini savdoga chiqarilishini taqiqlash qarorlarini roʻyhatga olish</w:t>
      </w:r>
    </w:p>
    <w:p w14:paraId="449208F0" w14:textId="77777777" w:rsidR="00861059" w:rsidRPr="00861059" w:rsidRDefault="00861059" w:rsidP="0086105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61059">
        <w:rPr>
          <w:b/>
          <w:bCs/>
          <w:sz w:val="28"/>
          <w:szCs w:val="28"/>
          <w:lang w:val="uz-Cyrl-UZ" w:eastAsia="uz-Cyrl-UZ"/>
        </w:rPr>
        <w:t>Yoʻriqnomasi</w:t>
      </w:r>
    </w:p>
    <w:p w14:paraId="4EF14FFB" w14:textId="2BD7B5FE" w:rsidR="00861059" w:rsidRDefault="00861059" w:rsidP="00861059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61059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52</w:t>
      </w:r>
      <w:r w:rsidRPr="00861059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5174249A" w14:textId="406795F2" w:rsidR="005710D1" w:rsidRDefault="005710D1" w:rsidP="005710D1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6FAD0740" w14:textId="77777777" w:rsidR="005710D1" w:rsidRDefault="005710D1" w:rsidP="005710D1">
      <w:pPr>
        <w:rPr>
          <w:sz w:val="28"/>
          <w:szCs w:val="28"/>
          <w:lang w:val="uz-Cyrl-UZ" w:eastAsia="uz-Cyrl-UZ"/>
        </w:rPr>
      </w:pPr>
      <w:r>
        <w:rPr>
          <w:sz w:val="28"/>
          <w:szCs w:val="28"/>
          <w:lang w:val="uz-Cyrl-UZ" w:eastAsia="uz-Cyrl-UZ"/>
        </w:rPr>
        <w:t>Bayonnoma oziq-ovqat yoki xomashyo tarkibida zaharli moddalar mavjudligini aniqlash uchun to‘ldiriladi.</w:t>
      </w:r>
      <w:r>
        <w:rPr>
          <w:sz w:val="28"/>
          <w:szCs w:val="28"/>
          <w:lang w:val="uz-Cyrl-UZ" w:eastAsia="uz-Cyrl-UZ"/>
        </w:rPr>
        <w:br/>
        <w:t>“Namunani yuborgan joy” grafasida tashkilot yoki korxona nomi yoziladi.</w:t>
      </w:r>
      <w:r>
        <w:rPr>
          <w:sz w:val="28"/>
          <w:szCs w:val="28"/>
          <w:lang w:val="uz-Cyrl-UZ" w:eastAsia="uz-Cyrl-UZ"/>
        </w:rPr>
        <w:br/>
        <w:t>“Sana” grafasiga tekshiruv sanasi kiritiladi.</w:t>
      </w:r>
      <w:r>
        <w:rPr>
          <w:sz w:val="28"/>
          <w:szCs w:val="28"/>
          <w:lang w:val="uz-Cyrl-UZ" w:eastAsia="uz-Cyrl-UZ"/>
        </w:rPr>
        <w:br/>
        <w:t>“Tahlil natijalari” grafasida aniqlangan modda turi (pestisid, toksin, metall) va miqdori yoziladi.</w:t>
      </w:r>
      <w:r>
        <w:rPr>
          <w:sz w:val="28"/>
          <w:szCs w:val="28"/>
          <w:lang w:val="uz-Cyrl-UZ" w:eastAsia="uz-Cyrl-UZ"/>
        </w:rPr>
        <w:br/>
        <w:t>“Xulosa” grafasida “mos” yoki “javob bermaydi” deb belgilanadi.</w:t>
      </w:r>
      <w:r>
        <w:rPr>
          <w:sz w:val="28"/>
          <w:szCs w:val="28"/>
          <w:lang w:val="uz-Cyrl-UZ" w:eastAsia="uz-Cyrl-UZ"/>
        </w:rPr>
        <w:br/>
        <w:t>Bayonnoma mas’ul laboratoriya mutaxassisi tomonidan imzolanadi.</w:t>
      </w:r>
    </w:p>
    <w:p w14:paraId="160F99BD" w14:textId="77777777" w:rsidR="00F87796" w:rsidRPr="005710D1" w:rsidRDefault="00F87796">
      <w:pPr>
        <w:rPr>
          <w:lang w:val="uz-Cyrl-UZ"/>
        </w:rPr>
      </w:pPr>
    </w:p>
    <w:sectPr w:rsidR="00F87796" w:rsidRPr="00571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19"/>
    <w:rsid w:val="005710D1"/>
    <w:rsid w:val="00746D22"/>
    <w:rsid w:val="00861059"/>
    <w:rsid w:val="00880D19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4300"/>
  <w15:chartTrackingRefBased/>
  <w15:docId w15:val="{C428ACCE-D946-4399-B44F-1496704F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10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2025-11-24T12:40:00Z</dcterms:created>
  <dcterms:modified xsi:type="dcterms:W3CDTF">2025-12-05T12:22:00Z</dcterms:modified>
</cp:coreProperties>
</file>