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5CF1" w14:textId="77777777" w:rsidR="00C63603" w:rsidRDefault="00C63603" w:rsidP="00C636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3D0F43ED" w14:textId="440A7E12" w:rsidR="00C63603" w:rsidRDefault="0070578E" w:rsidP="00C63603">
      <w:pPr>
        <w:jc w:val="center"/>
        <w:outlineLvl w:val="1"/>
      </w:pPr>
      <w:r w:rsidRPr="00F345DF">
        <w:rPr>
          <w:b/>
          <w:bCs/>
          <w:sz w:val="28"/>
          <w:szCs w:val="28"/>
          <w:lang w:val="uz-Cyrl-UZ" w:eastAsia="uz-Cyrl-UZ"/>
        </w:rPr>
        <w:t>Radiometrik oʻlchovlarni hisobga olish</w:t>
      </w:r>
    </w:p>
    <w:p w14:paraId="4217CA10" w14:textId="4900C195" w:rsidR="00C63603" w:rsidRPr="00C63603" w:rsidRDefault="00C63603" w:rsidP="00C636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63603">
        <w:rPr>
          <w:b/>
          <w:bCs/>
          <w:sz w:val="28"/>
          <w:szCs w:val="28"/>
          <w:lang w:val="uz-Cyrl-UZ" w:eastAsia="uz-Cyrl-UZ"/>
        </w:rPr>
        <w:t>Yoʻriqnomasi</w:t>
      </w:r>
    </w:p>
    <w:p w14:paraId="25AF9630" w14:textId="5A5C9FDE" w:rsidR="00C63603" w:rsidRPr="00C63603" w:rsidRDefault="00C63603" w:rsidP="00C636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63603">
        <w:rPr>
          <w:b/>
          <w:bCs/>
          <w:sz w:val="28"/>
          <w:szCs w:val="28"/>
          <w:lang w:val="uz-Cyrl-UZ" w:eastAsia="uz-Cyrl-UZ"/>
        </w:rPr>
        <w:t>35</w:t>
      </w:r>
      <w:r>
        <w:rPr>
          <w:b/>
          <w:bCs/>
          <w:sz w:val="28"/>
          <w:szCs w:val="28"/>
          <w:lang w:val="uz-Cyrl-UZ" w:eastAsia="uz-Cyrl-UZ"/>
        </w:rPr>
        <w:t>5</w:t>
      </w:r>
      <w:r w:rsidRPr="00C63603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0B482A78" w14:textId="015564D9" w:rsidR="0070578E" w:rsidRDefault="0070578E" w:rsidP="00C6360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6A91F6C3" w14:textId="77777777" w:rsidR="0070578E" w:rsidRDefault="0070578E" w:rsidP="0070578E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Protokol asbob-uskunalar radiatsion xavfsizligini nazorat qilish uchun tuziladi.</w:t>
      </w:r>
      <w:r>
        <w:rPr>
          <w:sz w:val="28"/>
          <w:szCs w:val="28"/>
          <w:lang w:val="uz-Cyrl-UZ" w:eastAsia="uz-Cyrl-UZ"/>
        </w:rPr>
        <w:br/>
        <w:t>“Asbob nomi” grafasida tekshirilgan uskunaning to‘liq nomi yoziladi.</w:t>
      </w:r>
      <w:r>
        <w:rPr>
          <w:sz w:val="28"/>
          <w:szCs w:val="28"/>
          <w:lang w:val="uz-Cyrl-UZ" w:eastAsia="uz-Cyrl-UZ"/>
        </w:rPr>
        <w:br/>
        <w:t>“Sana” grafasiga o‘lchov sanasi kiritiladi.</w:t>
      </w:r>
      <w:r>
        <w:rPr>
          <w:sz w:val="28"/>
          <w:szCs w:val="28"/>
          <w:lang w:val="uz-Cyrl-UZ" w:eastAsia="uz-Cyrl-UZ"/>
        </w:rPr>
        <w:br/>
        <w:t>“Doza darajasi” grafasida o‘lchangan nurlanish miqdori µSv/soat ko‘rsatiladi.</w:t>
      </w:r>
      <w:r>
        <w:rPr>
          <w:sz w:val="28"/>
          <w:szCs w:val="28"/>
          <w:lang w:val="uz-Cyrl-UZ" w:eastAsia="uz-Cyrl-UZ"/>
        </w:rPr>
        <w:br/>
        <w:t>“Xulosa” grafasida “ruxsat etilgan” yoki “ruxsat etilmagan” deb yoziladi.</w:t>
      </w:r>
    </w:p>
    <w:p w14:paraId="10B0D327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B2"/>
    <w:rsid w:val="0070578E"/>
    <w:rsid w:val="00746D22"/>
    <w:rsid w:val="00A044B2"/>
    <w:rsid w:val="00C6360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ECD6"/>
  <w15:chartTrackingRefBased/>
  <w15:docId w15:val="{EAA1EA91-0830-4480-A3BD-1C1E85F9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7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2025-11-24T12:41:00Z</dcterms:created>
  <dcterms:modified xsi:type="dcterms:W3CDTF">2025-12-05T12:25:00Z</dcterms:modified>
</cp:coreProperties>
</file>