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64A8" w:rsidRDefault="00D4716B" w:rsidP="004764A8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1B19E3">
        <w:rPr>
          <w:b/>
          <w:bCs/>
          <w:sz w:val="28"/>
          <w:szCs w:val="28"/>
          <w:lang w:val="uz-Cyrl-UZ" w:eastAsia="uz-Cyrl-UZ"/>
        </w:rPr>
        <w:t>Tashqi muhit anjomlaridan sanitar- gelmintologik surtmalar olish</w:t>
      </w:r>
    </w:p>
    <w:p w:rsidR="004764A8" w:rsidRPr="008B5286" w:rsidRDefault="004764A8" w:rsidP="004764A8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0B58E6">
        <w:rPr>
          <w:b/>
          <w:bCs/>
          <w:sz w:val="28"/>
          <w:szCs w:val="28"/>
          <w:lang w:val="uz-Cyrl-UZ" w:eastAsia="uz-Cyrl-UZ"/>
        </w:rPr>
        <w:t xml:space="preserve"> </w:t>
      </w: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4764A8" w:rsidRPr="008B5286" w:rsidRDefault="004764A8" w:rsidP="004764A8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87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D4716B" w:rsidRPr="004764A8" w:rsidRDefault="004764A8" w:rsidP="00D4716B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D4716B" w:rsidRDefault="004764A8" w:rsidP="00D4716B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D4716B">
        <w:rPr>
          <w:sz w:val="28"/>
          <w:szCs w:val="28"/>
          <w:lang w:val="uz-Cyrl-UZ" w:eastAsia="uz-Cyrl-UZ"/>
        </w:rPr>
        <w:t xml:space="preserve"> chivin va hasharotlarga qarshi kimyoviy ishlovlar bo‘yicha ma’lumotlarni qayd etadi.</w:t>
      </w:r>
      <w:r w:rsidR="00D4716B">
        <w:rPr>
          <w:sz w:val="28"/>
          <w:szCs w:val="28"/>
          <w:lang w:val="uz-Cyrl-UZ" w:eastAsia="uz-Cyrl-UZ"/>
        </w:rPr>
        <w:br/>
        <w:t>“Joy nomi” grafasiga ishlov o‘tkazilgan joy yoziladi.</w:t>
      </w:r>
      <w:r w:rsidR="00D4716B">
        <w:rPr>
          <w:sz w:val="28"/>
          <w:szCs w:val="28"/>
          <w:lang w:val="uz-Cyrl-UZ" w:eastAsia="uz-Cyrl-UZ"/>
        </w:rPr>
        <w:br/>
        <w:t>“Sana” grafasida ishlov sanasi yoziladi.</w:t>
      </w:r>
      <w:r w:rsidR="00D4716B">
        <w:rPr>
          <w:sz w:val="28"/>
          <w:szCs w:val="28"/>
          <w:lang w:val="uz-Cyrl-UZ" w:eastAsia="uz-Cyrl-UZ"/>
        </w:rPr>
        <w:br/>
        <w:t>“Vosita nomi” grafasida ishlatilgan insektitsid yoki preparat nomi yoziladi.</w:t>
      </w:r>
      <w:r w:rsidR="00D4716B">
        <w:rPr>
          <w:sz w:val="28"/>
          <w:szCs w:val="28"/>
          <w:lang w:val="uz-Cyrl-UZ" w:eastAsia="uz-Cyrl-UZ"/>
        </w:rPr>
        <w:br/>
        <w:t>“Konsentratsiya” grafasida eritma kuchi (%) yoziladi.</w:t>
      </w:r>
      <w:r w:rsidR="00D4716B">
        <w:rPr>
          <w:sz w:val="28"/>
          <w:szCs w:val="28"/>
          <w:lang w:val="uz-Cyrl-UZ" w:eastAsia="uz-Cyrl-UZ"/>
        </w:rPr>
        <w:br/>
        <w:t>“Maydon” grafasida ishlov berilgan joy maydoni (m², ga) ko‘rsatiladi.</w:t>
      </w:r>
      <w:r w:rsidR="00D4716B">
        <w:rPr>
          <w:sz w:val="28"/>
          <w:szCs w:val="28"/>
          <w:lang w:val="uz-Cyrl-UZ" w:eastAsia="uz-Cyrl-UZ"/>
        </w:rPr>
        <w:br/>
        <w:t>“Xulosa” grafasida natija “samarali/samarasiz” deb belgilanadi.</w:t>
      </w:r>
    </w:p>
    <w:p w:rsidR="00F87796" w:rsidRDefault="00F87796"/>
    <w:sectPr w:rsidR="00F87796" w:rsidSect="005B2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3F7F72"/>
    <w:rsid w:val="003F7F72"/>
    <w:rsid w:val="004764A8"/>
    <w:rsid w:val="005B25E8"/>
    <w:rsid w:val="00D4716B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71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2025-11-24T12:48:00Z</dcterms:created>
  <dcterms:modified xsi:type="dcterms:W3CDTF">2025-11-15T11:08:00Z</dcterms:modified>
</cp:coreProperties>
</file>