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D42BC" w14:textId="77777777" w:rsidR="004001DD" w:rsidRPr="004001DD" w:rsidRDefault="004001DD" w:rsidP="007B5483">
      <w:pPr>
        <w:pStyle w:val="ac"/>
        <w:rPr>
          <w:rFonts w:ascii="Times New Roman" w:hAnsi="Times New Roman"/>
          <w:bCs/>
          <w:noProof/>
          <w:szCs w:val="28"/>
          <w:lang w:val="en-US"/>
        </w:rPr>
      </w:pPr>
      <w:r w:rsidRPr="004001DD">
        <w:rPr>
          <w:rFonts w:ascii="Times New Roman" w:hAnsi="Times New Roman"/>
          <w:bCs/>
          <w:noProof/>
          <w:szCs w:val="28"/>
          <w:lang w:val="en-US"/>
        </w:rPr>
        <w:t xml:space="preserve">Yomon sifatli oʻsma xastaligi bor shifoxona </w:t>
      </w:r>
    </w:p>
    <w:p w14:paraId="0F65F1E7" w14:textId="77777777" w:rsidR="004001DD" w:rsidRPr="004001DD" w:rsidRDefault="004001DD" w:rsidP="007B5483">
      <w:pPr>
        <w:pStyle w:val="ac"/>
        <w:rPr>
          <w:rFonts w:ascii="Times New Roman" w:hAnsi="Times New Roman"/>
          <w:bCs/>
          <w:noProof/>
          <w:szCs w:val="28"/>
          <w:lang w:val="en-US"/>
        </w:rPr>
      </w:pPr>
      <w:r w:rsidRPr="004001DD">
        <w:rPr>
          <w:rFonts w:ascii="Times New Roman" w:hAnsi="Times New Roman"/>
          <w:bCs/>
          <w:noProof/>
          <w:szCs w:val="28"/>
          <w:lang w:val="en-US"/>
        </w:rPr>
        <w:t>bemorining tibbiy karta koʻchirmasining</w:t>
      </w:r>
    </w:p>
    <w:p w14:paraId="54FDE8F5" w14:textId="77777777" w:rsidR="004001DD" w:rsidRPr="004001DD" w:rsidRDefault="004001DD" w:rsidP="007B5483">
      <w:pPr>
        <w:pStyle w:val="ac"/>
        <w:rPr>
          <w:rFonts w:ascii="Times New Roman" w:hAnsi="Times New Roman"/>
          <w:bCs/>
          <w:noProof/>
          <w:szCs w:val="28"/>
          <w:lang w:val="en-US"/>
        </w:rPr>
      </w:pPr>
    </w:p>
    <w:p w14:paraId="2BDEE821" w14:textId="77777777" w:rsidR="004001DD" w:rsidRPr="004001DD" w:rsidRDefault="004001DD" w:rsidP="007B5483">
      <w:pPr>
        <w:pStyle w:val="ac"/>
        <w:rPr>
          <w:rFonts w:ascii="Times New Roman" w:hAnsi="Times New Roman"/>
          <w:bCs/>
          <w:noProof/>
          <w:szCs w:val="28"/>
          <w:lang w:val="en-US"/>
        </w:rPr>
      </w:pPr>
      <w:r w:rsidRPr="004001DD">
        <w:rPr>
          <w:rFonts w:ascii="Times New Roman" w:hAnsi="Times New Roman"/>
          <w:bCs/>
          <w:noProof/>
          <w:szCs w:val="28"/>
          <w:lang w:val="en-US"/>
        </w:rPr>
        <w:t>YOʻRIQNOMASI</w:t>
      </w:r>
    </w:p>
    <w:p w14:paraId="217C0DC3" w14:textId="77777777" w:rsidR="004001DD" w:rsidRDefault="004001DD" w:rsidP="007B5483">
      <w:pPr>
        <w:pStyle w:val="ac"/>
        <w:rPr>
          <w:rFonts w:ascii="Times New Roman" w:hAnsi="Times New Roman"/>
          <w:bCs/>
          <w:noProof/>
          <w:szCs w:val="28"/>
          <w:lang w:val="uz-Cyrl-UZ"/>
        </w:rPr>
      </w:pPr>
      <w:r w:rsidRPr="004001DD">
        <w:rPr>
          <w:rFonts w:ascii="Times New Roman" w:hAnsi="Times New Roman"/>
          <w:bCs/>
          <w:noProof/>
          <w:szCs w:val="28"/>
          <w:lang w:val="en-US"/>
        </w:rPr>
        <w:t>(027-1-raqamli h.sh.)</w:t>
      </w:r>
    </w:p>
    <w:p w14:paraId="443F7640" w14:textId="77777777" w:rsidR="008C41A4" w:rsidRPr="008C41A4" w:rsidRDefault="008C41A4" w:rsidP="007B5483">
      <w:pPr>
        <w:pStyle w:val="ac"/>
        <w:rPr>
          <w:rFonts w:ascii="Times New Roman" w:hAnsi="Times New Roman"/>
          <w:bCs/>
          <w:noProof/>
          <w:szCs w:val="28"/>
          <w:lang w:val="uz-Cyrl-UZ"/>
        </w:rPr>
      </w:pPr>
    </w:p>
    <w:p w14:paraId="2F28A82A" w14:textId="4999683B" w:rsidR="004001DD" w:rsidRPr="004001DD" w:rsidRDefault="004001DD" w:rsidP="004001DD">
      <w:pPr>
        <w:pStyle w:val="ac"/>
        <w:spacing w:line="276" w:lineRule="auto"/>
        <w:jc w:val="both"/>
        <w:rPr>
          <w:rFonts w:ascii="Times New Roman" w:hAnsi="Times New Roman"/>
          <w:b w:val="0"/>
          <w:noProof/>
          <w:sz w:val="28"/>
          <w:szCs w:val="28"/>
          <w:lang w:val="en-US"/>
        </w:rPr>
      </w:pPr>
      <w:r w:rsidRPr="004001DD">
        <w:rPr>
          <w:rFonts w:ascii="Times New Roman" w:hAnsi="Times New Roman"/>
          <w:b w:val="0"/>
          <w:noProof/>
          <w:szCs w:val="28"/>
          <w:lang w:val="en-US"/>
        </w:rPr>
        <w:tab/>
      </w:r>
      <w:r w:rsidR="007522A1" w:rsidRPr="007522A1">
        <w:rPr>
          <w:rFonts w:ascii="Times New Roman" w:hAnsi="Times New Roman"/>
          <w:b w:val="0"/>
          <w:noProof/>
          <w:sz w:val="28"/>
          <w:szCs w:val="28"/>
          <w:lang w:val="en-US"/>
        </w:rPr>
        <w:t>Bu shakl</w:t>
      </w:r>
      <w:r w:rsidRPr="004001DD">
        <w:rPr>
          <w:rFonts w:ascii="Times New Roman" w:hAnsi="Times New Roman"/>
          <w:b w:val="0"/>
          <w:noProof/>
          <w:sz w:val="28"/>
          <w:szCs w:val="28"/>
          <w:lang w:val="en-US"/>
        </w:rPr>
        <w:t xml:space="preserve"> saraton xastaligi bilan statsionarda davolanib, olib ketilgan (chiqarilgan, vafot etgan) har bir bemor uchun davolash vrachi tomonidan toʻldiriladi. Koʻchirma bemorning ahvoli, davo tadbirlari haqidagi maʼlumotlar bilan yashash joyidagi onkologik dispanser (KTMPlar)ga yuboriladi.</w:t>
      </w:r>
    </w:p>
    <w:p w14:paraId="45C8212F" w14:textId="3E719FFA" w:rsidR="004001DD" w:rsidRPr="004001DD" w:rsidRDefault="004001DD" w:rsidP="004001DD">
      <w:pPr>
        <w:pStyle w:val="ac"/>
        <w:spacing w:line="276" w:lineRule="auto"/>
        <w:jc w:val="both"/>
        <w:rPr>
          <w:rFonts w:ascii="Times New Roman" w:hAnsi="Times New Roman"/>
          <w:b w:val="0"/>
          <w:noProof/>
          <w:sz w:val="28"/>
          <w:szCs w:val="28"/>
          <w:lang w:val="en-US"/>
        </w:rPr>
      </w:pPr>
      <w:r w:rsidRPr="004001DD">
        <w:rPr>
          <w:rFonts w:ascii="Times New Roman" w:hAnsi="Times New Roman"/>
          <w:b w:val="0"/>
          <w:noProof/>
          <w:sz w:val="28"/>
          <w:szCs w:val="28"/>
          <w:lang w:val="en-US"/>
        </w:rPr>
        <w:tab/>
      </w:r>
      <w:bookmarkStart w:id="0" w:name="_Hlk215234074"/>
      <w:r w:rsidR="007522A1" w:rsidRPr="007522A1">
        <w:rPr>
          <w:rFonts w:ascii="Times New Roman" w:hAnsi="Times New Roman"/>
          <w:b w:val="0"/>
          <w:noProof/>
          <w:sz w:val="28"/>
          <w:szCs w:val="28"/>
          <w:lang w:val="en-US"/>
        </w:rPr>
        <w:t>Bu shakl</w:t>
      </w:r>
      <w:bookmarkEnd w:id="0"/>
      <w:r w:rsidR="007522A1" w:rsidRPr="007522A1">
        <w:rPr>
          <w:rFonts w:ascii="Times New Roman" w:hAnsi="Times New Roman"/>
          <w:b w:val="0"/>
          <w:noProof/>
          <w:sz w:val="28"/>
          <w:szCs w:val="28"/>
          <w:lang w:val="en-US"/>
        </w:rPr>
        <w:t xml:space="preserve">da   </w:t>
      </w:r>
      <w:r w:rsidRPr="004001DD">
        <w:rPr>
          <w:rFonts w:ascii="Times New Roman" w:hAnsi="Times New Roman"/>
          <w:b w:val="0"/>
          <w:noProof/>
          <w:sz w:val="28"/>
          <w:szCs w:val="28"/>
          <w:lang w:val="en-US"/>
        </w:rPr>
        <w:t xml:space="preserve"> pasport maʼlumotlari, davolanish muddati, yakuniy tashhis, oʻsma kasalligining darajasi, gistologik strukturasi va tahlili oʻz aksini topadi.</w:t>
      </w:r>
    </w:p>
    <w:p w14:paraId="29ADDE52" w14:textId="77777777" w:rsidR="004001DD" w:rsidRPr="004001DD" w:rsidRDefault="004001DD" w:rsidP="004001DD">
      <w:pPr>
        <w:pStyle w:val="ac"/>
        <w:spacing w:line="276" w:lineRule="auto"/>
        <w:jc w:val="both"/>
        <w:rPr>
          <w:rFonts w:ascii="Times New Roman" w:hAnsi="Times New Roman"/>
          <w:b w:val="0"/>
          <w:noProof/>
          <w:sz w:val="28"/>
          <w:szCs w:val="28"/>
          <w:lang w:val="en-US"/>
        </w:rPr>
      </w:pPr>
      <w:r w:rsidRPr="004001DD">
        <w:rPr>
          <w:rFonts w:ascii="Times New Roman" w:hAnsi="Times New Roman"/>
          <w:b w:val="0"/>
          <w:noProof/>
          <w:sz w:val="28"/>
          <w:szCs w:val="28"/>
          <w:lang w:val="en-US"/>
        </w:rPr>
        <w:tab/>
        <w:t>Davolash turlarining radikallik darajasi koʻrsatilgan holda aks ettiriladi, bemor nur bilan davolanganida uning dozasi, shuningdek boshqa qoʻllanilgan tadbirlar yoziladi.</w:t>
      </w:r>
    </w:p>
    <w:p w14:paraId="0E36A5E4" w14:textId="634F3288" w:rsidR="004001DD" w:rsidRPr="004001DD" w:rsidRDefault="004001DD" w:rsidP="004001DD">
      <w:pPr>
        <w:pStyle w:val="ac"/>
        <w:spacing w:line="276" w:lineRule="auto"/>
        <w:jc w:val="both"/>
        <w:rPr>
          <w:rFonts w:ascii="Times New Roman" w:hAnsi="Times New Roman"/>
          <w:b w:val="0"/>
          <w:noProof/>
          <w:sz w:val="28"/>
          <w:szCs w:val="28"/>
          <w:lang w:val="en-US"/>
        </w:rPr>
      </w:pPr>
      <w:r w:rsidRPr="004001DD">
        <w:rPr>
          <w:rFonts w:ascii="Times New Roman" w:hAnsi="Times New Roman"/>
          <w:b w:val="0"/>
          <w:noProof/>
          <w:sz w:val="28"/>
          <w:szCs w:val="28"/>
          <w:lang w:val="en-US"/>
        </w:rPr>
        <w:tab/>
      </w:r>
      <w:r w:rsidR="007522A1" w:rsidRPr="007522A1">
        <w:rPr>
          <w:rFonts w:ascii="Times New Roman" w:hAnsi="Times New Roman"/>
          <w:b w:val="0"/>
          <w:noProof/>
          <w:sz w:val="28"/>
          <w:szCs w:val="28"/>
          <w:lang w:val="en-US"/>
        </w:rPr>
        <w:t>Bu shakl</w:t>
      </w:r>
      <w:r w:rsidRPr="004001DD">
        <w:rPr>
          <w:rFonts w:ascii="Times New Roman" w:hAnsi="Times New Roman"/>
          <w:b w:val="0"/>
          <w:noProof/>
          <w:sz w:val="28"/>
          <w:szCs w:val="28"/>
          <w:lang w:val="en-US"/>
        </w:rPr>
        <w:t xml:space="preserve">dagi maʼlumotlar hududiy onkologik dispanserlar va koʻp tarmoqli markaziy poliklinika onkologik shifokoriga dispanser kuzatuviga olish uchun (025/4-dispanser nazorat ambulator tibbiy kartasi va 030-3-h/sh- dispanser nazorat kartasini yuritish uchun) yuboriladi. Onkologik dispanser (onkologik xona) mazkur shaklni olganidan keyin bemorlarni roʻyhatga oladi. (4-klinik gurux) xronologik tartibda, aynan shu kasallik tufayli tibbiy yordam soʻrab murojaat qilishi, oʻz vaqtida tashhisni aniqlay olmagan davolash-profilaktika muassasasi koʻrsatiladi.  </w:t>
      </w:r>
    </w:p>
    <w:p w14:paraId="6186D4D9" w14:textId="77777777" w:rsidR="004001DD" w:rsidRPr="007B5483" w:rsidRDefault="004001DD" w:rsidP="004001DD">
      <w:pPr>
        <w:pStyle w:val="ac"/>
        <w:spacing w:line="276" w:lineRule="auto"/>
        <w:jc w:val="both"/>
        <w:rPr>
          <w:rFonts w:ascii="Times New Roman" w:hAnsi="Times New Roman"/>
          <w:noProof/>
          <w:sz w:val="28"/>
          <w:szCs w:val="28"/>
          <w:lang w:val="uz-Cyrl-UZ"/>
        </w:rPr>
      </w:pPr>
    </w:p>
    <w:sectPr w:rsidR="004001DD" w:rsidRPr="007B5483" w:rsidSect="004001D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ACADEMY">
    <w:altName w:val="Calibri"/>
    <w:charset w:val="00"/>
    <w:family w:val="auto"/>
    <w:pitch w:val="variable"/>
    <w:sig w:usb0="00000001" w:usb1="00000000" w:usb2="00000000" w:usb3="00000000" w:csb0="00000005"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A4F"/>
    <w:rsid w:val="000F7011"/>
    <w:rsid w:val="001768E7"/>
    <w:rsid w:val="004001DD"/>
    <w:rsid w:val="004700BA"/>
    <w:rsid w:val="00510A4F"/>
    <w:rsid w:val="007522A1"/>
    <w:rsid w:val="007B036F"/>
    <w:rsid w:val="008C41A4"/>
    <w:rsid w:val="00CF0850"/>
    <w:rsid w:val="00E52E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51A90"/>
  <w15:chartTrackingRefBased/>
  <w15:docId w15:val="{0D2B0F40-6B53-4A19-BB24-73F7066D5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10A4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510A4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10A4F"/>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510A4F"/>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510A4F"/>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510A4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10A4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10A4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10A4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10A4F"/>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10A4F"/>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10A4F"/>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10A4F"/>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510A4F"/>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510A4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10A4F"/>
    <w:rPr>
      <w:rFonts w:eastAsiaTheme="majorEastAsia" w:cstheme="majorBidi"/>
      <w:color w:val="595959" w:themeColor="text1" w:themeTint="A6"/>
    </w:rPr>
  </w:style>
  <w:style w:type="character" w:customStyle="1" w:styleId="80">
    <w:name w:val="Заголовок 8 Знак"/>
    <w:basedOn w:val="a0"/>
    <w:link w:val="8"/>
    <w:uiPriority w:val="9"/>
    <w:semiHidden/>
    <w:rsid w:val="00510A4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10A4F"/>
    <w:rPr>
      <w:rFonts w:eastAsiaTheme="majorEastAsia" w:cstheme="majorBidi"/>
      <w:color w:val="272727" w:themeColor="text1" w:themeTint="D8"/>
    </w:rPr>
  </w:style>
  <w:style w:type="paragraph" w:styleId="a3">
    <w:name w:val="Title"/>
    <w:basedOn w:val="a"/>
    <w:next w:val="a"/>
    <w:link w:val="a4"/>
    <w:uiPriority w:val="10"/>
    <w:qFormat/>
    <w:rsid w:val="00510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10A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0A4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10A4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10A4F"/>
    <w:pPr>
      <w:spacing w:before="160"/>
      <w:jc w:val="center"/>
    </w:pPr>
    <w:rPr>
      <w:i/>
      <w:iCs/>
      <w:color w:val="404040" w:themeColor="text1" w:themeTint="BF"/>
    </w:rPr>
  </w:style>
  <w:style w:type="character" w:customStyle="1" w:styleId="22">
    <w:name w:val="Цитата 2 Знак"/>
    <w:basedOn w:val="a0"/>
    <w:link w:val="21"/>
    <w:uiPriority w:val="29"/>
    <w:rsid w:val="00510A4F"/>
    <w:rPr>
      <w:i/>
      <w:iCs/>
      <w:color w:val="404040" w:themeColor="text1" w:themeTint="BF"/>
    </w:rPr>
  </w:style>
  <w:style w:type="paragraph" w:styleId="a7">
    <w:name w:val="List Paragraph"/>
    <w:basedOn w:val="a"/>
    <w:uiPriority w:val="34"/>
    <w:qFormat/>
    <w:rsid w:val="00510A4F"/>
    <w:pPr>
      <w:ind w:left="720"/>
      <w:contextualSpacing/>
    </w:pPr>
  </w:style>
  <w:style w:type="character" w:styleId="a8">
    <w:name w:val="Intense Emphasis"/>
    <w:basedOn w:val="a0"/>
    <w:uiPriority w:val="21"/>
    <w:qFormat/>
    <w:rsid w:val="00510A4F"/>
    <w:rPr>
      <w:i/>
      <w:iCs/>
      <w:color w:val="2E74B5" w:themeColor="accent1" w:themeShade="BF"/>
    </w:rPr>
  </w:style>
  <w:style w:type="paragraph" w:styleId="a9">
    <w:name w:val="Intense Quote"/>
    <w:basedOn w:val="a"/>
    <w:next w:val="a"/>
    <w:link w:val="aa"/>
    <w:uiPriority w:val="30"/>
    <w:qFormat/>
    <w:rsid w:val="00510A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10A4F"/>
    <w:rPr>
      <w:i/>
      <w:iCs/>
      <w:color w:val="2E74B5" w:themeColor="accent1" w:themeShade="BF"/>
    </w:rPr>
  </w:style>
  <w:style w:type="character" w:styleId="ab">
    <w:name w:val="Intense Reference"/>
    <w:basedOn w:val="a0"/>
    <w:uiPriority w:val="32"/>
    <w:qFormat/>
    <w:rsid w:val="00510A4F"/>
    <w:rPr>
      <w:b/>
      <w:bCs/>
      <w:smallCaps/>
      <w:color w:val="2E74B5" w:themeColor="accent1" w:themeShade="BF"/>
      <w:spacing w:val="5"/>
    </w:rPr>
  </w:style>
  <w:style w:type="paragraph" w:styleId="ac">
    <w:name w:val="Body Text"/>
    <w:basedOn w:val="a"/>
    <w:link w:val="ad"/>
    <w:rsid w:val="00E52E94"/>
    <w:pPr>
      <w:spacing w:after="0" w:line="240" w:lineRule="auto"/>
      <w:jc w:val="center"/>
    </w:pPr>
    <w:rPr>
      <w:rFonts w:ascii="AACADEMY" w:eastAsia="Times New Roman" w:hAnsi="AACADEMY" w:cs="Times New Roman"/>
      <w:b/>
      <w:kern w:val="0"/>
      <w:sz w:val="32"/>
      <w:szCs w:val="20"/>
      <w:lang w:eastAsia="ru-RU"/>
      <w14:ligatures w14:val="none"/>
    </w:rPr>
  </w:style>
  <w:style w:type="character" w:customStyle="1" w:styleId="ad">
    <w:name w:val="Основной текст Знак"/>
    <w:basedOn w:val="a0"/>
    <w:link w:val="ac"/>
    <w:rsid w:val="00E52E94"/>
    <w:rPr>
      <w:rFonts w:ascii="AACADEMY" w:eastAsia="Times New Roman" w:hAnsi="AACADEMY" w:cs="Times New Roman"/>
      <w:b/>
      <w:kern w:val="0"/>
      <w:sz w:val="32"/>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194</Words>
  <Characters>1107</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PRO-TEC</cp:lastModifiedBy>
  <cp:revision>4</cp:revision>
  <dcterms:created xsi:type="dcterms:W3CDTF">2025-10-13T05:44:00Z</dcterms:created>
  <dcterms:modified xsi:type="dcterms:W3CDTF">2025-11-28T09:54:00Z</dcterms:modified>
</cp:coreProperties>
</file>