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76B3" w14:textId="77777777" w:rsidR="004320E1" w:rsidRPr="004320E1" w:rsidRDefault="004320E1" w:rsidP="00E14471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4320E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KLINIK-DIAGNOSTIK LABORATORIYA MIYELOGRAMMA</w:t>
      </w:r>
    </w:p>
    <w:p w14:paraId="61D06207" w14:textId="77777777" w:rsidR="004320E1" w:rsidRPr="004320E1" w:rsidRDefault="004320E1" w:rsidP="00E14471">
      <w:pPr>
        <w:jc w:val="center"/>
        <w:rPr>
          <w:rFonts w:ascii="Times New Roman" w:hAnsi="Times New Roman"/>
          <w:b/>
          <w:noProof/>
          <w:sz w:val="32"/>
          <w:szCs w:val="32"/>
          <w:lang w:val="en-US"/>
        </w:rPr>
      </w:pPr>
      <w:r w:rsidRPr="004320E1">
        <w:rPr>
          <w:rFonts w:ascii="Times New Roman" w:hAnsi="Times New Roman"/>
          <w:b/>
          <w:noProof/>
          <w:sz w:val="32"/>
          <w:szCs w:val="32"/>
          <w:lang w:val="en-US"/>
        </w:rPr>
        <w:t>Y</w:t>
      </w:r>
      <w:r w:rsidRPr="004320E1">
        <w:rPr>
          <w:rFonts w:ascii="Times New Roman" w:hAnsi="Times New Roman"/>
          <w:b/>
          <w:noProof/>
          <w:sz w:val="32"/>
          <w:szCs w:val="32"/>
          <w:lang w:val="uz-Cyrl-UZ"/>
        </w:rPr>
        <w:t>Oʻ</w:t>
      </w:r>
      <w:r w:rsidRPr="004320E1">
        <w:rPr>
          <w:rFonts w:ascii="Times New Roman" w:hAnsi="Times New Roman"/>
          <w:b/>
          <w:noProof/>
          <w:sz w:val="32"/>
          <w:szCs w:val="32"/>
          <w:lang w:val="en-US"/>
        </w:rPr>
        <w:t>RI</w:t>
      </w:r>
      <w:r w:rsidRPr="004320E1">
        <w:rPr>
          <w:rFonts w:ascii="Times New Roman" w:hAnsi="Times New Roman"/>
          <w:b/>
          <w:noProof/>
          <w:sz w:val="32"/>
          <w:szCs w:val="32"/>
          <w:lang w:val="uz-Cyrl-UZ"/>
        </w:rPr>
        <w:t>Q</w:t>
      </w:r>
      <w:r w:rsidRPr="004320E1">
        <w:rPr>
          <w:rFonts w:ascii="Times New Roman" w:hAnsi="Times New Roman"/>
          <w:b/>
          <w:noProof/>
          <w:sz w:val="32"/>
          <w:szCs w:val="32"/>
          <w:lang w:val="en-US"/>
        </w:rPr>
        <w:t>NOMASI</w:t>
      </w:r>
    </w:p>
    <w:p w14:paraId="124D9ECE" w14:textId="1D061339" w:rsidR="004320E1" w:rsidRPr="004320E1" w:rsidRDefault="004320E1" w:rsidP="00E14471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4320E1">
        <w:rPr>
          <w:rFonts w:ascii="Times New Roman" w:hAnsi="Times New Roman"/>
          <w:b/>
          <w:noProof/>
          <w:sz w:val="32"/>
          <w:szCs w:val="32"/>
          <w:lang w:val="en-US"/>
        </w:rPr>
        <w:tab/>
      </w:r>
      <w:r w:rsidRPr="004320E1">
        <w:rPr>
          <w:rFonts w:ascii="Times New Roman" w:hAnsi="Times New Roman"/>
          <w:b/>
          <w:noProof/>
          <w:sz w:val="32"/>
          <w:szCs w:val="32"/>
          <w:lang w:val="en-US"/>
        </w:rPr>
        <w:tab/>
      </w:r>
      <w:r w:rsidRPr="004320E1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(№ </w:t>
      </w:r>
      <w:r w:rsidR="00D42B8F" w:rsidRPr="00D42B8F">
        <w:rPr>
          <w:rFonts w:ascii="Times New Roman" w:hAnsi="Times New Roman"/>
          <w:bCs/>
          <w:noProof/>
          <w:sz w:val="32"/>
          <w:szCs w:val="32"/>
          <w:lang w:val="en-US"/>
        </w:rPr>
        <w:t>120</w:t>
      </w:r>
      <w:r w:rsidRPr="004320E1">
        <w:rPr>
          <w:rFonts w:ascii="Times New Roman" w:hAnsi="Times New Roman"/>
          <w:bCs/>
          <w:noProof/>
          <w:sz w:val="32"/>
          <w:szCs w:val="32"/>
          <w:lang w:val="uz-Cyrl-UZ"/>
        </w:rPr>
        <w:t xml:space="preserve"> raqamli </w:t>
      </w:r>
      <w:r w:rsidRPr="004320E1">
        <w:rPr>
          <w:rFonts w:ascii="Times New Roman" w:hAnsi="Times New Roman"/>
          <w:bCs/>
          <w:noProof/>
          <w:sz w:val="32"/>
          <w:szCs w:val="32"/>
          <w:lang w:val="en-US"/>
        </w:rPr>
        <w:t>x</w:t>
      </w:r>
      <w:r w:rsidRPr="004320E1">
        <w:rPr>
          <w:rFonts w:ascii="Times New Roman" w:hAnsi="Times New Roman"/>
          <w:bCs/>
          <w:noProof/>
          <w:sz w:val="32"/>
          <w:szCs w:val="32"/>
          <w:lang w:val="uz-Cyrl-UZ"/>
        </w:rPr>
        <w:t>/</w:t>
      </w:r>
      <w:r w:rsidRPr="004320E1">
        <w:rPr>
          <w:rFonts w:ascii="Times New Roman" w:hAnsi="Times New Roman"/>
          <w:bCs/>
          <w:noProof/>
          <w:sz w:val="32"/>
          <w:szCs w:val="32"/>
          <w:lang w:val="en-US"/>
        </w:rPr>
        <w:t>sh.)</w:t>
      </w:r>
    </w:p>
    <w:p w14:paraId="46D20CC4" w14:textId="51592F27" w:rsidR="004320E1" w:rsidRPr="00567AAB" w:rsidRDefault="00567AAB" w:rsidP="00567AAB">
      <w:pPr>
        <w:tabs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Mazkur shakl  </w:t>
      </w:r>
      <w:r w:rsidR="004320E1"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laboratoriya xodimlari yoki shifokorlar miyelogramma tahlilini toʻgʻri oʻtkazish va toʻldirishda qoʻllay oladi.</w:t>
      </w:r>
    </w:p>
    <w:p w14:paraId="0340A36F" w14:textId="77777777" w:rsidR="004320E1" w:rsidRPr="00567AAB" w:rsidRDefault="004320E1" w:rsidP="00567AAB">
      <w:pPr>
        <w:tabs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1. Umumiy maʼlumotlar qismi</w:t>
      </w:r>
    </w:p>
    <w:p w14:paraId="61CA7FD6" w14:textId="77777777" w:rsidR="004320E1" w:rsidRPr="00567AAB" w:rsidRDefault="004320E1" w:rsidP="00567AAB">
      <w:pPr>
        <w:tabs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Blankning yuqori qismida quyidagi maʼlumotlar toʻliq yoziladi:</w:t>
      </w:r>
    </w:p>
    <w:p w14:paraId="30971C85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Bemorning toʻliq ismi, sharifi (pasportga muvofiq).</w:t>
      </w:r>
    </w:p>
    <w:p w14:paraId="302DFAC0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Tugʻilgan yili: yil, oy, kun koʻrsatiladi.</w:t>
      </w:r>
    </w:p>
    <w:p w14:paraId="6EF968D2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Boʻlim: Bemor joylashgan klinik boʻlim nomi.</w:t>
      </w:r>
    </w:p>
    <w:p w14:paraId="71372EA8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№ k/t: Kasallik tarixi raqami (ambulator yoki statsionar).</w:t>
      </w:r>
    </w:p>
    <w:p w14:paraId="6D05D24C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Tashxis: Dastlabki klinik tashxis (masalan: anemiya, leykoz, pansitopeniya va h.k.).</w:t>
      </w:r>
    </w:p>
    <w:p w14:paraId="1361A3C6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23D4A7A4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2. </w:t>
      </w: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Miyelogramma tahlili uchun material olish</w:t>
      </w:r>
    </w:p>
    <w:p w14:paraId="303007B6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Material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: steril shpris yordamida steril sharoitda </w:t>
      </w: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sternal yoki iliyak suyak koʻmigi aspirati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olinadi.</w:t>
      </w:r>
    </w:p>
    <w:p w14:paraId="3DA48F62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Bemor tayyorgarligi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: umumiy holati baholanadi, ogʻriqsizlantirish (novokain 0,5%) bilan bajariladi.</w:t>
      </w:r>
    </w:p>
    <w:p w14:paraId="6D1D7A44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Namuna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: olingan aspiratdan shisha slaydlarga 5–10 ta preparat tayyorlanadi.</w:t>
      </w:r>
    </w:p>
    <w:p w14:paraId="1EE8707A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Boʻyoq usuli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: Romanovskiy–Gimza yoki May–Gryunvald boʻyogʻi bilan boʻyaladi.</w:t>
      </w:r>
    </w:p>
    <w:p w14:paraId="562FAFD7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7E79BBCB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3. </w:t>
      </w: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Mikroskopiya va hisoblash tartibi</w:t>
      </w:r>
    </w:p>
    <w:p w14:paraId="1F266225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 Preparatning hujayralarga boy qismi tanlanadi.</w:t>
      </w:r>
    </w:p>
    <w:p w14:paraId="1E8FE19C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 500–1000 ta hujayra hisoblanadi.</w:t>
      </w:r>
    </w:p>
    <w:p w14:paraId="10CEF20B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 Har bir hujayra turi aniqlanib, foiz hisobida jadvalga kiritiladi.</w:t>
      </w:r>
    </w:p>
    <w:p w14:paraId="6E2857B3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 Hisob natijalari jadvalning </w:t>
      </w: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“Natija %”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ustuniga yoziladi.</w:t>
      </w:r>
    </w:p>
    <w:p w14:paraId="1CB967B7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 Qoʻshni ustundagi </w:t>
      </w: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“Meʼyoriy koʻrsatkich”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bilan taqqoslanadi.</w:t>
      </w:r>
    </w:p>
    <w:p w14:paraId="0FCC8A5C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34E4ABB6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4. </w:t>
      </w: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Hisoblanadigan koʻrsatkichlar</w:t>
      </w:r>
    </w:p>
    <w:p w14:paraId="439C391D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Jadvalda keltirilgan barcha hujayra turlari boʻyicha aniq foiz natijalar kiritiladi:</w:t>
      </w:r>
    </w:p>
    <w:p w14:paraId="5B47D8C3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Miyeloid boʻgʻin: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blastlar, promiyelotsitlar, miyelotsitlar, metamiyelotsitlar, tayoqcha va segment yadrolilar.</w:t>
      </w:r>
    </w:p>
    <w:p w14:paraId="6E5398C3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Eozinofil va bazofil boʻgʻinlar.</w:t>
      </w:r>
    </w:p>
    <w:p w14:paraId="18186E93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Limfoid boʻgʻin: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limfotsitlar, prolimfotsitlar va h.k.</w:t>
      </w:r>
    </w:p>
    <w:p w14:paraId="7C56A915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Monotsitar va plazmotsitar boʻgʻinlar.</w:t>
      </w:r>
    </w:p>
    <w:p w14:paraId="23A186DD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Eritroid (eritron) boʻgʻin: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eritroblastlar, normotsitlar va ularning bosqichlari.</w:t>
      </w:r>
    </w:p>
    <w:p w14:paraId="06BF860F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5. Shifokorning izoh qismi</w:t>
      </w:r>
    </w:p>
    <w:p w14:paraId="7C86A2A5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t>Blankning quyi qismida tahlilchi yoki shifokor quyidagilarni yozadi:</w:t>
      </w:r>
    </w:p>
    <w:p w14:paraId="541A92CB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Suyak koʻmigi hujayralari holati:</w:t>
      </w:r>
    </w:p>
    <w:p w14:paraId="1A7E6385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Koʻp, yetarli yoki kam hujayraliligini belgilash.</w:t>
      </w:r>
    </w:p>
    <w:p w14:paraId="7DBC9CC3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Blast hujayralar soni: Meʼyordami yoki koʻpayganmi. Koʻpaygan boʻlsa, leykoz ehtimoli koʻrsatiladi.</w:t>
      </w:r>
    </w:p>
    <w:p w14:paraId="47D6CE90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Donador ustun (granulotsitar boʻgʻin): Normal, koʻpaygan yoki reduksiyalangan.</w:t>
      </w:r>
    </w:p>
    <w:p w14:paraId="16BF4F8B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Limfotsitar boʻgʻin: Limfotsitlar koʻpaygan, kamaygan yoki metaplaziya belgilari bor.</w:t>
      </w:r>
    </w:p>
    <w:p w14:paraId="445B4A2F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Qon hosil boʻlish turi: Normoblastli yoki megaloblastli (eritroid yetilish turi).</w:t>
      </w:r>
    </w:p>
    <w:p w14:paraId="7D39B9DF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Megakariotsitlar holati: Koʻp, yetarli yoki kam. Ulardan qaysi turdagi megakariotsitlar kuzatilgani yoziladi.</w:t>
      </w:r>
    </w:p>
    <w:p w14:paraId="2A9CA72F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Sitoximiya: Agar oʻtkazilgan boʻlsa, ferment faolligi yoki boyoq natijalari koʻrsatiladi.</w:t>
      </w:r>
    </w:p>
    <w:p w14:paraId="56C683A0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Shifokor imzosi va sana: Tahlilni bajargan laboratoriya shifokori imzolaydi.</w:t>
      </w:r>
    </w:p>
    <w:p w14:paraId="18B46AE4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5C757788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6. Natijalarni baholash</w:t>
      </w:r>
    </w:p>
    <w:p w14:paraId="217779EB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Miyelogramma natijalari </w:t>
      </w:r>
      <w:r w:rsidRPr="00567A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klinik maʼlumotlar va periferik qon tahlili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bilan birgalikda baholanadi.</w:t>
      </w: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br/>
        <w:t>Ogʻir ogʻishlar (masalan, blastlar &gt;5%, yeritroid reduksiya, megakariotsitlar yoʻqolishi) gematolog shifokor tomonidan izohlanishi kerak.</w:t>
      </w:r>
    </w:p>
    <w:p w14:paraId="7F8CFA38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Miyelogramma faqat maxsus tayyorlangan mutaxassis tomonidan oʻtkaziladi.</w:t>
      </w:r>
    </w:p>
    <w:p w14:paraId="5E682BFB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Preparatlar yaxshilab boʻyalmagan boʻlsa, natija ishonchli hisoblanmaydi.</w:t>
      </w:r>
    </w:p>
    <w:p w14:paraId="5D6C1CEA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Barcha maʼlumotlar bemorning klinik holati bilan solishtirib tahlil qilinadi.</w:t>
      </w:r>
    </w:p>
    <w:p w14:paraId="179E29F5" w14:textId="77777777" w:rsidR="004320E1" w:rsidRPr="00567AAB" w:rsidRDefault="004320E1" w:rsidP="00567AAB">
      <w:pPr>
        <w:tabs>
          <w:tab w:val="left" w:pos="0"/>
          <w:tab w:val="left" w:pos="2010"/>
          <w:tab w:val="center" w:pos="4816"/>
        </w:tabs>
        <w:spacing w:after="0" w:line="276" w:lineRule="auto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29BC5387" w14:textId="77777777" w:rsidR="004320E1" w:rsidRPr="00567AAB" w:rsidRDefault="004320E1" w:rsidP="00567AAB">
      <w:pPr>
        <w:pStyle w:val="a7"/>
        <w:tabs>
          <w:tab w:val="left" w:pos="0"/>
          <w:tab w:val="left" w:pos="2010"/>
          <w:tab w:val="center" w:pos="4816"/>
        </w:tabs>
        <w:spacing w:after="0" w:line="276" w:lineRule="auto"/>
        <w:ind w:left="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4320E1" w:rsidRPr="00567AAB" w14:paraId="3D6CCBF4" w14:textId="77777777" w:rsidTr="00606BF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DD2C5F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7FC198C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</w:p>
        </w:tc>
      </w:tr>
      <w:tr w:rsidR="004320E1" w:rsidRPr="00567AAB" w14:paraId="0512439A" w14:textId="77777777" w:rsidTr="00606BF7">
        <w:trPr>
          <w:tblCellSpacing w:w="15" w:type="dxa"/>
        </w:trPr>
        <w:tc>
          <w:tcPr>
            <w:tcW w:w="0" w:type="auto"/>
            <w:vAlign w:val="center"/>
          </w:tcPr>
          <w:p w14:paraId="11D91D0B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13BFAD3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  <w:tr w:rsidR="004320E1" w:rsidRPr="00567AAB" w14:paraId="58284D68" w14:textId="77777777" w:rsidTr="00606BF7">
        <w:trPr>
          <w:tblCellSpacing w:w="15" w:type="dxa"/>
        </w:trPr>
        <w:tc>
          <w:tcPr>
            <w:tcW w:w="0" w:type="auto"/>
            <w:vAlign w:val="center"/>
          </w:tcPr>
          <w:p w14:paraId="28B82158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AE401DD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  <w:tr w:rsidR="004320E1" w:rsidRPr="00567AAB" w14:paraId="6723A057" w14:textId="77777777" w:rsidTr="00606BF7">
        <w:trPr>
          <w:tblCellSpacing w:w="15" w:type="dxa"/>
        </w:trPr>
        <w:tc>
          <w:tcPr>
            <w:tcW w:w="0" w:type="auto"/>
            <w:vAlign w:val="center"/>
          </w:tcPr>
          <w:p w14:paraId="1D2E6B9F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8E36843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  <w:tr w:rsidR="004320E1" w:rsidRPr="00567AAB" w14:paraId="41340876" w14:textId="77777777" w:rsidTr="00606BF7">
        <w:trPr>
          <w:tblCellSpacing w:w="15" w:type="dxa"/>
        </w:trPr>
        <w:tc>
          <w:tcPr>
            <w:tcW w:w="0" w:type="auto"/>
            <w:vAlign w:val="center"/>
          </w:tcPr>
          <w:p w14:paraId="5CCB06D1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3D15843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  <w:tr w:rsidR="004320E1" w:rsidRPr="00567AAB" w14:paraId="3BD8741E" w14:textId="77777777" w:rsidTr="00606BF7">
        <w:trPr>
          <w:tblCellSpacing w:w="15" w:type="dxa"/>
        </w:trPr>
        <w:tc>
          <w:tcPr>
            <w:tcW w:w="0" w:type="auto"/>
            <w:vAlign w:val="center"/>
          </w:tcPr>
          <w:p w14:paraId="0435761B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200981E" w14:textId="77777777" w:rsidR="004320E1" w:rsidRPr="00567AAB" w:rsidRDefault="004320E1" w:rsidP="00567AAB">
            <w:pPr>
              <w:tabs>
                <w:tab w:val="left" w:pos="2010"/>
                <w:tab w:val="center" w:pos="4816"/>
              </w:tabs>
              <w:spacing w:after="0" w:line="276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</w:tbl>
    <w:p w14:paraId="79EB65BB" w14:textId="77777777" w:rsidR="004320E1" w:rsidRPr="004320E1" w:rsidRDefault="004320E1" w:rsidP="00567AAB">
      <w:pPr>
        <w:tabs>
          <w:tab w:val="left" w:pos="2010"/>
          <w:tab w:val="center" w:pos="4816"/>
        </w:tabs>
        <w:spacing w:after="0" w:line="276" w:lineRule="auto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567AA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br w:type="textWrapping" w:clear="all"/>
      </w:r>
    </w:p>
    <w:p w14:paraId="79CF9C21" w14:textId="77777777" w:rsidR="000F7011" w:rsidRPr="004320E1" w:rsidRDefault="000F7011">
      <w:pPr>
        <w:rPr>
          <w:noProof/>
          <w:lang w:val="en-US"/>
        </w:rPr>
      </w:pPr>
    </w:p>
    <w:sectPr w:rsidR="000F7011" w:rsidRPr="004320E1" w:rsidSect="00A60609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235E"/>
    <w:multiLevelType w:val="hybridMultilevel"/>
    <w:tmpl w:val="352C5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53931"/>
    <w:multiLevelType w:val="multilevel"/>
    <w:tmpl w:val="ADCA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264DD3"/>
    <w:multiLevelType w:val="multilevel"/>
    <w:tmpl w:val="C1A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253360">
    <w:abstractNumId w:val="0"/>
  </w:num>
  <w:num w:numId="2" w16cid:durableId="133448040">
    <w:abstractNumId w:val="2"/>
  </w:num>
  <w:num w:numId="3" w16cid:durableId="1431271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86"/>
    <w:rsid w:val="000F7011"/>
    <w:rsid w:val="00100238"/>
    <w:rsid w:val="001E7E46"/>
    <w:rsid w:val="004320E1"/>
    <w:rsid w:val="00444D2B"/>
    <w:rsid w:val="00567AAB"/>
    <w:rsid w:val="007B036F"/>
    <w:rsid w:val="00907B62"/>
    <w:rsid w:val="00921334"/>
    <w:rsid w:val="009E5EA7"/>
    <w:rsid w:val="00A56786"/>
    <w:rsid w:val="00A60609"/>
    <w:rsid w:val="00AA3AF7"/>
    <w:rsid w:val="00D4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3C15"/>
  <w15:chartTrackingRefBased/>
  <w15:docId w15:val="{B829F4E4-6C83-4DA5-96AB-9E21D645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7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7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7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7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7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78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78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7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7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7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78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7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78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567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2025-10-23T05:28:00Z</dcterms:created>
  <dcterms:modified xsi:type="dcterms:W3CDTF">2025-11-28T10:57:00Z</dcterms:modified>
</cp:coreProperties>
</file>