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5184"/>
      </w:tblGrid>
      <w:tr>
        <w:tc>
          <w:tcPr>
            <w:tcW w:type="dxa" w:w="5256"/>
            <w:shd w:fill="0B1224"/>
          </w:tcPr>
          <w:p>
            <w:r>
              <w:rPr>
                <w:rFonts w:ascii="Arial" w:hAnsi="Arial"/>
                <w:b/>
                <w:color w:val="FFFFFF"/>
                <w:sz w:val="52"/>
              </w:rPr>
              <w:t>LURIO</w:t>
            </w:r>
          </w:p>
          <w:p>
            <w:r>
              <w:rPr>
                <w:color w:val="A89DB1"/>
                <w:sz w:val="16"/>
              </w:rPr>
              <w:t>KEEP EXPANSION MOVING</w:t>
            </w:r>
          </w:p>
        </w:tc>
        <w:tc>
          <w:tcPr>
            <w:tcW w:type="dxa" w:w="5256"/>
          </w:tcPr>
          <w:p>
            <w:r>
              <w:rPr>
                <w:rFonts w:ascii="Georgia" w:hAnsi="Georgia"/>
                <w:color w:val="0B1224"/>
                <w:sz w:val="48"/>
              </w:rPr>
              <w:t>Strategic Market Entry Proposal</w:t>
            </w:r>
          </w:p>
          <w:p>
            <w:r>
              <w:rPr>
                <w:sz w:val="20"/>
              </w:rPr>
              <w:t>Client-side expansion support for entering Colombia.</w:t>
            </w:r>
          </w:p>
          <w:p>
            <w:r>
              <w:rPr>
                <w:color w:val="5B3F8C"/>
                <w:sz w:val="16"/>
              </w:rPr>
              <w:t>Prepared for [CLIENT] · [DATE]</w:t>
            </w:r>
          </w:p>
        </w:tc>
      </w:tr>
    </w:tbl>
    <w:p/>
    <w:p>
      <w:r>
        <w:rPr>
          <w:b/>
          <w:color w:val="5B3F8C"/>
          <w:sz w:val="14"/>
        </w:rPr>
        <w:t>01</w:t>
      </w:r>
    </w:p>
    <w:p>
      <w:pPr>
        <w:pStyle w:val="Heading1"/>
      </w:pPr>
      <w:r>
        <w:t>Your objective</w:t>
      </w:r>
    </w:p>
    <w:p>
      <w:r>
        <w:t>[Client] is evaluating how to enter Colombia following [trigger/opportunity]. Management needs clarity on the appropriate entry model, required workstreams, local specialists and execution path.</w:t>
      </w:r>
    </w:p>
    <w:p>
      <w:r>
        <w:rPr>
          <w:b/>
          <w:color w:val="5B3F8C"/>
          <w:sz w:val="14"/>
        </w:rPr>
        <w:t>02</w:t>
      </w:r>
    </w:p>
    <w:p>
      <w:pPr>
        <w:pStyle w:val="Heading1"/>
      </w:pPr>
      <w:r>
        <w:t>What we understand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Known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Implication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Decision required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Business objective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Defines entry model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Confirm success criteria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Current advisors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May be used in ecosystem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Confirm who stays involved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Launch timing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Affects sequencing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Approve roadmap</w:t>
            </w:r>
          </w:p>
        </w:tc>
      </w:tr>
    </w:tbl>
    <w:p/>
    <w:p>
      <w:r>
        <w:rPr>
          <w:b/>
          <w:color w:val="5B3F8C"/>
          <w:sz w:val="14"/>
        </w:rPr>
        <w:t>03</w:t>
      </w:r>
    </w:p>
    <w:p>
      <w:pPr>
        <w:pStyle w:val="Heading1"/>
      </w:pPr>
      <w:r>
        <w:t>Recommended engagement</w:t>
      </w:r>
    </w:p>
    <w:p>
      <w:r>
        <w:t>We recommend a focused Market Entry Assessment designed to move from initial decision to practical launch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3504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Lurio role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Assess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Entry options and assumptions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Analyze, coordinate, recommend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Structure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Operating model and workstreams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Translate specialist input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Roadmap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Timeline, dependencies and next steps</w:t>
            </w:r>
          </w:p>
        </w:tc>
        <w:tc>
          <w:tcPr>
            <w:tcW w:type="dxa" w:w="3504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Keep work moving</w:t>
            </w:r>
          </w:p>
        </w:tc>
      </w:tr>
    </w:tbl>
    <w:p/>
    <w:p>
      <w:r>
        <w:rPr>
          <w:b/>
          <w:color w:val="5B3F8C"/>
          <w:sz w:val="14"/>
        </w:rPr>
        <w:t>04</w:t>
      </w:r>
    </w:p>
    <w:p>
      <w:pPr>
        <w:pStyle w:val="Heading1"/>
      </w:pPr>
      <w:r>
        <w:t>Scope of work</w:t>
      </w:r>
    </w:p>
    <w:p>
      <w:pPr>
        <w:pStyle w:val="Heading2"/>
      </w:pPr>
      <w:r>
        <w:t>Define the entry model</w:t>
      </w:r>
    </w:p>
    <w:p>
      <w:r>
        <w:t>• [Insert scope details]</w:t>
        <w:br/>
        <w:t>• [Insert deliverable]</w:t>
        <w:br/>
        <w:t>• [Insert owner/timing]</w:t>
      </w:r>
    </w:p>
    <w:p>
      <w:pPr>
        <w:pStyle w:val="Heading2"/>
      </w:pPr>
      <w:r>
        <w:t>Coordinate specialist input</w:t>
      </w:r>
    </w:p>
    <w:p>
      <w:r>
        <w:t>• [Insert scope details]</w:t>
        <w:br/>
        <w:t>• [Insert deliverable]</w:t>
        <w:br/>
        <w:t>• [Insert owner/timing]</w:t>
      </w:r>
    </w:p>
    <w:p>
      <w:pPr>
        <w:pStyle w:val="Heading2"/>
      </w:pPr>
      <w:r>
        <w:t>Build the launch roadmap</w:t>
      </w:r>
    </w:p>
    <w:p>
      <w:r>
        <w:t>• [Insert scope details]</w:t>
        <w:br/>
        <w:t>• [Insert deliverable]</w:t>
        <w:br/>
        <w:t>• [Insert owner/timing]</w:t>
      </w:r>
    </w:p>
    <w:p>
      <w:pPr>
        <w:pStyle w:val="Heading2"/>
      </w:pPr>
      <w:r>
        <w:t>Executive readout</w:t>
      </w:r>
    </w:p>
    <w:p>
      <w:r>
        <w:t>• [Insert scope details]</w:t>
        <w:br/>
        <w:t>• [Insert deliverable]</w:t>
        <w:br/>
        <w:t>• [Insert owner/timing]</w:t>
      </w:r>
    </w:p>
    <w:p>
      <w:r>
        <w:rPr>
          <w:b/>
          <w:color w:val="5B3F8C"/>
          <w:sz w:val="14"/>
        </w:rPr>
        <w:t>05</w:t>
      </w:r>
    </w:p>
    <w:p>
      <w:pPr>
        <w:pStyle w:val="Heading1"/>
      </w:pPr>
      <w:r>
        <w:t>Commercial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256"/>
            <w:shd w:fill="0B1224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Assumption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Professional fee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USD [amount]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Timeline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[X] weeks from kickoff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Expenses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Pre-approved and billed at cost</w:t>
            </w:r>
          </w:p>
        </w:tc>
      </w:tr>
      <w:tr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Specialist fees</w:t>
            </w:r>
          </w:p>
        </w:tc>
        <w:tc>
          <w:tcPr>
            <w:tcW w:type="dxa" w:w="5256"/>
          </w:tcPr>
          <w:p>
            <w:r/>
            <w:r>
              <w:rPr>
                <w:rFonts w:ascii="Arial" w:hAnsi="Arial"/>
                <w:b w:val="0"/>
                <w:color w:val="0B1224"/>
                <w:sz w:val="16"/>
              </w:rPr>
              <w:t>Contracted by client or through Lurio as agreed</w:t>
            </w:r>
          </w:p>
        </w:tc>
      </w:tr>
    </w:tbl>
    <w:p/>
    <w:p>
      <w:r>
        <w:rPr>
          <w:b/>
          <w:color w:val="5B3F8C"/>
          <w:sz w:val="14"/>
        </w:rPr>
        <w:t>06</w:t>
      </w:r>
    </w:p>
    <w:p>
      <w:pPr>
        <w:pStyle w:val="Heading1"/>
      </w:pPr>
      <w:r>
        <w:t>Why Lurio</w:t>
      </w:r>
    </w:p>
    <w:p>
      <w:r>
        <w:t>One expansion. One business objective. The right specialists. Lurio works on the client side to translate local complexity into clear decisions and coordinated execution.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B122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B12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B122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0B122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