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1B36" w14:textId="77777777" w:rsidR="00121CA4" w:rsidRDefault="00000000">
      <w:pPr>
        <w:pStyle w:val="Heading1"/>
        <w:pBdr>
          <w:bottom w:val="single" w:sz="6" w:space="4" w:color="00A896"/>
        </w:pBdr>
      </w:pPr>
      <w:r>
        <w:t>Signal to Speech Engine — Pipeline Architecture</w:t>
      </w:r>
    </w:p>
    <w:p w14:paraId="4675A748" w14:textId="77777777" w:rsidR="00121CA4" w:rsidRDefault="00000000">
      <w:pPr>
        <w:spacing w:before="40" w:after="120" w:line="300" w:lineRule="auto"/>
      </w:pPr>
      <w:r>
        <w:rPr>
          <w:color w:val="2D3748"/>
        </w:rPr>
        <w:t>This document provides an editable reference of the full pipeline architecture. See the companion PDF (01_pipeline_diagram.pdf) for the visual flowchart diagram.</w:t>
      </w:r>
    </w:p>
    <w:p w14:paraId="2A9F45A2" w14:textId="77777777" w:rsidR="00121CA4" w:rsidRDefault="00000000">
      <w:pPr>
        <w:pStyle w:val="Heading2"/>
      </w:pPr>
      <w:r>
        <w:t>Seven-Layer Pipeline — Component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3"/>
        <w:gridCol w:w="8295"/>
      </w:tblGrid>
      <w:tr w:rsidR="00121CA4" w14:paraId="67418FA4" w14:textId="77777777">
        <w:tblPrEx>
          <w:tblCellMar>
            <w:top w:w="0" w:type="dxa"/>
            <w:bottom w:w="0" w:type="dxa"/>
          </w:tblCellMar>
        </w:tblPrEx>
        <w:tc>
          <w:tcPr>
            <w:tcW w:w="1200" w:type="dxa"/>
            <w:tcBorders>
              <w:top w:val="nil"/>
              <w:left w:val="nil"/>
              <w:bottom w:val="nil"/>
              <w:right w:val="nil"/>
            </w:tcBorders>
            <w:shd w:val="clear" w:color="auto" w:fill="1B2A4A"/>
            <w:tcMar>
              <w:top w:w="120" w:type="dxa"/>
              <w:left w:w="120" w:type="dxa"/>
              <w:bottom w:w="120" w:type="dxa"/>
              <w:right w:w="120" w:type="dxa"/>
            </w:tcMar>
            <w:vAlign w:val="center"/>
          </w:tcPr>
          <w:p w14:paraId="3B3F0E7A" w14:textId="77777777" w:rsidR="00121CA4" w:rsidRDefault="00000000">
            <w:pPr>
              <w:jc w:val="center"/>
            </w:pPr>
            <w:r>
              <w:rPr>
                <w:b/>
                <w:bCs/>
                <w:color w:val="00A896"/>
                <w:sz w:val="28"/>
                <w:szCs w:val="28"/>
              </w:rPr>
              <w:t>Layer 1</w:t>
            </w:r>
          </w:p>
          <w:p w14:paraId="7D1B21C1" w14:textId="77777777" w:rsidR="00121CA4" w:rsidRDefault="00000000">
            <w:pPr>
              <w:spacing w:before="40"/>
              <w:jc w:val="center"/>
            </w:pPr>
            <w:proofErr w:type="spellStart"/>
            <w:r>
              <w:rPr>
                <w:i/>
                <w:iCs/>
                <w:color w:val="A0B4CC"/>
                <w:sz w:val="16"/>
                <w:szCs w:val="16"/>
              </w:rPr>
              <w:t>PhantomBuster</w:t>
            </w:r>
            <w:proofErr w:type="spellEnd"/>
          </w:p>
        </w:tc>
        <w:tc>
          <w:tcPr>
            <w:tcW w:w="8438" w:type="dxa"/>
            <w:tcBorders>
              <w:top w:val="nil"/>
              <w:left w:val="nil"/>
              <w:bottom w:val="nil"/>
              <w:right w:val="nil"/>
            </w:tcBorders>
            <w:shd w:val="clear" w:color="auto" w:fill="F4F6F9"/>
            <w:tcMar>
              <w:top w:w="120" w:type="dxa"/>
              <w:left w:w="200" w:type="dxa"/>
              <w:bottom w:w="120" w:type="dxa"/>
              <w:right w:w="160" w:type="dxa"/>
            </w:tcMar>
          </w:tcPr>
          <w:p w14:paraId="14EAD53D" w14:textId="77777777" w:rsidR="00121CA4" w:rsidRDefault="00000000">
            <w:pPr>
              <w:spacing w:after="60"/>
            </w:pPr>
            <w:r>
              <w:rPr>
                <w:b/>
                <w:bCs/>
                <w:color w:val="1B2A4A"/>
                <w:sz w:val="22"/>
                <w:szCs w:val="22"/>
              </w:rPr>
              <w:t>Data Ingestion</w:t>
            </w:r>
          </w:p>
          <w:p w14:paraId="10033CD6" w14:textId="77777777" w:rsidR="00121CA4" w:rsidRDefault="00000000">
            <w:pPr>
              <w:spacing w:line="300" w:lineRule="auto"/>
            </w:pPr>
            <w:r>
              <w:rPr>
                <w:color w:val="2D3748"/>
                <w:sz w:val="19"/>
                <w:szCs w:val="19"/>
              </w:rPr>
              <w:t xml:space="preserve">Handles identity resolution and dynamic list generation. Takes a target list of management consulting firms and resolves the specific decision-makers — Partners, Senior Partners, and Practice Leads who hold budget authority for talent decisions. </w:t>
            </w:r>
            <w:proofErr w:type="spellStart"/>
            <w:r>
              <w:rPr>
                <w:color w:val="2D3748"/>
                <w:sz w:val="19"/>
                <w:szCs w:val="19"/>
              </w:rPr>
              <w:t>PhantomBuster</w:t>
            </w:r>
            <w:proofErr w:type="spellEnd"/>
            <w:r>
              <w:rPr>
                <w:color w:val="2D3748"/>
                <w:sz w:val="19"/>
                <w:szCs w:val="19"/>
              </w:rPr>
              <w:t xml:space="preserve"> can auto-scrape LinkedIn searches to refresh the list continuously in production. In the prototype, a manually populated Clay table serves as the ingestion source.</w:t>
            </w:r>
          </w:p>
        </w:tc>
      </w:tr>
    </w:tbl>
    <w:p w14:paraId="593085BB" w14:textId="77777777" w:rsidR="00121CA4" w:rsidRDefault="00121CA4">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121CA4" w14:paraId="009BF37A" w14:textId="77777777">
        <w:tblPrEx>
          <w:tblCellMar>
            <w:top w:w="0" w:type="dxa"/>
            <w:bottom w:w="0" w:type="dxa"/>
          </w:tblCellMar>
        </w:tblPrEx>
        <w:tc>
          <w:tcPr>
            <w:tcW w:w="1200" w:type="dxa"/>
            <w:tcBorders>
              <w:top w:val="nil"/>
              <w:left w:val="nil"/>
              <w:bottom w:val="nil"/>
              <w:right w:val="nil"/>
            </w:tcBorders>
            <w:shd w:val="clear" w:color="auto" w:fill="1B2A4A"/>
            <w:tcMar>
              <w:top w:w="120" w:type="dxa"/>
              <w:left w:w="120" w:type="dxa"/>
              <w:bottom w:w="120" w:type="dxa"/>
              <w:right w:w="120" w:type="dxa"/>
            </w:tcMar>
            <w:vAlign w:val="center"/>
          </w:tcPr>
          <w:p w14:paraId="35873A24" w14:textId="77777777" w:rsidR="00121CA4" w:rsidRDefault="00000000">
            <w:pPr>
              <w:jc w:val="center"/>
            </w:pPr>
            <w:r>
              <w:rPr>
                <w:b/>
                <w:bCs/>
                <w:color w:val="00A896"/>
                <w:sz w:val="28"/>
                <w:szCs w:val="28"/>
              </w:rPr>
              <w:t>Layer 2</w:t>
            </w:r>
          </w:p>
          <w:p w14:paraId="1FCE3D70" w14:textId="77777777" w:rsidR="00121CA4" w:rsidRDefault="00000000">
            <w:pPr>
              <w:spacing w:before="40"/>
              <w:jc w:val="center"/>
            </w:pPr>
            <w:r>
              <w:rPr>
                <w:i/>
                <w:iCs/>
                <w:color w:val="A0B4CC"/>
                <w:sz w:val="16"/>
                <w:szCs w:val="16"/>
              </w:rPr>
              <w:t>Clay</w:t>
            </w:r>
          </w:p>
        </w:tc>
        <w:tc>
          <w:tcPr>
            <w:tcW w:w="8438" w:type="dxa"/>
            <w:tcBorders>
              <w:top w:val="nil"/>
              <w:left w:val="nil"/>
              <w:bottom w:val="nil"/>
              <w:right w:val="nil"/>
            </w:tcBorders>
            <w:shd w:val="clear" w:color="auto" w:fill="F4F6F9"/>
            <w:tcMar>
              <w:top w:w="120" w:type="dxa"/>
              <w:left w:w="200" w:type="dxa"/>
              <w:bottom w:w="120" w:type="dxa"/>
              <w:right w:w="160" w:type="dxa"/>
            </w:tcMar>
          </w:tcPr>
          <w:p w14:paraId="4617BAAB" w14:textId="77777777" w:rsidR="00121CA4" w:rsidRDefault="00000000">
            <w:pPr>
              <w:spacing w:after="60"/>
            </w:pPr>
            <w:r>
              <w:rPr>
                <w:b/>
                <w:bCs/>
                <w:color w:val="1B2A4A"/>
                <w:sz w:val="22"/>
                <w:szCs w:val="22"/>
              </w:rPr>
              <w:t>Enrichment</w:t>
            </w:r>
          </w:p>
          <w:p w14:paraId="176108D1" w14:textId="77777777" w:rsidR="00121CA4" w:rsidRDefault="00000000">
            <w:pPr>
              <w:spacing w:line="300" w:lineRule="auto"/>
            </w:pPr>
            <w:r>
              <w:rPr>
                <w:color w:val="2D3748"/>
                <w:sz w:val="19"/>
                <w:szCs w:val="19"/>
              </w:rPr>
              <w:t>Builds a structured baseline profile for each contact including company, job title, seniority, sub-sector, office location, and region. Clay also executes the Perplexity and Exa.ai search queries natively within enrichment columns, keeping all raw research tied directly to each prospect record. The Target Domain Scope is set here, ensuring searches are scoped to the correct industry and geography before any intelligence is retrieved.</w:t>
            </w:r>
          </w:p>
        </w:tc>
      </w:tr>
    </w:tbl>
    <w:p w14:paraId="79D82F9C" w14:textId="77777777" w:rsidR="00121CA4" w:rsidRDefault="00121CA4">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121CA4" w14:paraId="32335CEF" w14:textId="77777777">
        <w:tblPrEx>
          <w:tblCellMar>
            <w:top w:w="0" w:type="dxa"/>
            <w:bottom w:w="0" w:type="dxa"/>
          </w:tblCellMar>
        </w:tblPrEx>
        <w:tc>
          <w:tcPr>
            <w:tcW w:w="1200" w:type="dxa"/>
            <w:tcBorders>
              <w:top w:val="nil"/>
              <w:left w:val="nil"/>
              <w:bottom w:val="nil"/>
              <w:right w:val="nil"/>
            </w:tcBorders>
            <w:shd w:val="clear" w:color="auto" w:fill="1B2A4A"/>
            <w:tcMar>
              <w:top w:w="120" w:type="dxa"/>
              <w:left w:w="120" w:type="dxa"/>
              <w:bottom w:w="120" w:type="dxa"/>
              <w:right w:w="120" w:type="dxa"/>
            </w:tcMar>
            <w:vAlign w:val="center"/>
          </w:tcPr>
          <w:p w14:paraId="75A77EE3" w14:textId="77777777" w:rsidR="00121CA4" w:rsidRDefault="00000000">
            <w:pPr>
              <w:jc w:val="center"/>
            </w:pPr>
            <w:r>
              <w:rPr>
                <w:b/>
                <w:bCs/>
                <w:color w:val="00A896"/>
                <w:sz w:val="28"/>
                <w:szCs w:val="28"/>
              </w:rPr>
              <w:t>Layer 3</w:t>
            </w:r>
          </w:p>
          <w:p w14:paraId="35BBC293" w14:textId="77777777" w:rsidR="00121CA4" w:rsidRDefault="00000000">
            <w:pPr>
              <w:spacing w:before="40"/>
              <w:jc w:val="center"/>
            </w:pPr>
            <w:r>
              <w:rPr>
                <w:i/>
                <w:iCs/>
                <w:color w:val="A0B4CC"/>
                <w:sz w:val="16"/>
                <w:szCs w:val="16"/>
              </w:rPr>
              <w:t>Perplexity API + Exa.ai</w:t>
            </w:r>
          </w:p>
        </w:tc>
        <w:tc>
          <w:tcPr>
            <w:tcW w:w="8438" w:type="dxa"/>
            <w:tcBorders>
              <w:top w:val="nil"/>
              <w:left w:val="nil"/>
              <w:bottom w:val="nil"/>
              <w:right w:val="nil"/>
            </w:tcBorders>
            <w:shd w:val="clear" w:color="auto" w:fill="F4F6F9"/>
            <w:tcMar>
              <w:top w:w="120" w:type="dxa"/>
              <w:left w:w="200" w:type="dxa"/>
              <w:bottom w:w="120" w:type="dxa"/>
              <w:right w:w="160" w:type="dxa"/>
            </w:tcMar>
          </w:tcPr>
          <w:p w14:paraId="7F2461D5" w14:textId="77777777" w:rsidR="00121CA4" w:rsidRDefault="00000000">
            <w:pPr>
              <w:spacing w:after="60"/>
            </w:pPr>
            <w:r>
              <w:rPr>
                <w:b/>
                <w:bCs/>
                <w:color w:val="1B2A4A"/>
                <w:sz w:val="22"/>
                <w:szCs w:val="22"/>
              </w:rPr>
              <w:t>Search Intelligence</w:t>
            </w:r>
          </w:p>
          <w:p w14:paraId="31CA1FD1" w14:textId="77777777" w:rsidR="00121CA4" w:rsidRDefault="00000000">
            <w:pPr>
              <w:spacing w:line="300" w:lineRule="auto"/>
            </w:pPr>
            <w:r>
              <w:rPr>
                <w:color w:val="2D3748"/>
                <w:sz w:val="19"/>
                <w:szCs w:val="19"/>
              </w:rPr>
              <w:t>Two search tools operating in parallel with distinct roles. Perplexity is the radar — scanning broadly for macro-level commercial signals affecting the target's sector and region. Exa.ai is the scalpel — retrieving person-specific content attributed to the named individual including podcast appearances, conference talks, published essays, and LinkedIn posts. Together they produce the complete intelligence picture that feeds Agent 1.</w:t>
            </w:r>
          </w:p>
        </w:tc>
      </w:tr>
    </w:tbl>
    <w:p w14:paraId="778105A7" w14:textId="77777777" w:rsidR="00121CA4" w:rsidRDefault="00121CA4">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121CA4" w14:paraId="2EADC4D4" w14:textId="77777777">
        <w:tblPrEx>
          <w:tblCellMar>
            <w:top w:w="0" w:type="dxa"/>
            <w:bottom w:w="0" w:type="dxa"/>
          </w:tblCellMar>
        </w:tblPrEx>
        <w:tc>
          <w:tcPr>
            <w:tcW w:w="1200" w:type="dxa"/>
            <w:tcBorders>
              <w:top w:val="nil"/>
              <w:left w:val="nil"/>
              <w:bottom w:val="nil"/>
              <w:right w:val="nil"/>
            </w:tcBorders>
            <w:shd w:val="clear" w:color="auto" w:fill="1B2A4A"/>
            <w:tcMar>
              <w:top w:w="120" w:type="dxa"/>
              <w:left w:w="120" w:type="dxa"/>
              <w:bottom w:w="120" w:type="dxa"/>
              <w:right w:w="120" w:type="dxa"/>
            </w:tcMar>
            <w:vAlign w:val="center"/>
          </w:tcPr>
          <w:p w14:paraId="2BC2C6CA" w14:textId="77777777" w:rsidR="00121CA4" w:rsidRDefault="00000000">
            <w:pPr>
              <w:jc w:val="center"/>
            </w:pPr>
            <w:r>
              <w:rPr>
                <w:b/>
                <w:bCs/>
                <w:color w:val="00A896"/>
                <w:sz w:val="28"/>
                <w:szCs w:val="28"/>
              </w:rPr>
              <w:t>Layer 4</w:t>
            </w:r>
          </w:p>
          <w:p w14:paraId="6A50F53E" w14:textId="77777777" w:rsidR="00121CA4" w:rsidRDefault="00000000">
            <w:pPr>
              <w:spacing w:before="40"/>
              <w:jc w:val="center"/>
            </w:pPr>
            <w:r>
              <w:rPr>
                <w:i/>
                <w:iCs/>
                <w:color w:val="A0B4CC"/>
                <w:sz w:val="16"/>
                <w:szCs w:val="16"/>
              </w:rPr>
              <w:t>Make.com</w:t>
            </w:r>
          </w:p>
        </w:tc>
        <w:tc>
          <w:tcPr>
            <w:tcW w:w="8438" w:type="dxa"/>
            <w:tcBorders>
              <w:top w:val="nil"/>
              <w:left w:val="nil"/>
              <w:bottom w:val="nil"/>
              <w:right w:val="nil"/>
            </w:tcBorders>
            <w:shd w:val="clear" w:color="auto" w:fill="F4F6F9"/>
            <w:tcMar>
              <w:top w:w="120" w:type="dxa"/>
              <w:left w:w="200" w:type="dxa"/>
              <w:bottom w:w="120" w:type="dxa"/>
              <w:right w:w="160" w:type="dxa"/>
            </w:tcMar>
          </w:tcPr>
          <w:p w14:paraId="3EDD3EC3" w14:textId="77777777" w:rsidR="00121CA4" w:rsidRDefault="00000000">
            <w:pPr>
              <w:spacing w:after="60"/>
            </w:pPr>
            <w:r>
              <w:rPr>
                <w:b/>
                <w:bCs/>
                <w:color w:val="1B2A4A"/>
                <w:sz w:val="22"/>
                <w:szCs w:val="22"/>
              </w:rPr>
              <w:t>Orchestration</w:t>
            </w:r>
          </w:p>
          <w:p w14:paraId="48BDA69E" w14:textId="77777777" w:rsidR="00121CA4" w:rsidRDefault="00000000">
            <w:pPr>
              <w:spacing w:line="300" w:lineRule="auto"/>
            </w:pPr>
            <w:r>
              <w:rPr>
                <w:color w:val="2D3748"/>
                <w:sz w:val="19"/>
                <w:szCs w:val="19"/>
              </w:rPr>
              <w:t>Receives the enriched Clay payload via webhook and coordinates the full downstream sequence. Make.com triggers Agent 1, parses its structured JSON output, applies the routing logic based on the fit score, and routes HIGH signal records to Agent 2 and LOW signal records to the Manual Review Queue in Google Sheets. All conditional logic, error handling, and module sequencing lives in Make.com.</w:t>
            </w:r>
          </w:p>
        </w:tc>
      </w:tr>
    </w:tbl>
    <w:p w14:paraId="5B64D327" w14:textId="77777777" w:rsidR="00121CA4" w:rsidRDefault="00121CA4">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121CA4" w14:paraId="11FF0974" w14:textId="77777777">
        <w:tblPrEx>
          <w:tblCellMar>
            <w:top w:w="0" w:type="dxa"/>
            <w:bottom w:w="0" w:type="dxa"/>
          </w:tblCellMar>
        </w:tblPrEx>
        <w:tc>
          <w:tcPr>
            <w:tcW w:w="1200" w:type="dxa"/>
            <w:tcBorders>
              <w:top w:val="nil"/>
              <w:left w:val="nil"/>
              <w:bottom w:val="nil"/>
              <w:right w:val="nil"/>
            </w:tcBorders>
            <w:shd w:val="clear" w:color="auto" w:fill="1B2A4A"/>
            <w:tcMar>
              <w:top w:w="120" w:type="dxa"/>
              <w:left w:w="120" w:type="dxa"/>
              <w:bottom w:w="120" w:type="dxa"/>
              <w:right w:w="120" w:type="dxa"/>
            </w:tcMar>
            <w:vAlign w:val="center"/>
          </w:tcPr>
          <w:p w14:paraId="46056CB7" w14:textId="77777777" w:rsidR="00121CA4" w:rsidRDefault="00000000">
            <w:pPr>
              <w:jc w:val="center"/>
            </w:pPr>
            <w:r>
              <w:rPr>
                <w:b/>
                <w:bCs/>
                <w:color w:val="00A896"/>
                <w:sz w:val="28"/>
                <w:szCs w:val="28"/>
              </w:rPr>
              <w:t>Layer 5</w:t>
            </w:r>
          </w:p>
          <w:p w14:paraId="59287162" w14:textId="77777777" w:rsidR="00121CA4" w:rsidRDefault="00000000">
            <w:pPr>
              <w:spacing w:before="40"/>
              <w:jc w:val="center"/>
            </w:pPr>
            <w:r>
              <w:rPr>
                <w:i/>
                <w:iCs/>
                <w:color w:val="A0B4CC"/>
                <w:sz w:val="16"/>
                <w:szCs w:val="16"/>
              </w:rPr>
              <w:t>Claude Agent 1 (Sonnet 4.6)</w:t>
            </w:r>
          </w:p>
        </w:tc>
        <w:tc>
          <w:tcPr>
            <w:tcW w:w="8438" w:type="dxa"/>
            <w:tcBorders>
              <w:top w:val="nil"/>
              <w:left w:val="nil"/>
              <w:bottom w:val="nil"/>
              <w:right w:val="nil"/>
            </w:tcBorders>
            <w:shd w:val="clear" w:color="auto" w:fill="F4F6F9"/>
            <w:tcMar>
              <w:top w:w="120" w:type="dxa"/>
              <w:left w:w="200" w:type="dxa"/>
              <w:bottom w:w="120" w:type="dxa"/>
              <w:right w:w="160" w:type="dxa"/>
            </w:tcMar>
          </w:tcPr>
          <w:p w14:paraId="7F92B2AF" w14:textId="77777777" w:rsidR="00121CA4" w:rsidRDefault="00000000">
            <w:pPr>
              <w:spacing w:after="60"/>
            </w:pPr>
            <w:r>
              <w:rPr>
                <w:b/>
                <w:bCs/>
                <w:color w:val="1B2A4A"/>
                <w:sz w:val="22"/>
                <w:szCs w:val="22"/>
              </w:rPr>
              <w:t>Synthesis and Evaluation</w:t>
            </w:r>
          </w:p>
          <w:p w14:paraId="39DDEDF8" w14:textId="6472B87F" w:rsidR="00121CA4" w:rsidRDefault="00000000">
            <w:pPr>
              <w:spacing w:line="300" w:lineRule="auto"/>
            </w:pPr>
            <w:r>
              <w:rPr>
                <w:color w:val="2D3748"/>
                <w:sz w:val="19"/>
                <w:szCs w:val="19"/>
              </w:rPr>
              <w:t xml:space="preserve">The intelligence evaluation engine. Receives structured Perplexity and Exa data and applies three filters </w:t>
            </w:r>
            <w:r w:rsidR="00EA2C17">
              <w:rPr>
                <w:color w:val="2D3748"/>
                <w:sz w:val="19"/>
                <w:szCs w:val="19"/>
              </w:rPr>
              <w:t>(</w:t>
            </w:r>
            <w:r w:rsidRPr="00EA2C17">
              <w:rPr>
                <w:b/>
                <w:bCs/>
                <w:color w:val="2D3748"/>
                <w:sz w:val="19"/>
                <w:szCs w:val="19"/>
              </w:rPr>
              <w:t xml:space="preserve">Timing, Relevance, and </w:t>
            </w:r>
            <w:r w:rsidR="00EA2C17" w:rsidRPr="00EA2C17">
              <w:rPr>
                <w:b/>
                <w:bCs/>
                <w:color w:val="2D3748"/>
                <w:sz w:val="19"/>
                <w:szCs w:val="19"/>
              </w:rPr>
              <w:t>Credibility</w:t>
            </w:r>
            <w:r w:rsidR="00EA2C17">
              <w:rPr>
                <w:color w:val="2D3748"/>
                <w:sz w:val="19"/>
                <w:szCs w:val="19"/>
              </w:rPr>
              <w:t>)</w:t>
            </w:r>
            <w:r>
              <w:rPr>
                <w:color w:val="2D3748"/>
                <w:sz w:val="19"/>
                <w:szCs w:val="19"/>
              </w:rPr>
              <w:t xml:space="preserve"> to evaluate whether sufficient commercial evidence exists to generate outreach. Produces a structured JSON output containing a trigger event, motivation match, resonance profile, timing rationale, fit score, and data gaps. Routes HIGH signal records to Agent 2 and LOW signal records to manual review.</w:t>
            </w:r>
          </w:p>
        </w:tc>
      </w:tr>
    </w:tbl>
    <w:p w14:paraId="001A7020" w14:textId="77777777" w:rsidR="00121CA4" w:rsidRDefault="00121CA4">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121CA4" w14:paraId="49956BEE" w14:textId="77777777">
        <w:tblPrEx>
          <w:tblCellMar>
            <w:top w:w="0" w:type="dxa"/>
            <w:bottom w:w="0" w:type="dxa"/>
          </w:tblCellMar>
        </w:tblPrEx>
        <w:tc>
          <w:tcPr>
            <w:tcW w:w="1200" w:type="dxa"/>
            <w:tcBorders>
              <w:top w:val="nil"/>
              <w:left w:val="nil"/>
              <w:bottom w:val="nil"/>
              <w:right w:val="nil"/>
            </w:tcBorders>
            <w:shd w:val="clear" w:color="auto" w:fill="1B2A4A"/>
            <w:tcMar>
              <w:top w:w="120" w:type="dxa"/>
              <w:left w:w="120" w:type="dxa"/>
              <w:bottom w:w="120" w:type="dxa"/>
              <w:right w:w="120" w:type="dxa"/>
            </w:tcMar>
            <w:vAlign w:val="center"/>
          </w:tcPr>
          <w:p w14:paraId="114C2BF5" w14:textId="77777777" w:rsidR="00121CA4" w:rsidRDefault="00000000">
            <w:pPr>
              <w:jc w:val="center"/>
            </w:pPr>
            <w:r>
              <w:rPr>
                <w:b/>
                <w:bCs/>
                <w:color w:val="00A896"/>
                <w:sz w:val="28"/>
                <w:szCs w:val="28"/>
              </w:rPr>
              <w:lastRenderedPageBreak/>
              <w:t>Layer 6</w:t>
            </w:r>
          </w:p>
          <w:p w14:paraId="323F0F8D" w14:textId="77777777" w:rsidR="00121CA4" w:rsidRDefault="00000000">
            <w:pPr>
              <w:spacing w:before="40"/>
              <w:jc w:val="center"/>
            </w:pPr>
            <w:r>
              <w:rPr>
                <w:i/>
                <w:iCs/>
                <w:color w:val="A0B4CC"/>
                <w:sz w:val="16"/>
                <w:szCs w:val="16"/>
              </w:rPr>
              <w:t>Claude Agent 2 (Sonnet 4.6)</w:t>
            </w:r>
          </w:p>
        </w:tc>
        <w:tc>
          <w:tcPr>
            <w:tcW w:w="8438" w:type="dxa"/>
            <w:tcBorders>
              <w:top w:val="nil"/>
              <w:left w:val="nil"/>
              <w:bottom w:val="nil"/>
              <w:right w:val="nil"/>
            </w:tcBorders>
            <w:shd w:val="clear" w:color="auto" w:fill="F4F6F9"/>
            <w:tcMar>
              <w:top w:w="120" w:type="dxa"/>
              <w:left w:w="200" w:type="dxa"/>
              <w:bottom w:w="120" w:type="dxa"/>
              <w:right w:w="160" w:type="dxa"/>
            </w:tcMar>
          </w:tcPr>
          <w:p w14:paraId="38446940" w14:textId="77777777" w:rsidR="00121CA4" w:rsidRDefault="00000000">
            <w:pPr>
              <w:spacing w:after="60"/>
            </w:pPr>
            <w:r>
              <w:rPr>
                <w:b/>
                <w:bCs/>
                <w:color w:val="1B2A4A"/>
                <w:sz w:val="22"/>
                <w:szCs w:val="22"/>
              </w:rPr>
              <w:t>Message Generation</w:t>
            </w:r>
          </w:p>
          <w:p w14:paraId="33867DD0" w14:textId="77777777" w:rsidR="00121CA4" w:rsidRDefault="00000000">
            <w:pPr>
              <w:spacing w:line="300" w:lineRule="auto"/>
            </w:pPr>
            <w:r>
              <w:rPr>
                <w:color w:val="2D3748"/>
                <w:sz w:val="19"/>
                <w:szCs w:val="19"/>
              </w:rPr>
              <w:t>Receives Agent 1's structured synthesis output and generates a personalised outreach email framework in four components: executive hook, network connection placeholder, bridge, and soft ask. The output includes a subject line, word count, quality flag, edit notes, and personalisation guidance for the consultant. Deliberately leaves a labelled gap for the consultant to insert their network connection — the 15% human layer.</w:t>
            </w:r>
          </w:p>
        </w:tc>
      </w:tr>
    </w:tbl>
    <w:p w14:paraId="045A5B5D" w14:textId="77777777" w:rsidR="00121CA4" w:rsidRDefault="00121CA4">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121CA4" w14:paraId="56F4BB35" w14:textId="77777777">
        <w:tblPrEx>
          <w:tblCellMar>
            <w:top w:w="0" w:type="dxa"/>
            <w:bottom w:w="0" w:type="dxa"/>
          </w:tblCellMar>
        </w:tblPrEx>
        <w:tc>
          <w:tcPr>
            <w:tcW w:w="1200" w:type="dxa"/>
            <w:tcBorders>
              <w:top w:val="nil"/>
              <w:left w:val="nil"/>
              <w:bottom w:val="nil"/>
              <w:right w:val="nil"/>
            </w:tcBorders>
            <w:shd w:val="clear" w:color="auto" w:fill="1B2A4A"/>
            <w:tcMar>
              <w:top w:w="120" w:type="dxa"/>
              <w:left w:w="120" w:type="dxa"/>
              <w:bottom w:w="120" w:type="dxa"/>
              <w:right w:w="120" w:type="dxa"/>
            </w:tcMar>
            <w:vAlign w:val="center"/>
          </w:tcPr>
          <w:p w14:paraId="196FA05B" w14:textId="77777777" w:rsidR="00121CA4" w:rsidRDefault="00000000">
            <w:pPr>
              <w:jc w:val="center"/>
            </w:pPr>
            <w:r>
              <w:rPr>
                <w:b/>
                <w:bCs/>
                <w:color w:val="00A896"/>
                <w:sz w:val="28"/>
                <w:szCs w:val="28"/>
              </w:rPr>
              <w:t>Layer 7</w:t>
            </w:r>
          </w:p>
          <w:p w14:paraId="6A6784EB" w14:textId="77777777" w:rsidR="00121CA4" w:rsidRDefault="00000000">
            <w:pPr>
              <w:spacing w:before="40"/>
              <w:jc w:val="center"/>
            </w:pPr>
            <w:r>
              <w:rPr>
                <w:i/>
                <w:iCs/>
                <w:color w:val="A0B4CC"/>
                <w:sz w:val="16"/>
                <w:szCs w:val="16"/>
              </w:rPr>
              <w:t>Google Sheets (Draft Library)</w:t>
            </w:r>
          </w:p>
        </w:tc>
        <w:tc>
          <w:tcPr>
            <w:tcW w:w="8438" w:type="dxa"/>
            <w:tcBorders>
              <w:top w:val="nil"/>
              <w:left w:val="nil"/>
              <w:bottom w:val="nil"/>
              <w:right w:val="nil"/>
            </w:tcBorders>
            <w:shd w:val="clear" w:color="auto" w:fill="F4F6F9"/>
            <w:tcMar>
              <w:top w:w="120" w:type="dxa"/>
              <w:left w:w="200" w:type="dxa"/>
              <w:bottom w:w="120" w:type="dxa"/>
              <w:right w:w="160" w:type="dxa"/>
            </w:tcMar>
          </w:tcPr>
          <w:p w14:paraId="20631E9D" w14:textId="77777777" w:rsidR="00121CA4" w:rsidRDefault="00000000">
            <w:pPr>
              <w:spacing w:after="60"/>
            </w:pPr>
            <w:r>
              <w:rPr>
                <w:b/>
                <w:bCs/>
                <w:color w:val="1B2A4A"/>
                <w:sz w:val="22"/>
                <w:szCs w:val="22"/>
              </w:rPr>
              <w:t>Consultant Review</w:t>
            </w:r>
          </w:p>
          <w:p w14:paraId="159A2E73" w14:textId="77777777" w:rsidR="00121CA4" w:rsidRDefault="00000000">
            <w:pPr>
              <w:spacing w:line="300" w:lineRule="auto"/>
            </w:pPr>
            <w:r>
              <w:rPr>
                <w:color w:val="2D3748"/>
                <w:sz w:val="19"/>
                <w:szCs w:val="19"/>
              </w:rPr>
              <w:t>Agent 2's draft email framework is written to the Draft Library tab in Google Sheets alongside the subject line, quality flag, personalisation guidance, and a Consultant Status dropdown (Pending / Approved / Sent / Revised). LOW signal records route to the Manual Review Queue tab with Agent 1's full evaluation including all filter verdicts and data gaps.</w:t>
            </w:r>
          </w:p>
        </w:tc>
      </w:tr>
    </w:tbl>
    <w:p w14:paraId="05BEBA66" w14:textId="77777777" w:rsidR="00121CA4" w:rsidRDefault="00121CA4">
      <w:pPr>
        <w:spacing w:after="120"/>
      </w:pPr>
    </w:p>
    <w:p w14:paraId="01017BE1" w14:textId="77777777" w:rsidR="00121CA4" w:rsidRDefault="00000000">
      <w:r>
        <w:br w:type="page"/>
      </w:r>
    </w:p>
    <w:p w14:paraId="30FA0948" w14:textId="77777777" w:rsidR="00121CA4" w:rsidRDefault="00000000">
      <w:pPr>
        <w:pStyle w:val="Heading2"/>
      </w:pPr>
      <w:r>
        <w:lastRenderedPageBreak/>
        <w:t>Signal Routing Logic — Make.com Fallback Gate</w:t>
      </w:r>
    </w:p>
    <w:p w14:paraId="0342DEE3" w14:textId="77777777" w:rsidR="00121CA4" w:rsidRDefault="00000000">
      <w:pPr>
        <w:spacing w:before="40" w:after="100" w:line="300" w:lineRule="auto"/>
      </w:pPr>
      <w:r>
        <w:rPr>
          <w:color w:val="2D3748"/>
        </w:rPr>
        <w:t xml:space="preserve">After Agent 1 produces its evaluation, Make.com reads the </w:t>
      </w:r>
      <w:proofErr w:type="spellStart"/>
      <w:r>
        <w:rPr>
          <w:color w:val="2D3748"/>
        </w:rPr>
        <w:t>fit_score</w:t>
      </w:r>
      <w:proofErr w:type="spellEnd"/>
      <w:r>
        <w:rPr>
          <w:color w:val="2D3748"/>
        </w:rPr>
        <w:t xml:space="preserve"> field and routes to one of two branches.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000"/>
        <w:gridCol w:w="3638"/>
      </w:tblGrid>
      <w:tr w:rsidR="00121CA4" w14:paraId="748F6F35" w14:textId="77777777">
        <w:tblPrEx>
          <w:tblCellMar>
            <w:top w:w="0" w:type="dxa"/>
            <w:bottom w:w="0" w:type="dxa"/>
          </w:tblCellMar>
        </w:tblPrEx>
        <w:tc>
          <w:tcPr>
            <w:tcW w:w="1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76D4D45" w14:textId="77777777" w:rsidR="00121CA4" w:rsidRDefault="00000000">
            <w:r>
              <w:rPr>
                <w:b/>
                <w:bCs/>
                <w:color w:val="FFFFFF"/>
                <w:sz w:val="18"/>
                <w:szCs w:val="18"/>
              </w:rPr>
              <w:t>Signal</w:t>
            </w:r>
          </w:p>
        </w:tc>
        <w:tc>
          <w:tcPr>
            <w:tcW w:w="2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73A24FF" w14:textId="77777777" w:rsidR="00121CA4" w:rsidRDefault="00000000">
            <w:r>
              <w:rPr>
                <w:b/>
                <w:bCs/>
                <w:color w:val="FFFFFF"/>
                <w:sz w:val="18"/>
                <w:szCs w:val="18"/>
              </w:rPr>
              <w:t>Condition</w:t>
            </w:r>
          </w:p>
        </w:tc>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CAA4A65" w14:textId="77777777" w:rsidR="00121CA4" w:rsidRDefault="00000000">
            <w:r>
              <w:rPr>
                <w:b/>
                <w:bCs/>
                <w:color w:val="FFFFFF"/>
                <w:sz w:val="18"/>
                <w:szCs w:val="18"/>
              </w:rPr>
              <w:t>Routing Destination</w:t>
            </w:r>
          </w:p>
        </w:tc>
        <w:tc>
          <w:tcPr>
            <w:tcW w:w="36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7BF4ACA0" w14:textId="77777777" w:rsidR="00121CA4" w:rsidRDefault="00000000">
            <w:r>
              <w:rPr>
                <w:b/>
                <w:bCs/>
                <w:color w:val="FFFFFF"/>
                <w:sz w:val="18"/>
                <w:szCs w:val="18"/>
              </w:rPr>
              <w:t>What Happens</w:t>
            </w:r>
          </w:p>
        </w:tc>
      </w:tr>
      <w:tr w:rsidR="00121CA4" w14:paraId="0783AC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A3279" w14:textId="77777777" w:rsidR="00121CA4" w:rsidRDefault="00000000">
            <w:pPr>
              <w:spacing w:line="276" w:lineRule="auto"/>
            </w:pPr>
            <w:r>
              <w:rPr>
                <w:color w:val="2D3748"/>
                <w:sz w:val="18"/>
                <w:szCs w:val="18"/>
              </w:rPr>
              <w:t>HIGH SIGNAL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F2D4A" w14:textId="77777777" w:rsidR="00121CA4" w:rsidRDefault="00000000">
            <w:pPr>
              <w:spacing w:line="276" w:lineRule="auto"/>
            </w:pPr>
            <w:r>
              <w:rPr>
                <w:color w:val="2D3748"/>
                <w:sz w:val="18"/>
                <w:szCs w:val="18"/>
              </w:rPr>
              <w:t>Timing PASS + at least one of Relevance or Credibility PASS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947D9" w14:textId="77777777" w:rsidR="00121CA4" w:rsidRDefault="00000000">
            <w:pPr>
              <w:spacing w:line="276" w:lineRule="auto"/>
            </w:pPr>
            <w:r>
              <w:rPr>
                <w:color w:val="2D3748"/>
                <w:sz w:val="18"/>
                <w:szCs w:val="18"/>
              </w:rPr>
              <w:t>Claude Agent 2</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331D" w14:textId="77777777" w:rsidR="00121CA4" w:rsidRDefault="00000000">
            <w:pPr>
              <w:spacing w:line="276" w:lineRule="auto"/>
            </w:pPr>
            <w:r>
              <w:rPr>
                <w:color w:val="2D3748"/>
                <w:sz w:val="18"/>
                <w:szCs w:val="18"/>
              </w:rPr>
              <w:t>Agent 2 generates the 85% email framework. Draft stored in Google Sheets Draft Library tab.</w:t>
            </w:r>
          </w:p>
        </w:tc>
      </w:tr>
      <w:tr w:rsidR="00121CA4" w14:paraId="7B61B0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18E3F03" w14:textId="77777777" w:rsidR="00121CA4" w:rsidRDefault="00000000">
            <w:pPr>
              <w:spacing w:line="276" w:lineRule="auto"/>
            </w:pPr>
            <w:r>
              <w:rPr>
                <w:color w:val="2D3748"/>
                <w:sz w:val="18"/>
                <w:szCs w:val="18"/>
              </w:rPr>
              <w:t>LOW SIGNAL</w:t>
            </w:r>
          </w:p>
        </w:tc>
        <w:tc>
          <w:tcPr>
            <w:tcW w:w="28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9144F67" w14:textId="77777777" w:rsidR="00121CA4" w:rsidRDefault="00000000">
            <w:pPr>
              <w:spacing w:line="276" w:lineRule="auto"/>
            </w:pPr>
            <w:r>
              <w:rPr>
                <w:color w:val="2D3748"/>
                <w:sz w:val="18"/>
                <w:szCs w:val="18"/>
              </w:rPr>
              <w:t>Timing FAIL, or Timing PASS with both Relevance and Credibility FAIL</w:t>
            </w:r>
          </w:p>
        </w:tc>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B36D8D2" w14:textId="77777777" w:rsidR="00121CA4" w:rsidRDefault="00000000">
            <w:pPr>
              <w:spacing w:line="276" w:lineRule="auto"/>
            </w:pPr>
            <w:r>
              <w:rPr>
                <w:color w:val="2D3748"/>
                <w:sz w:val="18"/>
                <w:szCs w:val="18"/>
              </w:rPr>
              <w:t>Manual Review Queue</w:t>
            </w:r>
          </w:p>
        </w:tc>
        <w:tc>
          <w:tcPr>
            <w:tcW w:w="36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2289ED2" w14:textId="77777777" w:rsidR="00121CA4" w:rsidRDefault="00000000">
            <w:pPr>
              <w:spacing w:line="276" w:lineRule="auto"/>
            </w:pPr>
            <w:r>
              <w:rPr>
                <w:color w:val="2D3748"/>
                <w:sz w:val="18"/>
                <w:szCs w:val="18"/>
              </w:rPr>
              <w:t>Agent 1's full evaluation stored in Google Sheets Manual Review Queue tab for consultant assessment.</w:t>
            </w:r>
          </w:p>
        </w:tc>
      </w:tr>
    </w:tbl>
    <w:p w14:paraId="6DB988FA" w14:textId="77777777" w:rsidR="00121CA4" w:rsidRDefault="00121CA4">
      <w:pPr>
        <w:spacing w:after="120"/>
      </w:pPr>
    </w:p>
    <w:p w14:paraId="01C8E120" w14:textId="77777777" w:rsidR="00121CA4" w:rsidRDefault="00000000">
      <w:pPr>
        <w:pStyle w:val="Heading2"/>
      </w:pPr>
      <w:r>
        <w:t>Synthesis Requirements — Agent 1 Structured Output</w:t>
      </w:r>
    </w:p>
    <w:p w14:paraId="1271374F" w14:textId="77777777" w:rsidR="00121CA4" w:rsidRDefault="00000000">
      <w:pPr>
        <w:spacing w:before="40" w:after="100" w:line="300" w:lineRule="auto"/>
      </w:pPr>
      <w:r>
        <w:rPr>
          <w:color w:val="2D3748"/>
        </w:rPr>
        <w:t>Agent 1 produces four synthesis fields that Agent 2 uses to construct the email framework. These fields are always produced regardless of fit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638"/>
      </w:tblGrid>
      <w:tr w:rsidR="00121CA4" w14:paraId="546FFABE" w14:textId="77777777">
        <w:tblPrEx>
          <w:tblCellMar>
            <w:top w:w="0" w:type="dxa"/>
            <w:bottom w:w="0" w:type="dxa"/>
          </w:tblCellMar>
        </w:tblPrEx>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C638B66" w14:textId="77777777" w:rsidR="00121CA4" w:rsidRDefault="00000000">
            <w:r>
              <w:rPr>
                <w:b/>
                <w:bCs/>
                <w:color w:val="FFFFFF"/>
                <w:sz w:val="18"/>
                <w:szCs w:val="18"/>
              </w:rPr>
              <w:t>Field</w:t>
            </w:r>
          </w:p>
        </w:tc>
        <w:tc>
          <w:tcPr>
            <w:tcW w:w="4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1E78D4A" w14:textId="77777777" w:rsidR="00121CA4" w:rsidRDefault="00000000">
            <w:r>
              <w:rPr>
                <w:b/>
                <w:bCs/>
                <w:color w:val="FFFFFF"/>
                <w:sz w:val="18"/>
                <w:szCs w:val="18"/>
              </w:rPr>
              <w:t>Description</w:t>
            </w:r>
          </w:p>
        </w:tc>
        <w:tc>
          <w:tcPr>
            <w:tcW w:w="36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1B24236E" w14:textId="77777777" w:rsidR="00121CA4" w:rsidRDefault="00000000">
            <w:r>
              <w:rPr>
                <w:b/>
                <w:bCs/>
                <w:color w:val="FFFFFF"/>
                <w:sz w:val="18"/>
                <w:szCs w:val="18"/>
              </w:rPr>
              <w:t>Agent 2 Use</w:t>
            </w:r>
          </w:p>
        </w:tc>
      </w:tr>
      <w:tr w:rsidR="00121CA4" w14:paraId="1FAA7D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3254F" w14:textId="77777777" w:rsidR="00121CA4" w:rsidRDefault="00000000">
            <w:pPr>
              <w:spacing w:line="276" w:lineRule="auto"/>
            </w:pPr>
            <w:proofErr w:type="spellStart"/>
            <w:r>
              <w:rPr>
                <w:color w:val="2D3748"/>
                <w:sz w:val="18"/>
                <w:szCs w:val="18"/>
              </w:rPr>
              <w:t>trigger_event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B432F" w14:textId="77777777" w:rsidR="00121CA4" w:rsidRDefault="00000000">
            <w:pPr>
              <w:spacing w:line="276" w:lineRule="auto"/>
            </w:pPr>
            <w:r>
              <w:rPr>
                <w:color w:val="2D3748"/>
                <w:sz w:val="18"/>
                <w:szCs w:val="18"/>
              </w:rPr>
              <w:t>The single most relevant commercial signal from Perplexity, grounded in a specific finding with named source and publication date.</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22BE" w14:textId="77777777" w:rsidR="00121CA4" w:rsidRDefault="00000000">
            <w:pPr>
              <w:spacing w:line="276" w:lineRule="auto"/>
            </w:pPr>
            <w:r>
              <w:rPr>
                <w:color w:val="2D3748"/>
                <w:sz w:val="18"/>
                <w:szCs w:val="18"/>
              </w:rPr>
              <w:t>Primary commercial context for the executive hook or bridge.</w:t>
            </w:r>
          </w:p>
        </w:tc>
      </w:tr>
      <w:tr w:rsidR="00121CA4" w14:paraId="6A2074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A8F5E56" w14:textId="77777777" w:rsidR="00121CA4" w:rsidRDefault="00000000">
            <w:pPr>
              <w:spacing w:line="276" w:lineRule="auto"/>
            </w:pPr>
            <w:proofErr w:type="spellStart"/>
            <w:r>
              <w:rPr>
                <w:color w:val="2D3748"/>
                <w:sz w:val="18"/>
                <w:szCs w:val="18"/>
              </w:rPr>
              <w:t>motivation_match</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922F30B" w14:textId="77777777" w:rsidR="00121CA4" w:rsidRDefault="00000000">
            <w:pPr>
              <w:spacing w:line="276" w:lineRule="auto"/>
            </w:pPr>
            <w:r>
              <w:rPr>
                <w:color w:val="2D3748"/>
                <w:sz w:val="18"/>
                <w:szCs w:val="18"/>
              </w:rPr>
              <w:t>Why the trigger event creates a need Consulting Point can address. Explicitly flags weak connections rather than overstating them.</w:t>
            </w:r>
          </w:p>
        </w:tc>
        <w:tc>
          <w:tcPr>
            <w:tcW w:w="36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CD2B2C0" w14:textId="77777777" w:rsidR="00121CA4" w:rsidRDefault="00000000">
            <w:pPr>
              <w:spacing w:line="276" w:lineRule="auto"/>
            </w:pPr>
            <w:r>
              <w:rPr>
                <w:color w:val="2D3748"/>
                <w:sz w:val="18"/>
                <w:szCs w:val="18"/>
              </w:rPr>
              <w:t>The mechanism connecting the target's situation to CP. Forbidden from using generic phrases.</w:t>
            </w:r>
          </w:p>
        </w:tc>
      </w:tr>
      <w:tr w:rsidR="00121CA4" w14:paraId="16E926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1CE32" w14:textId="77777777" w:rsidR="00121CA4" w:rsidRDefault="00000000">
            <w:pPr>
              <w:spacing w:line="276" w:lineRule="auto"/>
            </w:pPr>
            <w:proofErr w:type="spellStart"/>
            <w:r>
              <w:rPr>
                <w:color w:val="2D3748"/>
                <w:sz w:val="18"/>
                <w:szCs w:val="18"/>
              </w:rPr>
              <w:t>resonance_profile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5771" w14:textId="77777777" w:rsidR="00121CA4" w:rsidRDefault="00000000">
            <w:pPr>
              <w:spacing w:line="276" w:lineRule="auto"/>
            </w:pPr>
            <w:r>
              <w:rPr>
                <w:color w:val="2D3748"/>
                <w:sz w:val="18"/>
                <w:szCs w:val="18"/>
              </w:rPr>
              <w:t>A specific, non-obvious detail about the individual from a verified Exa result. Falls back to "No person-specific signal found" if credibility fails.</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4685" w14:textId="77777777" w:rsidR="00121CA4" w:rsidRDefault="00000000">
            <w:pPr>
              <w:spacing w:line="276" w:lineRule="auto"/>
            </w:pPr>
            <w:r>
              <w:rPr>
                <w:color w:val="2D3748"/>
                <w:sz w:val="18"/>
                <w:szCs w:val="18"/>
              </w:rPr>
              <w:t>Primary anchor for the executive hook. Determines FULL vs REDUCED quality flag.</w:t>
            </w:r>
          </w:p>
        </w:tc>
      </w:tr>
      <w:tr w:rsidR="00121CA4" w14:paraId="3EB06B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096B29C1" w14:textId="77777777" w:rsidR="00121CA4" w:rsidRDefault="00000000">
            <w:pPr>
              <w:spacing w:line="276" w:lineRule="auto"/>
            </w:pPr>
            <w:proofErr w:type="spellStart"/>
            <w:r>
              <w:rPr>
                <w:color w:val="2D3748"/>
                <w:sz w:val="18"/>
                <w:szCs w:val="18"/>
              </w:rPr>
              <w:t>timing_rationale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F2D7F91" w14:textId="77777777" w:rsidR="00121CA4" w:rsidRDefault="00000000">
            <w:pPr>
              <w:spacing w:line="276" w:lineRule="auto"/>
            </w:pPr>
            <w:r>
              <w:rPr>
                <w:color w:val="2D3748"/>
                <w:sz w:val="18"/>
                <w:szCs w:val="18"/>
              </w:rPr>
              <w:t>Why now is the right moment. Falls back to "No current timing signal identified" if timing fails.</w:t>
            </w:r>
          </w:p>
        </w:tc>
        <w:tc>
          <w:tcPr>
            <w:tcW w:w="36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3F83CF31" w14:textId="77777777" w:rsidR="00121CA4" w:rsidRDefault="00000000">
            <w:pPr>
              <w:spacing w:line="276" w:lineRule="auto"/>
            </w:pPr>
            <w:r>
              <w:rPr>
                <w:color w:val="2D3748"/>
                <w:sz w:val="18"/>
                <w:szCs w:val="18"/>
              </w:rPr>
              <w:t>The "why now" element in the bridge section.</w:t>
            </w:r>
          </w:p>
        </w:tc>
      </w:tr>
      <w:tr w:rsidR="00121CA4" w14:paraId="09A538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5ACD6" w14:textId="77777777" w:rsidR="00121CA4" w:rsidRDefault="00000000">
            <w:pPr>
              <w:spacing w:line="276" w:lineRule="auto"/>
            </w:pPr>
            <w:proofErr w:type="spellStart"/>
            <w:r>
              <w:rPr>
                <w:color w:val="2D3748"/>
                <w:sz w:val="18"/>
                <w:szCs w:val="18"/>
              </w:rPr>
              <w:t>data_gaps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45B24" w14:textId="77777777" w:rsidR="00121CA4" w:rsidRDefault="00000000">
            <w:pPr>
              <w:spacing w:line="276" w:lineRule="auto"/>
            </w:pPr>
            <w:r>
              <w:rPr>
                <w:color w:val="2D3748"/>
                <w:sz w:val="18"/>
                <w:szCs w:val="18"/>
              </w:rPr>
              <w:t>Explicit list of what was absent, uncertain, or rejected including all rejected Exa false positives.</w:t>
            </w:r>
          </w:p>
        </w:tc>
        <w:tc>
          <w:tcPr>
            <w:tcW w:w="3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6645" w14:textId="77777777" w:rsidR="00121CA4" w:rsidRDefault="00000000">
            <w:pPr>
              <w:spacing w:line="276" w:lineRule="auto"/>
            </w:pPr>
            <w:r>
              <w:rPr>
                <w:color w:val="2D3748"/>
                <w:sz w:val="18"/>
                <w:szCs w:val="18"/>
              </w:rPr>
              <w:t>Off-limits list. Agent 2 must not reference any topic or source listed here.</w:t>
            </w:r>
          </w:p>
        </w:tc>
      </w:tr>
    </w:tbl>
    <w:p w14:paraId="2262A7DA" w14:textId="77777777" w:rsidR="00121CA4" w:rsidRDefault="00121CA4">
      <w:pPr>
        <w:spacing w:after="120"/>
      </w:pPr>
    </w:p>
    <w:p w14:paraId="3DCE2B17" w14:textId="77777777" w:rsidR="00121CA4" w:rsidRDefault="00000000">
      <w:pPr>
        <w:pStyle w:val="Heading2"/>
      </w:pPr>
      <w:r>
        <w:t>Signal Sources — By Pipeline Layer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3200"/>
        <w:gridCol w:w="2238"/>
      </w:tblGrid>
      <w:tr w:rsidR="00121CA4" w14:paraId="4545C983" w14:textId="77777777">
        <w:tblPrEx>
          <w:tblCellMar>
            <w:top w:w="0" w:type="dxa"/>
            <w:bottom w:w="0" w:type="dxa"/>
          </w:tblCellMar>
        </w:tblPrEx>
        <w:tc>
          <w:tcPr>
            <w:tcW w:w="20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957E37B" w14:textId="77777777" w:rsidR="00121CA4" w:rsidRDefault="00000000">
            <w:r>
              <w:rPr>
                <w:b/>
                <w:bCs/>
                <w:color w:val="FFFFFF"/>
                <w:sz w:val="18"/>
                <w:szCs w:val="18"/>
              </w:rPr>
              <w:t>Layer</w:t>
            </w:r>
          </w:p>
        </w:tc>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2BBE9C28" w14:textId="77777777" w:rsidR="00121CA4" w:rsidRDefault="00000000">
            <w:r>
              <w:rPr>
                <w:b/>
                <w:bCs/>
                <w:color w:val="FFFFFF"/>
                <w:sz w:val="18"/>
                <w:szCs w:val="18"/>
              </w:rPr>
              <w:t>Source</w:t>
            </w:r>
          </w:p>
        </w:tc>
        <w:tc>
          <w:tcPr>
            <w:tcW w:w="3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4A798665" w14:textId="77777777" w:rsidR="00121CA4" w:rsidRDefault="00000000">
            <w:r>
              <w:rPr>
                <w:b/>
                <w:bCs/>
                <w:color w:val="FFFFFF"/>
                <w:sz w:val="18"/>
                <w:szCs w:val="18"/>
              </w:rPr>
              <w:t>Role</w:t>
            </w:r>
          </w:p>
        </w:tc>
        <w:tc>
          <w:tcPr>
            <w:tcW w:w="2238"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33259EB1" w14:textId="77777777" w:rsidR="00121CA4" w:rsidRDefault="00000000">
            <w:r>
              <w:rPr>
                <w:b/>
                <w:bCs/>
                <w:color w:val="FFFFFF"/>
                <w:sz w:val="18"/>
                <w:szCs w:val="18"/>
              </w:rPr>
              <w:t>Feeds Filter</w:t>
            </w:r>
          </w:p>
        </w:tc>
      </w:tr>
      <w:tr w:rsidR="00121CA4" w14:paraId="46E897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07EEF" w14:textId="77777777" w:rsidR="00121CA4" w:rsidRDefault="00000000">
            <w:pPr>
              <w:spacing w:line="276" w:lineRule="auto"/>
            </w:pPr>
            <w:r>
              <w:rPr>
                <w:color w:val="2D3748"/>
                <w:sz w:val="18"/>
                <w:szCs w:val="18"/>
              </w:rPr>
              <w:t>Layer 1 — 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25039" w14:textId="77777777" w:rsidR="00121CA4" w:rsidRDefault="00000000">
            <w:pPr>
              <w:spacing w:line="276" w:lineRule="auto"/>
            </w:pPr>
            <w:r>
              <w:rPr>
                <w:color w:val="2D3748"/>
                <w:sz w:val="18"/>
                <w:szCs w:val="18"/>
              </w:rPr>
              <w:t>LinkedIn Sales Navigator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C536D" w14:textId="77777777" w:rsidR="00121CA4" w:rsidRDefault="00000000">
            <w:pPr>
              <w:spacing w:line="276" w:lineRule="auto"/>
            </w:pPr>
            <w:r>
              <w:rPr>
                <w:color w:val="2D3748"/>
                <w:sz w:val="18"/>
                <w:szCs w:val="18"/>
              </w:rPr>
              <w:t>Decision-maker identity mapping. Identifies Partners, Senior Partners, and Practice Leads with budget authority.</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969B2" w14:textId="77777777" w:rsidR="00121CA4" w:rsidRDefault="00000000">
            <w:pPr>
              <w:spacing w:line="276" w:lineRule="auto"/>
            </w:pPr>
            <w:r>
              <w:rPr>
                <w:color w:val="2D3748"/>
                <w:sz w:val="18"/>
                <w:szCs w:val="18"/>
              </w:rPr>
              <w:t>N/A — provides target identity</w:t>
            </w:r>
          </w:p>
        </w:tc>
      </w:tr>
      <w:tr w:rsidR="00121CA4" w14:paraId="46BC60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3FA68B6" w14:textId="77777777" w:rsidR="00121CA4" w:rsidRDefault="00000000">
            <w:pPr>
              <w:spacing w:line="276" w:lineRule="auto"/>
            </w:pPr>
            <w:r>
              <w:rPr>
                <w:color w:val="2D3748"/>
                <w:sz w:val="18"/>
                <w:szCs w:val="18"/>
              </w:rPr>
              <w:t>Layer 1 — 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88FEFE7" w14:textId="77777777" w:rsidR="00121CA4" w:rsidRDefault="00000000">
            <w:pPr>
              <w:spacing w:line="276" w:lineRule="auto"/>
            </w:pPr>
            <w:r>
              <w:rPr>
                <w:color w:val="2D3748"/>
                <w:sz w:val="18"/>
                <w:szCs w:val="18"/>
              </w:rPr>
              <w:t>Crunchbase Pro</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64F325F7" w14:textId="77777777" w:rsidR="00121CA4" w:rsidRDefault="00000000">
            <w:pPr>
              <w:spacing w:line="276" w:lineRule="auto"/>
            </w:pPr>
            <w:r>
              <w:rPr>
                <w:color w:val="2D3748"/>
                <w:sz w:val="18"/>
                <w:szCs w:val="18"/>
              </w:rPr>
              <w:t>Financial trigger identification. Tracks funding rounds and capital events that signal growth and talent demand.</w:t>
            </w:r>
          </w:p>
        </w:tc>
        <w:tc>
          <w:tcPr>
            <w:tcW w:w="2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F0465A5" w14:textId="77777777" w:rsidR="00121CA4" w:rsidRDefault="00000000">
            <w:pPr>
              <w:spacing w:line="276" w:lineRule="auto"/>
            </w:pPr>
            <w:r>
              <w:rPr>
                <w:color w:val="2D3748"/>
                <w:sz w:val="18"/>
                <w:szCs w:val="18"/>
              </w:rPr>
              <w:t>N/A — provides financial triggers</w:t>
            </w:r>
          </w:p>
        </w:tc>
      </w:tr>
      <w:tr w:rsidR="00121CA4" w14:paraId="31E684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6DD5" w14:textId="77777777" w:rsidR="00121CA4" w:rsidRDefault="00000000">
            <w:pPr>
              <w:spacing w:line="276" w:lineRule="auto"/>
            </w:pPr>
            <w:r>
              <w:rPr>
                <w:color w:val="2D3748"/>
                <w:sz w:val="18"/>
                <w:szCs w:val="18"/>
              </w:rPr>
              <w:t>Layer 2 — Clay Enrichment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B52E8" w14:textId="77777777" w:rsidR="00121CA4" w:rsidRDefault="00000000">
            <w:pPr>
              <w:spacing w:line="276" w:lineRule="auto"/>
            </w:pPr>
            <w:proofErr w:type="spellStart"/>
            <w:r>
              <w:rPr>
                <w:color w:val="2D3748"/>
                <w:sz w:val="18"/>
                <w:szCs w:val="18"/>
              </w:rPr>
              <w:t>BuiltWith</w:t>
            </w:r>
            <w:proofErr w:type="spellEnd"/>
            <w:r>
              <w:rPr>
                <w:color w:val="2D3748"/>
                <w:sz w:val="18"/>
                <w:szCs w:val="18"/>
              </w:rPr>
              <w:t xml:space="preserve"> / Clay Technographic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84F8B" w14:textId="77777777" w:rsidR="00121CA4" w:rsidRDefault="00000000">
            <w:pPr>
              <w:spacing w:line="276" w:lineRule="auto"/>
            </w:pPr>
            <w:r>
              <w:rPr>
                <w:color w:val="2D3748"/>
                <w:sz w:val="18"/>
                <w:szCs w:val="18"/>
              </w:rPr>
              <w:t>Technical environment scoping. Defines the tech stack context so searches are anchored to the right domain.</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0695B" w14:textId="77777777" w:rsidR="00121CA4" w:rsidRDefault="00000000">
            <w:pPr>
              <w:spacing w:line="276" w:lineRule="auto"/>
            </w:pPr>
            <w:r>
              <w:rPr>
                <w:color w:val="2D3748"/>
                <w:sz w:val="18"/>
                <w:szCs w:val="18"/>
              </w:rPr>
              <w:t>Informs Target Domain Scope</w:t>
            </w:r>
          </w:p>
        </w:tc>
      </w:tr>
      <w:tr w:rsidR="00121CA4" w14:paraId="3E6324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365B9B2" w14:textId="77777777" w:rsidR="00121CA4" w:rsidRDefault="00000000">
            <w:pPr>
              <w:spacing w:line="276" w:lineRule="auto"/>
            </w:pPr>
            <w:r>
              <w:rPr>
                <w:color w:val="2D3748"/>
                <w:sz w:val="18"/>
                <w:szCs w:val="18"/>
              </w:rPr>
              <w:lastRenderedPageBreak/>
              <w:t>Layer 2 — Clay Enrichment</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2091D7FA" w14:textId="77777777" w:rsidR="00121CA4" w:rsidRDefault="00000000">
            <w:pPr>
              <w:spacing w:line="276" w:lineRule="auto"/>
            </w:pPr>
            <w:r>
              <w:rPr>
                <w:color w:val="2D3748"/>
                <w:sz w:val="18"/>
                <w:szCs w:val="18"/>
              </w:rPr>
              <w:t>Indeed / LinkedIn Jobs</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6176478" w14:textId="77777777" w:rsidR="00121CA4" w:rsidRDefault="00000000">
            <w:pPr>
              <w:spacing w:line="276" w:lineRule="auto"/>
            </w:pPr>
            <w:r>
              <w:rPr>
                <w:color w:val="2D3748"/>
                <w:sz w:val="18"/>
                <w:szCs w:val="18"/>
              </w:rPr>
              <w:t>Open wound detection. Job postings are explicit admissions of internal gaps — a firm hiring three Data Engineers has a data engineering bottleneck right now.</w:t>
            </w:r>
          </w:p>
        </w:tc>
        <w:tc>
          <w:tcPr>
            <w:tcW w:w="2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1A76107C" w14:textId="77777777" w:rsidR="00121CA4" w:rsidRDefault="00000000">
            <w:pPr>
              <w:spacing w:line="276" w:lineRule="auto"/>
            </w:pPr>
            <w:r>
              <w:rPr>
                <w:color w:val="2D3748"/>
                <w:sz w:val="18"/>
                <w:szCs w:val="18"/>
              </w:rPr>
              <w:t>Informs Relevance via Perplexity context</w:t>
            </w:r>
          </w:p>
        </w:tc>
      </w:tr>
      <w:tr w:rsidR="00121CA4" w14:paraId="11FAB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B4A6F" w14:textId="77777777" w:rsidR="00121CA4" w:rsidRDefault="00000000">
            <w:pPr>
              <w:spacing w:line="276" w:lineRule="auto"/>
            </w:pPr>
            <w:r>
              <w:rPr>
                <w:color w:val="2D3748"/>
                <w:sz w:val="18"/>
                <w:szCs w:val="18"/>
              </w:rPr>
              <w:t>Layer 3 — 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36F3F" w14:textId="77777777" w:rsidR="00121CA4" w:rsidRDefault="00000000">
            <w:pPr>
              <w:spacing w:line="276" w:lineRule="auto"/>
            </w:pPr>
            <w:r>
              <w:rPr>
                <w:color w:val="2D3748"/>
                <w:sz w:val="18"/>
                <w:szCs w:val="18"/>
              </w:rPr>
              <w:t>Perplexity API (Radar)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FA584" w14:textId="77777777" w:rsidR="00121CA4" w:rsidRDefault="00000000">
            <w:pPr>
              <w:spacing w:line="276" w:lineRule="auto"/>
            </w:pPr>
            <w:r>
              <w:rPr>
                <w:color w:val="2D3748"/>
                <w:sz w:val="18"/>
                <w:szCs w:val="18"/>
              </w:rPr>
              <w:t>Broad macro-level commercial signal detection across sector, region, and regulatory environment.</w:t>
            </w:r>
          </w:p>
        </w:tc>
        <w:tc>
          <w:tcPr>
            <w:tcW w:w="2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DACCB" w14:textId="77777777" w:rsidR="00121CA4" w:rsidRDefault="00000000">
            <w:pPr>
              <w:spacing w:line="276" w:lineRule="auto"/>
            </w:pPr>
            <w:r>
              <w:rPr>
                <w:color w:val="2D3748"/>
                <w:sz w:val="18"/>
                <w:szCs w:val="18"/>
              </w:rPr>
              <w:t>Timing filter + Relevance filter</w:t>
            </w:r>
          </w:p>
        </w:tc>
      </w:tr>
      <w:tr w:rsidR="00121CA4" w14:paraId="3D12C3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AD33552" w14:textId="77777777" w:rsidR="00121CA4" w:rsidRDefault="00000000">
            <w:pPr>
              <w:spacing w:line="276" w:lineRule="auto"/>
            </w:pPr>
            <w:r>
              <w:rPr>
                <w:color w:val="2D3748"/>
                <w:sz w:val="18"/>
                <w:szCs w:val="18"/>
              </w:rPr>
              <w:t>Layer 3 — Search</w:t>
            </w:r>
          </w:p>
        </w:tc>
        <w:tc>
          <w:tcPr>
            <w:tcW w:w="2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3B167EC" w14:textId="77777777" w:rsidR="00121CA4" w:rsidRDefault="00000000">
            <w:pPr>
              <w:spacing w:line="276" w:lineRule="auto"/>
            </w:pPr>
            <w:r>
              <w:rPr>
                <w:color w:val="2D3748"/>
                <w:sz w:val="18"/>
                <w:szCs w:val="18"/>
              </w:rPr>
              <w:t>Exa.ai (Scalpel)</w:t>
            </w:r>
          </w:p>
        </w:tc>
        <w:tc>
          <w:tcPr>
            <w:tcW w:w="3200"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77ECC077" w14:textId="77777777" w:rsidR="00121CA4" w:rsidRDefault="00000000">
            <w:pPr>
              <w:spacing w:line="276" w:lineRule="auto"/>
            </w:pPr>
            <w:r>
              <w:rPr>
                <w:color w:val="2D3748"/>
                <w:sz w:val="18"/>
                <w:szCs w:val="18"/>
              </w:rPr>
              <w:t>Person-specific content retrieval using neural semantic search. Finds podcast transcripts, essays, and talks attributed to the named individual.</w:t>
            </w:r>
          </w:p>
        </w:tc>
        <w:tc>
          <w:tcPr>
            <w:tcW w:w="2238" w:type="dxa"/>
            <w:tcBorders>
              <w:top w:val="single" w:sz="1" w:space="0" w:color="CCCCCC"/>
              <w:left w:val="single" w:sz="1" w:space="0" w:color="CCCCCC"/>
              <w:bottom w:val="single" w:sz="1" w:space="0" w:color="CCCCCC"/>
              <w:right w:val="single" w:sz="1" w:space="0" w:color="CCCCCC"/>
            </w:tcBorders>
            <w:shd w:val="clear" w:color="auto" w:fill="F4F6F9"/>
            <w:tcMar>
              <w:top w:w="80" w:type="dxa"/>
              <w:left w:w="120" w:type="dxa"/>
              <w:bottom w:w="80" w:type="dxa"/>
              <w:right w:w="120" w:type="dxa"/>
            </w:tcMar>
          </w:tcPr>
          <w:p w14:paraId="50A09F79" w14:textId="77777777" w:rsidR="00121CA4" w:rsidRDefault="00000000">
            <w:pPr>
              <w:spacing w:line="276" w:lineRule="auto"/>
            </w:pPr>
            <w:r>
              <w:rPr>
                <w:color w:val="2D3748"/>
                <w:sz w:val="18"/>
                <w:szCs w:val="18"/>
              </w:rPr>
              <w:t>Credibility filter</w:t>
            </w:r>
          </w:p>
        </w:tc>
      </w:tr>
    </w:tbl>
    <w:p w14:paraId="13EC2140" w14:textId="77777777" w:rsidR="00802269" w:rsidRDefault="00802269"/>
    <w:sectPr w:rsidR="0080226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A4FC0" w14:textId="77777777" w:rsidR="00802269" w:rsidRDefault="00802269">
      <w:r>
        <w:separator/>
      </w:r>
    </w:p>
  </w:endnote>
  <w:endnote w:type="continuationSeparator" w:id="0">
    <w:p w14:paraId="0945CBA5" w14:textId="77777777" w:rsidR="00802269" w:rsidRDefault="00802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2279" w14:textId="77777777" w:rsidR="00121CA4" w:rsidRDefault="00000000">
    <w:pPr>
      <w:pBdr>
        <w:top w:val="single" w:sz="4" w:space="0" w:color="E2E6EE"/>
      </w:pBdr>
      <w:spacing w:before="80"/>
      <w:jc w:val="center"/>
    </w:pPr>
    <w:r>
      <w:rPr>
        <w:color w:val="9CA3AF"/>
        <w:sz w:val="16"/>
        <w:szCs w:val="16"/>
      </w:rPr>
      <w:t>Consulting Point — Signal to Speech Engine | Prototype Submission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F7644" w14:textId="77777777" w:rsidR="00802269" w:rsidRDefault="00802269">
      <w:r>
        <w:separator/>
      </w:r>
    </w:p>
  </w:footnote>
  <w:footnote w:type="continuationSeparator" w:id="0">
    <w:p w14:paraId="61D5230B" w14:textId="77777777" w:rsidR="00802269" w:rsidRDefault="00802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5"/>
      <w:gridCol w:w="3373"/>
    </w:tblGrid>
    <w:tr w:rsidR="00121CA4" w14:paraId="5607BE9E" w14:textId="77777777">
      <w:tblPrEx>
        <w:tblCellMar>
          <w:top w:w="0" w:type="dxa"/>
          <w:bottom w:w="0" w:type="dxa"/>
        </w:tblCellMar>
      </w:tblPrEx>
      <w:tc>
        <w:tcPr>
          <w:tcW w:w="6264" w:type="dxa"/>
          <w:tcBorders>
            <w:top w:val="nil"/>
            <w:left w:val="nil"/>
            <w:bottom w:val="nil"/>
            <w:right w:val="nil"/>
          </w:tcBorders>
          <w:shd w:val="clear" w:color="auto" w:fill="1B2A4A"/>
          <w:tcMar>
            <w:top w:w="80" w:type="dxa"/>
            <w:left w:w="160" w:type="dxa"/>
            <w:bottom w:w="80" w:type="dxa"/>
            <w:right w:w="100" w:type="dxa"/>
          </w:tcMar>
        </w:tcPr>
        <w:p w14:paraId="6E6441C6" w14:textId="77777777" w:rsidR="00121CA4" w:rsidRDefault="00000000">
          <w:pPr>
            <w:spacing w:after="30"/>
          </w:pPr>
          <w:r>
            <w:rPr>
              <w:b/>
              <w:bCs/>
              <w:color w:val="FFFFFF"/>
              <w:sz w:val="24"/>
              <w:szCs w:val="24"/>
            </w:rPr>
            <w:t>Pipeline Architecture Reference</w:t>
          </w:r>
        </w:p>
        <w:p w14:paraId="173C2FCF" w14:textId="77777777" w:rsidR="00121CA4" w:rsidRDefault="00000000">
          <w:r>
            <w:rPr>
              <w:color w:val="A0B4CC"/>
              <w:sz w:val="16"/>
              <w:szCs w:val="16"/>
            </w:rPr>
            <w:t>Signal to Speech Engine | Consulting Point</w:t>
          </w:r>
        </w:p>
      </w:tc>
      <w:tc>
        <w:tcPr>
          <w:tcW w:w="3373" w:type="dxa"/>
          <w:tcBorders>
            <w:top w:val="nil"/>
            <w:left w:val="nil"/>
            <w:bottom w:val="nil"/>
            <w:right w:val="nil"/>
          </w:tcBorders>
          <w:shd w:val="clear" w:color="auto" w:fill="1B2A4A"/>
          <w:tcMar>
            <w:top w:w="80" w:type="dxa"/>
            <w:left w:w="100" w:type="dxa"/>
            <w:bottom w:w="80" w:type="dxa"/>
            <w:right w:w="160" w:type="dxa"/>
          </w:tcMar>
          <w:vAlign w:val="center"/>
        </w:tcPr>
        <w:p w14:paraId="7B02DACF" w14:textId="77777777" w:rsidR="00121CA4" w:rsidRDefault="00000000">
          <w:pPr>
            <w:spacing w:after="30"/>
            <w:jc w:val="right"/>
          </w:pPr>
          <w:r>
            <w:rPr>
              <w:b/>
              <w:bCs/>
              <w:color w:val="00A896"/>
              <w:sz w:val="22"/>
              <w:szCs w:val="22"/>
            </w:rPr>
            <w:t>CONSULTING POINT</w:t>
          </w:r>
        </w:p>
        <w:p w14:paraId="37912366" w14:textId="77777777" w:rsidR="00121CA4" w:rsidRDefault="00000000">
          <w:pPr>
            <w:jc w:val="right"/>
          </w:pPr>
          <w:r>
            <w:rPr>
              <w:i/>
              <w:iCs/>
              <w:color w:val="A0B4CC"/>
              <w:sz w:val="16"/>
              <w:szCs w:val="16"/>
            </w:rPr>
            <w:t>Signal to Speech Engine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60889"/>
    <w:multiLevelType w:val="hybridMultilevel"/>
    <w:tmpl w:val="3DD0AA22"/>
    <w:lvl w:ilvl="0" w:tplc="63D6A2CC">
      <w:start w:val="1"/>
      <w:numFmt w:val="bullet"/>
      <w:lvlText w:val="◦"/>
      <w:lvlJc w:val="left"/>
      <w:pPr>
        <w:ind w:left="1080" w:hanging="360"/>
      </w:pPr>
    </w:lvl>
    <w:lvl w:ilvl="1" w:tplc="E0D4C9FA">
      <w:numFmt w:val="decimal"/>
      <w:lvlText w:val=""/>
      <w:lvlJc w:val="left"/>
    </w:lvl>
    <w:lvl w:ilvl="2" w:tplc="FFE6B8FE">
      <w:numFmt w:val="decimal"/>
      <w:lvlText w:val=""/>
      <w:lvlJc w:val="left"/>
    </w:lvl>
    <w:lvl w:ilvl="3" w:tplc="999C8F5C">
      <w:numFmt w:val="decimal"/>
      <w:lvlText w:val=""/>
      <w:lvlJc w:val="left"/>
    </w:lvl>
    <w:lvl w:ilvl="4" w:tplc="2DC8CC38">
      <w:numFmt w:val="decimal"/>
      <w:lvlText w:val=""/>
      <w:lvlJc w:val="left"/>
    </w:lvl>
    <w:lvl w:ilvl="5" w:tplc="21B6C066">
      <w:numFmt w:val="decimal"/>
      <w:lvlText w:val=""/>
      <w:lvlJc w:val="left"/>
    </w:lvl>
    <w:lvl w:ilvl="6" w:tplc="800CCE00">
      <w:numFmt w:val="decimal"/>
      <w:lvlText w:val=""/>
      <w:lvlJc w:val="left"/>
    </w:lvl>
    <w:lvl w:ilvl="7" w:tplc="6F8E120A">
      <w:numFmt w:val="decimal"/>
      <w:lvlText w:val=""/>
      <w:lvlJc w:val="left"/>
    </w:lvl>
    <w:lvl w:ilvl="8" w:tplc="63F88E92">
      <w:numFmt w:val="decimal"/>
      <w:lvlText w:val=""/>
      <w:lvlJc w:val="left"/>
    </w:lvl>
  </w:abstractNum>
  <w:abstractNum w:abstractNumId="1" w15:restartNumberingAfterBreak="0">
    <w:nsid w:val="5CEB6E8F"/>
    <w:multiLevelType w:val="hybridMultilevel"/>
    <w:tmpl w:val="3DC402AE"/>
    <w:lvl w:ilvl="0" w:tplc="4C42E11A">
      <w:start w:val="1"/>
      <w:numFmt w:val="bullet"/>
      <w:lvlText w:val="●"/>
      <w:lvlJc w:val="left"/>
      <w:pPr>
        <w:ind w:left="720" w:hanging="360"/>
      </w:pPr>
    </w:lvl>
    <w:lvl w:ilvl="1" w:tplc="30E65FF0">
      <w:start w:val="1"/>
      <w:numFmt w:val="bullet"/>
      <w:lvlText w:val="○"/>
      <w:lvlJc w:val="left"/>
      <w:pPr>
        <w:ind w:left="1440" w:hanging="360"/>
      </w:pPr>
    </w:lvl>
    <w:lvl w:ilvl="2" w:tplc="FF2C0A0E">
      <w:start w:val="1"/>
      <w:numFmt w:val="bullet"/>
      <w:lvlText w:val="■"/>
      <w:lvlJc w:val="left"/>
      <w:pPr>
        <w:ind w:left="2160" w:hanging="360"/>
      </w:pPr>
    </w:lvl>
    <w:lvl w:ilvl="3" w:tplc="37ECA498">
      <w:start w:val="1"/>
      <w:numFmt w:val="bullet"/>
      <w:lvlText w:val="●"/>
      <w:lvlJc w:val="left"/>
      <w:pPr>
        <w:ind w:left="2880" w:hanging="360"/>
      </w:pPr>
    </w:lvl>
    <w:lvl w:ilvl="4" w:tplc="C7EC2102">
      <w:start w:val="1"/>
      <w:numFmt w:val="bullet"/>
      <w:lvlText w:val="○"/>
      <w:lvlJc w:val="left"/>
      <w:pPr>
        <w:ind w:left="3600" w:hanging="360"/>
      </w:pPr>
    </w:lvl>
    <w:lvl w:ilvl="5" w:tplc="B126A3FC">
      <w:start w:val="1"/>
      <w:numFmt w:val="bullet"/>
      <w:lvlText w:val="■"/>
      <w:lvlJc w:val="left"/>
      <w:pPr>
        <w:ind w:left="4320" w:hanging="360"/>
      </w:pPr>
    </w:lvl>
    <w:lvl w:ilvl="6" w:tplc="894CC1D6">
      <w:start w:val="1"/>
      <w:numFmt w:val="bullet"/>
      <w:lvlText w:val="●"/>
      <w:lvlJc w:val="left"/>
      <w:pPr>
        <w:ind w:left="5040" w:hanging="360"/>
      </w:pPr>
    </w:lvl>
    <w:lvl w:ilvl="7" w:tplc="D8FE1A28">
      <w:start w:val="1"/>
      <w:numFmt w:val="bullet"/>
      <w:lvlText w:val="●"/>
      <w:lvlJc w:val="left"/>
      <w:pPr>
        <w:ind w:left="5760" w:hanging="360"/>
      </w:pPr>
    </w:lvl>
    <w:lvl w:ilvl="8" w:tplc="EDA69A98">
      <w:start w:val="1"/>
      <w:numFmt w:val="bullet"/>
      <w:lvlText w:val="●"/>
      <w:lvlJc w:val="left"/>
      <w:pPr>
        <w:ind w:left="6480" w:hanging="360"/>
      </w:pPr>
    </w:lvl>
  </w:abstractNum>
  <w:abstractNum w:abstractNumId="2" w15:restartNumberingAfterBreak="0">
    <w:nsid w:val="78911764"/>
    <w:multiLevelType w:val="hybridMultilevel"/>
    <w:tmpl w:val="F9D86388"/>
    <w:lvl w:ilvl="0" w:tplc="E504703A">
      <w:start w:val="1"/>
      <w:numFmt w:val="bullet"/>
      <w:lvlText w:val="•"/>
      <w:lvlJc w:val="left"/>
      <w:pPr>
        <w:ind w:left="720" w:hanging="360"/>
      </w:pPr>
    </w:lvl>
    <w:lvl w:ilvl="1" w:tplc="DC9006F2">
      <w:numFmt w:val="decimal"/>
      <w:lvlText w:val=""/>
      <w:lvlJc w:val="left"/>
    </w:lvl>
    <w:lvl w:ilvl="2" w:tplc="F58EECAC">
      <w:numFmt w:val="decimal"/>
      <w:lvlText w:val=""/>
      <w:lvlJc w:val="left"/>
    </w:lvl>
    <w:lvl w:ilvl="3" w:tplc="4934B994">
      <w:numFmt w:val="decimal"/>
      <w:lvlText w:val=""/>
      <w:lvlJc w:val="left"/>
    </w:lvl>
    <w:lvl w:ilvl="4" w:tplc="10086D90">
      <w:numFmt w:val="decimal"/>
      <w:lvlText w:val=""/>
      <w:lvlJc w:val="left"/>
    </w:lvl>
    <w:lvl w:ilvl="5" w:tplc="AC363950">
      <w:numFmt w:val="decimal"/>
      <w:lvlText w:val=""/>
      <w:lvlJc w:val="left"/>
    </w:lvl>
    <w:lvl w:ilvl="6" w:tplc="40A09706">
      <w:numFmt w:val="decimal"/>
      <w:lvlText w:val=""/>
      <w:lvlJc w:val="left"/>
    </w:lvl>
    <w:lvl w:ilvl="7" w:tplc="3DDEC8BE">
      <w:numFmt w:val="decimal"/>
      <w:lvlText w:val=""/>
      <w:lvlJc w:val="left"/>
    </w:lvl>
    <w:lvl w:ilvl="8" w:tplc="9392D786">
      <w:numFmt w:val="decimal"/>
      <w:lvlText w:val=""/>
      <w:lvlJc w:val="left"/>
    </w:lvl>
  </w:abstractNum>
  <w:num w:numId="1" w16cid:durableId="12769844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CA4"/>
    <w:rsid w:val="00121CA4"/>
    <w:rsid w:val="0050160D"/>
    <w:rsid w:val="00802269"/>
    <w:rsid w:val="00EA2C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43B9ED"/>
  <w15:docId w15:val="{2DDCF51E-2080-2648-9FBB-78C9428E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2A4A"/>
      <w:sz w:val="36"/>
      <w:szCs w:val="36"/>
    </w:rPr>
  </w:style>
  <w:style w:type="paragraph" w:styleId="Heading2">
    <w:name w:val="heading 2"/>
    <w:uiPriority w:val="9"/>
    <w:unhideWhenUsed/>
    <w:qFormat/>
    <w:pPr>
      <w:spacing w:before="220" w:after="80"/>
      <w:outlineLvl w:val="1"/>
    </w:pPr>
    <w:rPr>
      <w:b/>
      <w:bCs/>
      <w:color w:val="2D5D99"/>
      <w:sz w:val="28"/>
      <w:szCs w:val="28"/>
    </w:rPr>
  </w:style>
  <w:style w:type="paragraph" w:styleId="Heading3">
    <w:name w:val="heading 3"/>
    <w:uiPriority w:val="9"/>
    <w:semiHidden/>
    <w:unhideWhenUsed/>
    <w:qFormat/>
    <w:pPr>
      <w:spacing w:before="160" w:after="60"/>
      <w:outlineLvl w:val="2"/>
    </w:pPr>
    <w:rPr>
      <w:b/>
      <w:bCs/>
      <w:color w:val="1B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Ajayi (Student)</cp:lastModifiedBy>
  <cp:revision>2</cp:revision>
  <dcterms:created xsi:type="dcterms:W3CDTF">2026-05-19T16:26:00Z</dcterms:created>
  <dcterms:modified xsi:type="dcterms:W3CDTF">2026-05-19T16:30:00Z</dcterms:modified>
</cp:coreProperties>
</file>