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ABCF" w14:textId="77777777" w:rsidR="00F10E34" w:rsidRDefault="00000000">
      <w:pPr>
        <w:pStyle w:val="Heading1"/>
        <w:pBdr>
          <w:bottom w:val="single" w:sz="6" w:space="4" w:color="00A896"/>
        </w:pBdr>
      </w:pPr>
      <w:r>
        <w:t>AI Agent Prompt Architecture</w:t>
      </w:r>
    </w:p>
    <w:p w14:paraId="0E5EE40B" w14:textId="77777777" w:rsidR="00F10E34" w:rsidRDefault="00000000">
      <w:pPr>
        <w:spacing w:before="40" w:after="120" w:line="300" w:lineRule="auto"/>
      </w:pPr>
      <w:r>
        <w:rPr>
          <w:color w:val="2D3748"/>
        </w:rPr>
        <w:t>This document provides annotated breakdowns of the Agent 1 and Agent 2 system prompts, explaining the design reasoning behind each major decision.</w:t>
      </w:r>
    </w:p>
    <w:p w14:paraId="695F242E" w14:textId="77777777" w:rsidR="00F10E34" w:rsidRDefault="00000000">
      <w:pPr>
        <w:pStyle w:val="Heading2"/>
      </w:pPr>
      <w:r>
        <w:t>Prompt Architecture Philosophy</w:t>
      </w:r>
    </w:p>
    <w:p w14:paraId="01FBDCAB" w14:textId="77777777" w:rsidR="00F10E34" w:rsidRDefault="00000000">
      <w:pPr>
        <w:spacing w:before="40" w:after="80" w:line="300" w:lineRule="auto"/>
      </w:pPr>
      <w:r>
        <w:rPr>
          <w:color w:val="2D3748"/>
        </w:rPr>
        <w:t>Both agents use a two-part prompt structure: a static system prompt containing role definition, logic, and constraints, and a dynamic user prompt containing the per-record data variables assembled by Make.com from webhook variables before each Claude call.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238"/>
      </w:tblGrid>
      <w:tr w:rsidR="00F10E34" w14:paraId="6305F9EC" w14:textId="77777777">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64D4B70" w14:textId="77777777" w:rsidR="00F10E34" w:rsidRDefault="00000000">
            <w:r>
              <w:rPr>
                <w:b/>
                <w:bCs/>
                <w:color w:val="FFFFFF"/>
                <w:sz w:val="18"/>
                <w:szCs w:val="18"/>
              </w:rPr>
              <w:t>Design Decision</w:t>
            </w:r>
          </w:p>
        </w:tc>
        <w:tc>
          <w:tcPr>
            <w:tcW w:w="28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E53CDD2" w14:textId="77777777" w:rsidR="00F10E34" w:rsidRDefault="00000000">
            <w:r>
              <w:rPr>
                <w:b/>
                <w:bCs/>
                <w:color w:val="FFFFFF"/>
                <w:sz w:val="18"/>
                <w:szCs w:val="18"/>
              </w:rPr>
              <w:t>What Was Chosen</w:t>
            </w:r>
          </w:p>
        </w:tc>
        <w:tc>
          <w:tcPr>
            <w:tcW w:w="4238"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00BE2BC" w14:textId="77777777" w:rsidR="00F10E34" w:rsidRDefault="00000000">
            <w:r>
              <w:rPr>
                <w:b/>
                <w:bCs/>
                <w:color w:val="FFFFFF"/>
                <w:sz w:val="18"/>
                <w:szCs w:val="18"/>
              </w:rPr>
              <w:t>Why</w:t>
            </w:r>
          </w:p>
        </w:tc>
      </w:tr>
      <w:tr w:rsidR="00F10E34" w14:paraId="7EC7BA0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1B257" w14:textId="77777777" w:rsidR="00F10E34" w:rsidRDefault="00000000">
            <w:pPr>
              <w:spacing w:line="276" w:lineRule="auto"/>
            </w:pPr>
            <w:r>
              <w:rPr>
                <w:color w:val="2D3748"/>
                <w:sz w:val="18"/>
                <w:szCs w:val="18"/>
              </w:rPr>
              <w:t>Output format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3B8C2" w14:textId="77777777" w:rsidR="00F10E34" w:rsidRDefault="00000000">
            <w:pPr>
              <w:spacing w:line="276" w:lineRule="auto"/>
            </w:pPr>
            <w:r>
              <w:rPr>
                <w:color w:val="2D3748"/>
                <w:sz w:val="18"/>
                <w:szCs w:val="18"/>
              </w:rPr>
              <w:t>JSON with fixed schema enforced strictly</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3956A" w14:textId="77777777" w:rsidR="00F10E34" w:rsidRDefault="00000000">
            <w:pPr>
              <w:spacing w:line="276" w:lineRule="auto"/>
            </w:pPr>
            <w:r>
              <w:rPr>
                <w:color w:val="2D3748"/>
                <w:sz w:val="18"/>
                <w:szCs w:val="18"/>
              </w:rPr>
              <w:t>Enables Make.com to parse fields programmatically without manual extraction. Schema changes propagate consistently across all downstream modules.</w:t>
            </w:r>
          </w:p>
        </w:tc>
      </w:tr>
      <w:tr w:rsidR="00F10E34" w14:paraId="7788FE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F398DEA" w14:textId="77777777" w:rsidR="00F10E34" w:rsidRDefault="00000000">
            <w:pPr>
              <w:spacing w:line="276" w:lineRule="auto"/>
            </w:pPr>
            <w:r>
              <w:rPr>
                <w:color w:val="2D3748"/>
                <w:sz w:val="18"/>
                <w:szCs w:val="18"/>
              </w:rPr>
              <w:t>Boolean handling</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E063A53" w14:textId="77777777" w:rsidR="00F10E34" w:rsidRDefault="00000000">
            <w:pPr>
              <w:spacing w:line="276" w:lineRule="auto"/>
            </w:pPr>
            <w:r>
              <w:rPr>
                <w:color w:val="2D3748"/>
                <w:sz w:val="18"/>
                <w:szCs w:val="18"/>
              </w:rPr>
              <w:t xml:space="preserve">Verdict strings ("PASS"/"FAIL") not </w:t>
            </w:r>
            <w:proofErr w:type="spellStart"/>
            <w:r>
              <w:rPr>
                <w:color w:val="2D3748"/>
                <w:sz w:val="18"/>
                <w:szCs w:val="18"/>
              </w:rPr>
              <w:t>booleans</w:t>
            </w:r>
            <w:proofErr w:type="spellEnd"/>
            <w:r>
              <w:rPr>
                <w:color w:val="2D3748"/>
                <w:sz w:val="18"/>
                <w:szCs w:val="18"/>
              </w:rPr>
              <w:t xml:space="preserve"> (true/false)</w:t>
            </w:r>
          </w:p>
        </w:tc>
        <w:tc>
          <w:tcPr>
            <w:tcW w:w="42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FF866B4" w14:textId="77777777" w:rsidR="00F10E34" w:rsidRDefault="00000000">
            <w:pPr>
              <w:spacing w:line="276" w:lineRule="auto"/>
            </w:pPr>
            <w:r>
              <w:rPr>
                <w:color w:val="2D3748"/>
                <w:sz w:val="18"/>
                <w:szCs w:val="18"/>
              </w:rPr>
              <w:t xml:space="preserve">Make.com cannot reliably evaluate JSON </w:t>
            </w:r>
            <w:proofErr w:type="spellStart"/>
            <w:r>
              <w:rPr>
                <w:color w:val="2D3748"/>
                <w:sz w:val="18"/>
                <w:szCs w:val="18"/>
              </w:rPr>
              <w:t>booleans</w:t>
            </w:r>
            <w:proofErr w:type="spellEnd"/>
            <w:r>
              <w:rPr>
                <w:color w:val="2D3748"/>
                <w:sz w:val="18"/>
                <w:szCs w:val="18"/>
              </w:rPr>
              <w:t xml:space="preserve"> in conditional logic modules. String comparison is deterministic. This was discovered during build when all filter verdicts incorrectly showed FAIL in Google Sheets despite correct </w:t>
            </w:r>
            <w:proofErr w:type="spellStart"/>
            <w:r>
              <w:rPr>
                <w:color w:val="2D3748"/>
                <w:sz w:val="18"/>
                <w:szCs w:val="18"/>
              </w:rPr>
              <w:t>boolean</w:t>
            </w:r>
            <w:proofErr w:type="spellEnd"/>
            <w:r>
              <w:rPr>
                <w:color w:val="2D3748"/>
                <w:sz w:val="18"/>
                <w:szCs w:val="18"/>
              </w:rPr>
              <w:t xml:space="preserve"> values.</w:t>
            </w:r>
          </w:p>
        </w:tc>
      </w:tr>
      <w:tr w:rsidR="00F10E34" w14:paraId="212DC0D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673BE" w14:textId="77777777" w:rsidR="00F10E34" w:rsidRDefault="00000000">
            <w:pPr>
              <w:spacing w:line="276" w:lineRule="auto"/>
            </w:pPr>
            <w:r>
              <w:rPr>
                <w:color w:val="2D3748"/>
                <w:sz w:val="18"/>
                <w:szCs w:val="18"/>
              </w:rPr>
              <w:t>Extended thinking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32480" w14:textId="77777777" w:rsidR="00F10E34" w:rsidRDefault="00000000">
            <w:pPr>
              <w:spacing w:line="276" w:lineRule="auto"/>
            </w:pPr>
            <w:r>
              <w:rPr>
                <w:color w:val="2D3748"/>
                <w:sz w:val="18"/>
                <w:szCs w:val="18"/>
              </w:rPr>
              <w:t>Disabled for both agents in final configuration</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C3297" w14:textId="77777777" w:rsidR="00F10E34" w:rsidRDefault="00000000">
            <w:pPr>
              <w:spacing w:line="276" w:lineRule="auto"/>
            </w:pPr>
            <w:r>
              <w:rPr>
                <w:color w:val="2D3748"/>
                <w:sz w:val="18"/>
                <w:szCs w:val="18"/>
              </w:rPr>
              <w:t>Testing showed identical output quality at 3x token cost. Agent 1 performs structured evaluation from defined criteria. Agent 2 performs structured generation from a clear brief. Neither task benefits from deep reasoning extended thinking provides.</w:t>
            </w:r>
          </w:p>
        </w:tc>
      </w:tr>
      <w:tr w:rsidR="00F10E34" w14:paraId="72A404F6"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34CE1C8" w14:textId="77777777" w:rsidR="00F10E34" w:rsidRDefault="00000000">
            <w:pPr>
              <w:spacing w:line="276" w:lineRule="auto"/>
            </w:pPr>
            <w:r>
              <w:rPr>
                <w:color w:val="2D3748"/>
                <w:sz w:val="18"/>
                <w:szCs w:val="18"/>
              </w:rPr>
              <w:t>85% framework, not complete email</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77EAD64" w14:textId="77777777" w:rsidR="00F10E34" w:rsidRDefault="00000000">
            <w:pPr>
              <w:spacing w:line="276" w:lineRule="auto"/>
            </w:pPr>
            <w:r>
              <w:rPr>
                <w:color w:val="2D3748"/>
                <w:sz w:val="18"/>
                <w:szCs w:val="18"/>
              </w:rPr>
              <w:t>Deliberate network gap left for consultant</w:t>
            </w:r>
          </w:p>
        </w:tc>
        <w:tc>
          <w:tcPr>
            <w:tcW w:w="42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1CEB936" w14:textId="77777777" w:rsidR="00F10E34" w:rsidRDefault="00000000">
            <w:pPr>
              <w:spacing w:line="276" w:lineRule="auto"/>
            </w:pPr>
            <w:r>
              <w:rPr>
                <w:color w:val="2D3748"/>
                <w:sz w:val="18"/>
                <w:szCs w:val="18"/>
              </w:rPr>
              <w:t>The network connection requires human judgment and relationship context the pipeline cannot access. A complete email with a fabricated connection is worse than a framework with a labelled gap.</w:t>
            </w:r>
          </w:p>
        </w:tc>
      </w:tr>
      <w:tr w:rsidR="00F10E34" w14:paraId="7089B5B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F41FD" w14:textId="77777777" w:rsidR="00F10E34" w:rsidRDefault="00000000">
            <w:pPr>
              <w:spacing w:line="276" w:lineRule="auto"/>
            </w:pPr>
            <w:proofErr w:type="spellStart"/>
            <w:r>
              <w:rPr>
                <w:color w:val="2D3748"/>
                <w:sz w:val="18"/>
                <w:szCs w:val="18"/>
              </w:rPr>
              <w:t>jsonResponse</w:t>
            </w:r>
            <w:proofErr w:type="spellEnd"/>
            <w:r>
              <w:rPr>
                <w:color w:val="2D3748"/>
                <w:sz w:val="18"/>
                <w:szCs w:val="18"/>
              </w:rPr>
              <w:t xml:space="preserve"> mapping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519C" w14:textId="77777777" w:rsidR="00F10E34" w:rsidRDefault="00000000">
            <w:pPr>
              <w:spacing w:line="276" w:lineRule="auto"/>
            </w:pPr>
            <w:r>
              <w:rPr>
                <w:color w:val="2D3748"/>
                <w:sz w:val="18"/>
                <w:szCs w:val="18"/>
              </w:rPr>
              <w:t xml:space="preserve">Parse JSON modules map to </w:t>
            </w:r>
            <w:proofErr w:type="spellStart"/>
            <w:r>
              <w:rPr>
                <w:color w:val="2D3748"/>
                <w:sz w:val="18"/>
                <w:szCs w:val="18"/>
              </w:rPr>
              <w:t>jsonResponse</w:t>
            </w:r>
            <w:proofErr w:type="spellEnd"/>
            <w:r>
              <w:rPr>
                <w:color w:val="2D3748"/>
                <w:sz w:val="18"/>
                <w:szCs w:val="18"/>
              </w:rPr>
              <w:t xml:space="preserve"> field, not text response</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ED18C" w14:textId="77777777" w:rsidR="00F10E34" w:rsidRDefault="00000000">
            <w:pPr>
              <w:spacing w:line="276" w:lineRule="auto"/>
            </w:pPr>
            <w:proofErr w:type="spellStart"/>
            <w:r>
              <w:rPr>
                <w:color w:val="2D3748"/>
                <w:sz w:val="18"/>
                <w:szCs w:val="18"/>
              </w:rPr>
              <w:t>Make.com's</w:t>
            </w:r>
            <w:proofErr w:type="spellEnd"/>
            <w:r>
              <w:rPr>
                <w:color w:val="2D3748"/>
                <w:sz w:val="18"/>
                <w:szCs w:val="18"/>
              </w:rPr>
              <w:t xml:space="preserve"> Anthropic module automatically extracts JSON from Claude's output into a structured </w:t>
            </w:r>
            <w:proofErr w:type="spellStart"/>
            <w:r>
              <w:rPr>
                <w:color w:val="2D3748"/>
                <w:sz w:val="18"/>
                <w:szCs w:val="18"/>
              </w:rPr>
              <w:t>jsonResponse</w:t>
            </w:r>
            <w:proofErr w:type="spellEnd"/>
            <w:r>
              <w:rPr>
                <w:color w:val="2D3748"/>
                <w:sz w:val="18"/>
                <w:szCs w:val="18"/>
              </w:rPr>
              <w:t xml:space="preserve"> object. Mapping to this field eliminates the need for markdown fence stripping.</w:t>
            </w:r>
          </w:p>
        </w:tc>
      </w:tr>
    </w:tbl>
    <w:p w14:paraId="6E0CD664" w14:textId="77777777" w:rsidR="00F10E34" w:rsidRDefault="00F10E34">
      <w:pPr>
        <w:spacing w:after="120"/>
      </w:pPr>
    </w:p>
    <w:p w14:paraId="7D899AE8" w14:textId="77777777" w:rsidR="00F10E34" w:rsidRDefault="00000000">
      <w:r>
        <w:br w:type="page"/>
      </w:r>
    </w:p>
    <w:p w14:paraId="2308BBBB" w14:textId="29296050" w:rsidR="00F10E34" w:rsidRDefault="00892928">
      <w:pPr>
        <w:pStyle w:val="Heading2"/>
      </w:pPr>
      <w:r>
        <w:lastRenderedPageBreak/>
        <w:br/>
      </w:r>
      <w:r w:rsidR="00000000">
        <w:t xml:space="preserve">Agent 1 System Prompt </w:t>
      </w:r>
    </w:p>
    <w:p w14:paraId="2116BBBE" w14:textId="77777777" w:rsidR="00F10E34" w:rsidRDefault="00000000">
      <w:pPr>
        <w:pStyle w:val="Heading3"/>
      </w:pPr>
      <w:r>
        <w:t>Role Definition and Boundaries</w:t>
      </w:r>
    </w:p>
    <w:p w14:paraId="002D3474" w14:textId="77777777" w:rsidR="00F10E34" w:rsidRDefault="00000000">
      <w:pPr>
        <w:pBdr>
          <w:left w:val="single" w:sz="12" w:space="0" w:color="00A896"/>
        </w:pBdr>
        <w:spacing w:before="40" w:after="60" w:line="276" w:lineRule="auto"/>
        <w:ind w:left="400"/>
      </w:pPr>
      <w:r>
        <w:rPr>
          <w:i/>
          <w:iCs/>
          <w:color w:val="2D5D99"/>
          <w:sz w:val="18"/>
          <w:szCs w:val="18"/>
        </w:rPr>
        <w:t>"You are the intelligence synthesis agent inside a Signal to Speech pipeline operated by Consulting Point. [...] You do not write outreach. You evaluate and synthesise only."</w:t>
      </w:r>
    </w:p>
    <w:p w14:paraId="6142041B" w14:textId="2AEFC97F" w:rsidR="00F10E34" w:rsidRDefault="00000000">
      <w:pPr>
        <w:spacing w:before="40" w:after="80" w:line="300" w:lineRule="auto"/>
      </w:pPr>
      <w:r>
        <w:rPr>
          <w:b/>
          <w:bCs/>
          <w:color w:val="2D3748"/>
        </w:rPr>
        <w:t xml:space="preserve">Design reasoning: </w:t>
      </w:r>
      <w:r>
        <w:rPr>
          <w:color w:val="2D3748"/>
        </w:rPr>
        <w:t>The role boundary is the most important line in the prompt. Without it, Claude attempts to be helpful by writing draft content during the evaluation step, corrupting the structured JSON output. The explicit prohibition prevents this failure mode consistently.</w:t>
      </w:r>
    </w:p>
    <w:p w14:paraId="094F2703" w14:textId="77777777" w:rsidR="00F10E34" w:rsidRDefault="00000000">
      <w:pPr>
        <w:pStyle w:val="Heading3"/>
      </w:pPr>
      <w:r>
        <w:t>Consulting Point Context</w:t>
      </w:r>
    </w:p>
    <w:p w14:paraId="3C984F3E" w14:textId="77777777" w:rsidR="00F10E34" w:rsidRDefault="00000000">
      <w:pPr>
        <w:pBdr>
          <w:left w:val="single" w:sz="12" w:space="0" w:color="00A896"/>
        </w:pBdr>
        <w:spacing w:before="40" w:after="60" w:line="276" w:lineRule="auto"/>
        <w:ind w:left="400"/>
      </w:pPr>
      <w:r>
        <w:rPr>
          <w:i/>
          <w:iCs/>
          <w:color w:val="2D5D99"/>
          <w:sz w:val="18"/>
          <w:szCs w:val="18"/>
        </w:rPr>
        <w:t>"Consulting Point is a specialist management consulting recruitment firm founded in 2003 by former Big Four consultants [...] A strong capability match exists when a target firm shows evidence of a talent gap, growth pressure, or operational challenge that requires bringing in or retaining senior consulting professionals."</w:t>
      </w:r>
    </w:p>
    <w:p w14:paraId="3A24DD5B" w14:textId="77777777" w:rsidR="00F10E34" w:rsidRDefault="00000000">
      <w:pPr>
        <w:spacing w:before="40" w:after="80" w:line="300" w:lineRule="auto"/>
      </w:pPr>
      <w:r>
        <w:rPr>
          <w:b/>
          <w:bCs/>
          <w:color w:val="2D3748"/>
        </w:rPr>
        <w:t xml:space="preserve">Design reasoning: </w:t>
      </w:r>
      <w:r>
        <w:rPr>
          <w:color w:val="2D3748"/>
        </w:rPr>
        <w:t>Agent 1 cannot score Relevance without knowing what Consulting Point does and what a strong capability match looks like. This context block defines the evaluation standard for the Relevance filter. Without it, "relevance" is undefined and Agent 1 defaults to generic assessments.</w:t>
      </w:r>
    </w:p>
    <w:p w14:paraId="25256526" w14:textId="77777777" w:rsidR="00F10E34" w:rsidRDefault="00000000">
      <w:pPr>
        <w:pStyle w:val="Heading3"/>
      </w:pPr>
      <w:r>
        <w:t>Data Source Mapping</w:t>
      </w:r>
    </w:p>
    <w:p w14:paraId="26A628A4" w14:textId="77777777" w:rsidR="00F10E34" w:rsidRDefault="00000000">
      <w:pPr>
        <w:pBdr>
          <w:left w:val="single" w:sz="12" w:space="0" w:color="00A896"/>
        </w:pBdr>
        <w:spacing w:before="40" w:after="60" w:line="276" w:lineRule="auto"/>
        <w:ind w:left="400"/>
      </w:pPr>
      <w:r>
        <w:rPr>
          <w:i/>
          <w:iCs/>
          <w:color w:val="2D5D99"/>
          <w:sz w:val="18"/>
          <w:szCs w:val="18"/>
        </w:rPr>
        <w:t>"The Perplexity findings array contains macro-level commercial signals [...] Use this data to evaluate Relevance and Timing only. The Exa results array contains person-specific content [...] Use this data to evaluate Credibility only."</w:t>
      </w:r>
    </w:p>
    <w:p w14:paraId="4F71DA25" w14:textId="77777777" w:rsidR="00F10E34" w:rsidRDefault="00000000">
      <w:pPr>
        <w:spacing w:before="40" w:after="80" w:line="300" w:lineRule="auto"/>
      </w:pPr>
      <w:r>
        <w:rPr>
          <w:b/>
          <w:bCs/>
          <w:color w:val="2D3748"/>
        </w:rPr>
        <w:t xml:space="preserve">Design reasoning: </w:t>
      </w:r>
      <w:r>
        <w:rPr>
          <w:color w:val="2D3748"/>
        </w:rPr>
        <w:t xml:space="preserve">Without explicit data source mapping, Agent 1 may attempt to use a Perplexity market signal as a credibility </w:t>
      </w:r>
      <w:proofErr w:type="gramStart"/>
      <w:r>
        <w:rPr>
          <w:color w:val="2D3748"/>
        </w:rPr>
        <w:t>anchor, or</w:t>
      </w:r>
      <w:proofErr w:type="gramEnd"/>
      <w:r>
        <w:rPr>
          <w:color w:val="2D3748"/>
        </w:rPr>
        <w:t xml:space="preserve"> try to score timing using an Exa profile page. The mapping prevents category errors that produce factually incorrect evaluations — a market trend is not a credibility anchor regardless of how specific it is.</w:t>
      </w:r>
    </w:p>
    <w:p w14:paraId="3E34ACAF" w14:textId="77777777" w:rsidR="00F10E34" w:rsidRDefault="00000000">
      <w:pPr>
        <w:pStyle w:val="Heading3"/>
      </w:pPr>
      <w:r>
        <w:t>Recency Threshold</w:t>
      </w:r>
    </w:p>
    <w:p w14:paraId="05D194E3" w14:textId="77777777" w:rsidR="00F10E34" w:rsidRDefault="00000000">
      <w:pPr>
        <w:pBdr>
          <w:left w:val="single" w:sz="12" w:space="0" w:color="00A896"/>
        </w:pBdr>
        <w:spacing w:before="40" w:after="60" w:line="276" w:lineRule="auto"/>
        <w:ind w:left="400"/>
      </w:pPr>
      <w:r>
        <w:rPr>
          <w:i/>
          <w:iCs/>
          <w:color w:val="2D5D99"/>
          <w:sz w:val="18"/>
          <w:szCs w:val="18"/>
        </w:rPr>
        <w:t>"Treat a Perplexity finding as recent only if its publication date falls within the last 365 days from today. Never frame events older than 365 days as current or urgent. When Timing is PASS, the evidence field must include the specific publication date and named source."</w:t>
      </w:r>
    </w:p>
    <w:p w14:paraId="54497DBD" w14:textId="77777777" w:rsidR="00F10E34" w:rsidRDefault="00000000">
      <w:pPr>
        <w:spacing w:before="40" w:after="80" w:line="300" w:lineRule="auto"/>
      </w:pPr>
      <w:r>
        <w:rPr>
          <w:b/>
          <w:bCs/>
          <w:color w:val="2D3748"/>
        </w:rPr>
        <w:t xml:space="preserve">Design reasoning: </w:t>
      </w:r>
      <w:r>
        <w:rPr>
          <w:color w:val="2D3748"/>
        </w:rPr>
        <w:t>Claude's interpretation of "recent" without constraints can stretch to cover events several years old if they are the strongest available signal. The explicit threshold and mandatory date requirement in evidence prevent this. Prototype testing confirmed this was necessary — Agent 1 correctly failed Timing for one contact record when all Perplexity dates were ambiguous, despite strong Relevance and Credibility signals.</w:t>
      </w:r>
    </w:p>
    <w:p w14:paraId="4870B779" w14:textId="77777777" w:rsidR="00F10E34" w:rsidRDefault="00000000">
      <w:pPr>
        <w:pStyle w:val="Heading3"/>
      </w:pPr>
      <w:r>
        <w:t>False Positive Prevention</w:t>
      </w:r>
    </w:p>
    <w:p w14:paraId="273B742D" w14:textId="77777777" w:rsidR="00F10E34" w:rsidRDefault="00000000">
      <w:pPr>
        <w:pBdr>
          <w:left w:val="single" w:sz="12" w:space="0" w:color="00A896"/>
        </w:pBdr>
        <w:spacing w:before="40" w:after="60" w:line="276" w:lineRule="auto"/>
        <w:ind w:left="400"/>
      </w:pPr>
      <w:r>
        <w:rPr>
          <w:i/>
          <w:iCs/>
          <w:color w:val="2D5D99"/>
          <w:sz w:val="18"/>
          <w:szCs w:val="18"/>
        </w:rPr>
        <w:t>"Only treat an Exa result as being about the named contact if it explicitly names both their full name and their current firm, or if context makes the attribution completely unambiguous. [...] Never attribute quotes, projects, or opinions from one person to another even if they share a name or work in the same domain."</w:t>
      </w:r>
    </w:p>
    <w:p w14:paraId="2EE4A64F" w14:textId="77777777" w:rsidR="00F10E34" w:rsidRDefault="00000000">
      <w:pPr>
        <w:spacing w:before="40" w:after="80" w:line="300" w:lineRule="auto"/>
      </w:pPr>
      <w:r>
        <w:rPr>
          <w:b/>
          <w:bCs/>
          <w:color w:val="2D3748"/>
        </w:rPr>
        <w:t xml:space="preserve">Design reasoning: </w:t>
      </w:r>
      <w:r>
        <w:rPr>
          <w:color w:val="2D3748"/>
        </w:rPr>
        <w:t xml:space="preserve">Prototype testing with three contacts produced four Exa false positives for one record — results about other individuals returned for a Bain Private Equity Partner due to semantic similarity. This rule was added after observing those results. Agent 1 correctly identified and rejected all four false positives in subsequent runs, recording each rejection reason in </w:t>
      </w:r>
      <w:proofErr w:type="spellStart"/>
      <w:r>
        <w:rPr>
          <w:color w:val="2D3748"/>
        </w:rPr>
        <w:t>data_gaps</w:t>
      </w:r>
      <w:proofErr w:type="spellEnd"/>
      <w:r>
        <w:rPr>
          <w:color w:val="2D3748"/>
        </w:rPr>
        <w:t>.</w:t>
      </w:r>
    </w:p>
    <w:p w14:paraId="15DAF67E" w14:textId="77777777" w:rsidR="00F10E34" w:rsidRDefault="00000000">
      <w:pPr>
        <w:pStyle w:val="Heading3"/>
      </w:pPr>
      <w:r>
        <w:t>Conservative Defaults</w:t>
      </w:r>
    </w:p>
    <w:p w14:paraId="0C2EED55" w14:textId="77777777" w:rsidR="00F10E34" w:rsidRDefault="00000000">
      <w:pPr>
        <w:pBdr>
          <w:left w:val="single" w:sz="12" w:space="0" w:color="00A896"/>
        </w:pBdr>
        <w:spacing w:before="40" w:after="60" w:line="276" w:lineRule="auto"/>
        <w:ind w:left="400"/>
      </w:pPr>
      <w:r>
        <w:rPr>
          <w:i/>
          <w:iCs/>
          <w:color w:val="2D5D99"/>
          <w:sz w:val="18"/>
          <w:szCs w:val="18"/>
        </w:rPr>
        <w:t>"Default to conservative decisions. Treat ambiguity as do not proceed. Timing FAIL unless clear evidence of recency and pressure. Credibility FAIL unless Exa content is unambiguous."</w:t>
      </w:r>
    </w:p>
    <w:p w14:paraId="7F539A23" w14:textId="77777777" w:rsidR="00F10E34" w:rsidRDefault="00000000">
      <w:pPr>
        <w:spacing w:before="40" w:after="80" w:line="300" w:lineRule="auto"/>
      </w:pPr>
      <w:r>
        <w:rPr>
          <w:b/>
          <w:bCs/>
          <w:color w:val="2D3748"/>
        </w:rPr>
        <w:t xml:space="preserve">Design reasoning: </w:t>
      </w:r>
      <w:r>
        <w:rPr>
          <w:color w:val="2D3748"/>
        </w:rPr>
        <w:t>Conservative defaults mean the pipeline treats uncertainty as a reason to route to manual review, not a reason to proceed. The cost of a missed outreach is an opportunity not taken. The cost of a credibility-damaging email is a relationship permanently damaged. The asymmetry justifies conservative defaults.</w:t>
      </w:r>
    </w:p>
    <w:p w14:paraId="454D1CC3" w14:textId="77777777" w:rsidR="00F10E34" w:rsidRDefault="00F10E34">
      <w:pPr>
        <w:spacing w:after="40"/>
      </w:pPr>
    </w:p>
    <w:p w14:paraId="3A553BD5" w14:textId="4C11CABA" w:rsidR="00F10E34" w:rsidRDefault="008C068A">
      <w:pPr>
        <w:pStyle w:val="Heading3"/>
      </w:pPr>
      <w:r>
        <w:lastRenderedPageBreak/>
        <w:br/>
        <w:t>Verdict Strings Not Booleans</w:t>
      </w:r>
    </w:p>
    <w:p w14:paraId="72E52FCB" w14:textId="77777777" w:rsidR="00F10E34" w:rsidRDefault="00000000">
      <w:pPr>
        <w:pBdr>
          <w:left w:val="single" w:sz="12" w:space="0" w:color="00A896"/>
        </w:pBdr>
        <w:spacing w:before="40" w:after="60" w:line="276" w:lineRule="auto"/>
        <w:ind w:left="400"/>
      </w:pPr>
      <w:r>
        <w:rPr>
          <w:i/>
          <w:iCs/>
          <w:color w:val="2D5D99"/>
          <w:sz w:val="18"/>
          <w:szCs w:val="18"/>
        </w:rPr>
        <w:t>"</w:t>
      </w:r>
      <w:proofErr w:type="gramStart"/>
      <w:r>
        <w:rPr>
          <w:i/>
          <w:iCs/>
          <w:color w:val="2D5D99"/>
          <w:sz w:val="18"/>
          <w:szCs w:val="18"/>
        </w:rPr>
        <w:t>verdict</w:t>
      </w:r>
      <w:proofErr w:type="gramEnd"/>
      <w:r>
        <w:rPr>
          <w:i/>
          <w:iCs/>
          <w:color w:val="2D5D99"/>
          <w:sz w:val="18"/>
          <w:szCs w:val="18"/>
        </w:rPr>
        <w:t xml:space="preserve"> must be the string PASS or FAIL. Do not use </w:t>
      </w:r>
      <w:proofErr w:type="spellStart"/>
      <w:r>
        <w:rPr>
          <w:i/>
          <w:iCs/>
          <w:color w:val="2D5D99"/>
          <w:sz w:val="18"/>
          <w:szCs w:val="18"/>
        </w:rPr>
        <w:t>boolean</w:t>
      </w:r>
      <w:proofErr w:type="spellEnd"/>
      <w:r>
        <w:rPr>
          <w:i/>
          <w:iCs/>
          <w:color w:val="2D5D99"/>
          <w:sz w:val="18"/>
          <w:szCs w:val="18"/>
        </w:rPr>
        <w:t xml:space="preserve"> true or false."</w:t>
      </w:r>
    </w:p>
    <w:p w14:paraId="5D6781A5" w14:textId="77777777" w:rsidR="00F10E34" w:rsidRDefault="00000000">
      <w:pPr>
        <w:spacing w:before="40" w:after="80" w:line="300" w:lineRule="auto"/>
      </w:pPr>
      <w:r>
        <w:rPr>
          <w:b/>
          <w:bCs/>
          <w:color w:val="2D3748"/>
        </w:rPr>
        <w:t xml:space="preserve">Design reasoning: </w:t>
      </w:r>
      <w:r>
        <w:rPr>
          <w:color w:val="2D3748"/>
        </w:rPr>
        <w:t xml:space="preserve">Boolean values from Claude's JSON output cannot be reliably evaluated in </w:t>
      </w:r>
      <w:proofErr w:type="spellStart"/>
      <w:r>
        <w:rPr>
          <w:color w:val="2D3748"/>
        </w:rPr>
        <w:t>Make.com's</w:t>
      </w:r>
      <w:proofErr w:type="spellEnd"/>
      <w:r>
        <w:rPr>
          <w:color w:val="2D3748"/>
        </w:rPr>
        <w:t xml:space="preserve"> conditional logic modules. This was discovered during build when filter results correctly showed in the Parse JSON module but failed to populate Google Sheets columns despite correct </w:t>
      </w:r>
      <w:proofErr w:type="spellStart"/>
      <w:r>
        <w:rPr>
          <w:color w:val="2D3748"/>
        </w:rPr>
        <w:t>boolean</w:t>
      </w:r>
      <w:proofErr w:type="spellEnd"/>
      <w:r>
        <w:rPr>
          <w:color w:val="2D3748"/>
        </w:rPr>
        <w:t xml:space="preserve"> values. Changing to string verdicts resolved this permanently.</w:t>
      </w:r>
    </w:p>
    <w:p w14:paraId="66E57D5E" w14:textId="77777777" w:rsidR="00F10E34" w:rsidRDefault="00F10E34">
      <w:pPr>
        <w:spacing w:after="40"/>
      </w:pPr>
    </w:p>
    <w:p w14:paraId="0D07649B" w14:textId="77777777" w:rsidR="00F10E34" w:rsidRDefault="00000000">
      <w:r>
        <w:br w:type="page"/>
      </w:r>
    </w:p>
    <w:p w14:paraId="6FAB3F89" w14:textId="36374701" w:rsidR="00F10E34" w:rsidRDefault="008C068A">
      <w:pPr>
        <w:pStyle w:val="Heading2"/>
      </w:pPr>
      <w:r>
        <w:lastRenderedPageBreak/>
        <w:br/>
        <w:t>Agent 2 System Prompt — Annotated Design</w:t>
      </w:r>
    </w:p>
    <w:p w14:paraId="17B15193" w14:textId="77777777" w:rsidR="00F10E34" w:rsidRDefault="00000000">
      <w:pPr>
        <w:pStyle w:val="Heading3"/>
      </w:pPr>
      <w:r>
        <w:t>Role Separation</w:t>
      </w:r>
    </w:p>
    <w:p w14:paraId="08932FF9" w14:textId="77777777" w:rsidR="00F10E34" w:rsidRDefault="00000000">
      <w:pPr>
        <w:pBdr>
          <w:left w:val="single" w:sz="12" w:space="0" w:color="6B48CC"/>
        </w:pBdr>
        <w:spacing w:before="40" w:after="60" w:line="276" w:lineRule="auto"/>
        <w:ind w:left="400"/>
      </w:pPr>
      <w:r>
        <w:rPr>
          <w:i/>
          <w:iCs/>
          <w:color w:val="2D5D99"/>
          <w:sz w:val="18"/>
          <w:szCs w:val="18"/>
        </w:rPr>
        <w:t xml:space="preserve">"You receive structured synthesis output from Agent 1. Your job is to convert that synthesis into a tailored outreach email draft. [...] You write. You do not re-evaluate the data, add context </w:t>
      </w:r>
      <w:proofErr w:type="gramStart"/>
      <w:r>
        <w:rPr>
          <w:i/>
          <w:iCs/>
          <w:color w:val="2D5D99"/>
          <w:sz w:val="18"/>
          <w:szCs w:val="18"/>
        </w:rPr>
        <w:t>not present</w:t>
      </w:r>
      <w:proofErr w:type="gramEnd"/>
      <w:r>
        <w:rPr>
          <w:i/>
          <w:iCs/>
          <w:color w:val="2D5D99"/>
          <w:sz w:val="18"/>
          <w:szCs w:val="18"/>
        </w:rPr>
        <w:t xml:space="preserve"> in Agent 1's output, or make judgements about fit."</w:t>
      </w:r>
    </w:p>
    <w:p w14:paraId="11A42672" w14:textId="77777777" w:rsidR="00F10E34" w:rsidRDefault="00000000">
      <w:pPr>
        <w:spacing w:before="40" w:after="80" w:line="300" w:lineRule="auto"/>
      </w:pPr>
      <w:r>
        <w:rPr>
          <w:b/>
          <w:bCs/>
          <w:color w:val="2D3748"/>
        </w:rPr>
        <w:t xml:space="preserve">Design reasoning: </w:t>
      </w:r>
      <w:r>
        <w:rPr>
          <w:color w:val="2D3748"/>
        </w:rPr>
        <w:t>Without an explicit prohibition on re-evaluation, Claude sometimes attempts to second-guess Agent 1's synthesis, adding qualifications or modifying the commercial framing based on its own assessment. The role separation prevents this. Agent 2 executes from a brief — it does not revise it. This maintains the integrity of Agent 1's evaluation as the authoritative assessment.</w:t>
      </w:r>
    </w:p>
    <w:p w14:paraId="46D9A0E5" w14:textId="77777777" w:rsidR="00F10E34" w:rsidRDefault="00000000">
      <w:pPr>
        <w:pStyle w:val="Heading3"/>
      </w:pPr>
      <w:r>
        <w:t>Input Field Mapping Table</w:t>
      </w:r>
    </w:p>
    <w:p w14:paraId="25FE403E" w14:textId="77777777" w:rsidR="00F10E34" w:rsidRDefault="00000000">
      <w:pPr>
        <w:pBdr>
          <w:left w:val="single" w:sz="12" w:space="0" w:color="6B48CC"/>
        </w:pBdr>
        <w:spacing w:before="40" w:after="60" w:line="276" w:lineRule="auto"/>
        <w:ind w:left="400"/>
      </w:pPr>
      <w:r>
        <w:rPr>
          <w:i/>
          <w:iCs/>
          <w:color w:val="2D5D99"/>
          <w:sz w:val="18"/>
          <w:szCs w:val="18"/>
        </w:rPr>
        <w:t xml:space="preserve">"Use each Agent 1 field as follows. Do not use a field for a purpose not listed here. [Table: </w:t>
      </w:r>
      <w:proofErr w:type="spellStart"/>
      <w:r>
        <w:rPr>
          <w:i/>
          <w:iCs/>
          <w:color w:val="2D5D99"/>
          <w:sz w:val="18"/>
          <w:szCs w:val="18"/>
        </w:rPr>
        <w:t>resonance_profile</w:t>
      </w:r>
      <w:proofErr w:type="spellEnd"/>
      <w:r>
        <w:rPr>
          <w:i/>
          <w:iCs/>
          <w:color w:val="2D5D99"/>
          <w:sz w:val="18"/>
          <w:szCs w:val="18"/>
        </w:rPr>
        <w:t xml:space="preserve"> → hook anchor, </w:t>
      </w:r>
      <w:proofErr w:type="spellStart"/>
      <w:r>
        <w:rPr>
          <w:i/>
          <w:iCs/>
          <w:color w:val="2D5D99"/>
          <w:sz w:val="18"/>
          <w:szCs w:val="18"/>
        </w:rPr>
        <w:t>trigger_event</w:t>
      </w:r>
      <w:proofErr w:type="spellEnd"/>
      <w:r>
        <w:rPr>
          <w:i/>
          <w:iCs/>
          <w:color w:val="2D5D99"/>
          <w:sz w:val="18"/>
          <w:szCs w:val="18"/>
        </w:rPr>
        <w:t xml:space="preserve"> → commercial context, </w:t>
      </w:r>
      <w:proofErr w:type="spellStart"/>
      <w:r>
        <w:rPr>
          <w:i/>
          <w:iCs/>
          <w:color w:val="2D5D99"/>
          <w:sz w:val="18"/>
          <w:szCs w:val="18"/>
        </w:rPr>
        <w:t>data_gaps</w:t>
      </w:r>
      <w:proofErr w:type="spellEnd"/>
      <w:r>
        <w:rPr>
          <w:i/>
          <w:iCs/>
          <w:color w:val="2D5D99"/>
          <w:sz w:val="18"/>
          <w:szCs w:val="18"/>
        </w:rPr>
        <w:t xml:space="preserve"> → off-limits list, etc.]"</w:t>
      </w:r>
    </w:p>
    <w:p w14:paraId="25F35634" w14:textId="77777777" w:rsidR="00F10E34" w:rsidRDefault="00000000">
      <w:pPr>
        <w:spacing w:before="40" w:after="80" w:line="300" w:lineRule="auto"/>
      </w:pPr>
      <w:r>
        <w:rPr>
          <w:b/>
          <w:bCs/>
          <w:color w:val="2D3748"/>
        </w:rPr>
        <w:t xml:space="preserve">Design reasoning: </w:t>
      </w:r>
      <w:r>
        <w:rPr>
          <w:color w:val="2D3748"/>
        </w:rPr>
        <w:t xml:space="preserve">An explicit field-to-purpose mapping table prevents two failure modes: using the wrong field for the hook (leading with a market signal when a specific personal detail is available), and referencing topics listed in </w:t>
      </w:r>
      <w:proofErr w:type="spellStart"/>
      <w:r>
        <w:rPr>
          <w:color w:val="2D3748"/>
        </w:rPr>
        <w:t>data_gaps</w:t>
      </w:r>
      <w:proofErr w:type="spellEnd"/>
      <w:r>
        <w:rPr>
          <w:color w:val="2D3748"/>
        </w:rPr>
        <w:t xml:space="preserve"> that Agent 1 flagged as uncertain or rejected. Making </w:t>
      </w:r>
      <w:proofErr w:type="gramStart"/>
      <w:r>
        <w:rPr>
          <w:color w:val="2D3748"/>
        </w:rPr>
        <w:t>both of these</w:t>
      </w:r>
      <w:proofErr w:type="gramEnd"/>
      <w:r>
        <w:rPr>
          <w:color w:val="2D3748"/>
        </w:rPr>
        <w:t xml:space="preserve"> explicit violations rather than ambiguities produces consistent output.</w:t>
      </w:r>
    </w:p>
    <w:p w14:paraId="1B6DD590" w14:textId="77777777" w:rsidR="00F10E34" w:rsidRDefault="00000000">
      <w:pPr>
        <w:pStyle w:val="Heading3"/>
      </w:pPr>
      <w:r>
        <w:t>Emotional Target Definition</w:t>
      </w:r>
    </w:p>
    <w:p w14:paraId="5FA6A318" w14:textId="77777777" w:rsidR="00F10E34" w:rsidRDefault="00000000">
      <w:pPr>
        <w:pBdr>
          <w:left w:val="single" w:sz="12" w:space="0" w:color="6B48CC"/>
        </w:pBdr>
        <w:spacing w:before="40" w:after="60" w:line="276" w:lineRule="auto"/>
        <w:ind w:left="400"/>
      </w:pPr>
      <w:r>
        <w:rPr>
          <w:i/>
          <w:iCs/>
          <w:color w:val="2D5D99"/>
          <w:sz w:val="18"/>
          <w:szCs w:val="18"/>
        </w:rPr>
        <w:t xml:space="preserve">"The recipient should read this and think: How did they know? </w:t>
      </w:r>
      <w:proofErr w:type="spellStart"/>
      <w:r>
        <w:rPr>
          <w:i/>
          <w:iCs/>
          <w:color w:val="2D5D99"/>
          <w:sz w:val="18"/>
          <w:szCs w:val="18"/>
        </w:rPr>
        <w:t>Not</w:t>
      </w:r>
      <w:proofErr w:type="spellEnd"/>
      <w:r>
        <w:rPr>
          <w:i/>
          <w:iCs/>
          <w:color w:val="2D5D99"/>
          <w:sz w:val="18"/>
          <w:szCs w:val="18"/>
        </w:rPr>
        <w:t>: This is well researched. The distinction matters. Research feels like effort directed at them. The emotional target is inevitability — the right message, at the right moment, about the right thing."</w:t>
      </w:r>
    </w:p>
    <w:p w14:paraId="16CBBFE4" w14:textId="77777777" w:rsidR="00F10E34" w:rsidRDefault="00000000">
      <w:pPr>
        <w:spacing w:before="40" w:after="80" w:line="300" w:lineRule="auto"/>
      </w:pPr>
      <w:r>
        <w:rPr>
          <w:b/>
          <w:bCs/>
          <w:color w:val="2D3748"/>
        </w:rPr>
        <w:t xml:space="preserve">Design reasoning: </w:t>
      </w:r>
      <w:r>
        <w:rPr>
          <w:color w:val="2D3748"/>
        </w:rPr>
        <w:t>Writing toward a feeling rather than a deliverable produces different output. The inevitability framing instructs Agent 2 to combine the trigger event and resonance profile in a way that makes their conjunction feel non-coincidental. The test is: does this email feel like it could have been written for someone else, or does it feel like it could only have been written for this person?</w:t>
      </w:r>
    </w:p>
    <w:p w14:paraId="42938492" w14:textId="77777777" w:rsidR="00F10E34" w:rsidRDefault="00000000">
      <w:pPr>
        <w:pStyle w:val="Heading3"/>
      </w:pPr>
      <w:r>
        <w:t>The Bridge Mechanism with Exemplar</w:t>
      </w:r>
    </w:p>
    <w:p w14:paraId="30519FD2" w14:textId="77777777" w:rsidR="00F10E34" w:rsidRDefault="00000000">
      <w:pPr>
        <w:pBdr>
          <w:left w:val="single" w:sz="12" w:space="0" w:color="6B48CC"/>
        </w:pBdr>
        <w:spacing w:before="40" w:after="60" w:line="276" w:lineRule="auto"/>
        <w:ind w:left="400"/>
      </w:pPr>
      <w:r>
        <w:rPr>
          <w:i/>
          <w:iCs/>
          <w:color w:val="2D5D99"/>
          <w:sz w:val="18"/>
          <w:szCs w:val="18"/>
        </w:rPr>
        <w:t>"We've been watching how firms across the GCC are navigating this — specifically the point at which demand for senior digital capability begins to outpace what is available locally. The firms we work with are increasingly treating this as a strategic timing question rather than a reactive one." [Structural example only — content must come from live data]</w:t>
      </w:r>
    </w:p>
    <w:p w14:paraId="466CF968" w14:textId="77777777" w:rsidR="00F10E34" w:rsidRDefault="00000000">
      <w:pPr>
        <w:spacing w:before="40" w:after="80" w:line="300" w:lineRule="auto"/>
      </w:pPr>
      <w:r>
        <w:rPr>
          <w:b/>
          <w:bCs/>
          <w:color w:val="2D3748"/>
        </w:rPr>
        <w:t xml:space="preserve">Design reasoning: </w:t>
      </w:r>
      <w:r>
        <w:rPr>
          <w:color w:val="2D3748"/>
        </w:rPr>
        <w:t xml:space="preserve">The bridge example sets the register without prescribing the content. Three specific mechanisms are annotated for Agent 2: "We've been watching" positions CP as an observer with accumulated intelligence. "The firms we work with" implies embedded senior relationships without advertising them. "Strategic timing question rather than reactive" reframes the problem in Partner-level language. Agent 2 is instructed to replicate the mechanism using live </w:t>
      </w:r>
      <w:proofErr w:type="spellStart"/>
      <w:r>
        <w:rPr>
          <w:color w:val="2D3748"/>
        </w:rPr>
        <w:t>trigger_event</w:t>
      </w:r>
      <w:proofErr w:type="spellEnd"/>
      <w:r>
        <w:rPr>
          <w:color w:val="2D3748"/>
        </w:rPr>
        <w:t xml:space="preserve"> and </w:t>
      </w:r>
      <w:proofErr w:type="spellStart"/>
      <w:r>
        <w:rPr>
          <w:color w:val="2D3748"/>
        </w:rPr>
        <w:t>motivation_match</w:t>
      </w:r>
      <w:proofErr w:type="spellEnd"/>
      <w:r>
        <w:rPr>
          <w:color w:val="2D3748"/>
        </w:rPr>
        <w:t xml:space="preserve"> fields — not to copy the text. The annotation prevents cargo-cult copying while establishing a clear quality standard.</w:t>
      </w:r>
    </w:p>
    <w:p w14:paraId="30ED753D" w14:textId="77777777" w:rsidR="00F10E34" w:rsidRDefault="00000000">
      <w:pPr>
        <w:pStyle w:val="Heading3"/>
      </w:pPr>
      <w:r>
        <w:t>Banned Phrases</w:t>
      </w:r>
    </w:p>
    <w:p w14:paraId="20B78239" w14:textId="77777777" w:rsidR="00F10E34" w:rsidRDefault="00000000">
      <w:pPr>
        <w:pBdr>
          <w:left w:val="single" w:sz="12" w:space="0" w:color="6B48CC"/>
        </w:pBdr>
        <w:spacing w:before="40" w:after="60" w:line="276" w:lineRule="auto"/>
        <w:ind w:left="400"/>
      </w:pPr>
      <w:r>
        <w:rPr>
          <w:i/>
          <w:iCs/>
          <w:color w:val="2D5D99"/>
          <w:sz w:val="18"/>
          <w:szCs w:val="18"/>
        </w:rPr>
        <w:t xml:space="preserve">"Do not </w:t>
      </w:r>
      <w:proofErr w:type="gramStart"/>
      <w:r>
        <w:rPr>
          <w:i/>
          <w:iCs/>
          <w:color w:val="2D5D99"/>
          <w:sz w:val="18"/>
          <w:szCs w:val="18"/>
        </w:rPr>
        <w:t>use:</w:t>
      </w:r>
      <w:proofErr w:type="gramEnd"/>
      <w:r>
        <w:rPr>
          <w:i/>
          <w:iCs/>
          <w:color w:val="2D5D99"/>
          <w:sz w:val="18"/>
          <w:szCs w:val="18"/>
        </w:rPr>
        <w:t xml:space="preserve"> I hope this finds you well / I came across your profile / I wanted to reach out / Exciting / Leverage (as a verb) / Touch base / Given the current climate / I'd love to / Quick question"</w:t>
      </w:r>
    </w:p>
    <w:p w14:paraId="3B0B8F1D" w14:textId="77777777" w:rsidR="00F10E34" w:rsidRDefault="00000000">
      <w:pPr>
        <w:spacing w:before="40" w:after="80" w:line="300" w:lineRule="auto"/>
      </w:pPr>
      <w:r>
        <w:rPr>
          <w:b/>
          <w:bCs/>
          <w:color w:val="2D3748"/>
        </w:rPr>
        <w:t xml:space="preserve">Design reasoning: </w:t>
      </w:r>
      <w:r>
        <w:rPr>
          <w:color w:val="2D3748"/>
        </w:rPr>
        <w:t>Banning specific phrases is more reliable than instructing Claude to "write at peer level." Abstract quality instructions are interpreted variably. A banned phrase list produces testable compliance — if one of these phrases appears in the output, the prompt has failed and the output should be regenerated. The list targets the most common signals of templated, low-quality professional outreach that Senior Partners instantly recognise and dismiss.</w:t>
      </w:r>
    </w:p>
    <w:p w14:paraId="457E0D2C" w14:textId="77777777" w:rsidR="00F10E34" w:rsidRDefault="00F10E34">
      <w:pPr>
        <w:spacing w:after="40"/>
      </w:pPr>
    </w:p>
    <w:p w14:paraId="0FCC2F53" w14:textId="0BA5F20B" w:rsidR="00F10E34" w:rsidRDefault="008C068A">
      <w:pPr>
        <w:pStyle w:val="Heading3"/>
      </w:pPr>
      <w:r>
        <w:lastRenderedPageBreak/>
        <w:br/>
      </w:r>
      <w:r>
        <w:br/>
      </w:r>
      <w:r>
        <w:br/>
        <w:t>The Deliberate Network Gap</w:t>
      </w:r>
    </w:p>
    <w:p w14:paraId="27402A91" w14:textId="77777777" w:rsidR="00F10E34" w:rsidRDefault="00000000">
      <w:pPr>
        <w:pBdr>
          <w:left w:val="single" w:sz="12" w:space="0" w:color="6B48CC"/>
        </w:pBdr>
        <w:spacing w:before="40" w:after="60" w:line="276" w:lineRule="auto"/>
        <w:ind w:left="400"/>
      </w:pPr>
      <w:r>
        <w:rPr>
          <w:i/>
          <w:iCs/>
          <w:color w:val="2D5D99"/>
          <w:sz w:val="18"/>
          <w:szCs w:val="18"/>
        </w:rPr>
        <w:t>"[INSERT YOUR NETWORK CONNECTION HERE] — Do not fill this in. Do not suggest what it might be. Do not write around it or create transitional sentences that make its absence invisible. Leave it exactly as labelled on its own line."</w:t>
      </w:r>
    </w:p>
    <w:p w14:paraId="63ADC4FB" w14:textId="77777777" w:rsidR="00F10E34" w:rsidRDefault="00000000">
      <w:pPr>
        <w:spacing w:before="40" w:after="80" w:line="300" w:lineRule="auto"/>
      </w:pPr>
      <w:r>
        <w:rPr>
          <w:b/>
          <w:bCs/>
          <w:color w:val="2D3748"/>
        </w:rPr>
        <w:t xml:space="preserve">Design reasoning: </w:t>
      </w:r>
      <w:r>
        <w:rPr>
          <w:color w:val="2D3748"/>
        </w:rPr>
        <w:t>The network connection is the 15% that only the consultant can provide. Making it a clearly labelled placeholder rather than an omission signals intentional architecture — the pipeline has done what it can, and this step requires human judgment and relationship context. The prohibition on transitional sentences that soften the gap prevents the consultant from skipping this step under the impression the email reads fine without it.</w:t>
      </w:r>
    </w:p>
    <w:p w14:paraId="44D0A419" w14:textId="039154CC" w:rsidR="00F10E34" w:rsidRDefault="008C068A">
      <w:pPr>
        <w:pStyle w:val="Heading3"/>
      </w:pPr>
      <w:r>
        <w:t>“I” versus “We” Distinction</w:t>
      </w:r>
    </w:p>
    <w:p w14:paraId="13343CBC" w14:textId="77777777" w:rsidR="00F10E34" w:rsidRDefault="00000000">
      <w:pPr>
        <w:pBdr>
          <w:left w:val="single" w:sz="12" w:space="0" w:color="6B48CC"/>
        </w:pBdr>
        <w:spacing w:before="40" w:after="60" w:line="276" w:lineRule="auto"/>
        <w:ind w:left="400"/>
      </w:pPr>
      <w:r>
        <w:rPr>
          <w:i/>
          <w:iCs/>
          <w:color w:val="2D5D99"/>
          <w:sz w:val="18"/>
          <w:szCs w:val="18"/>
        </w:rPr>
        <w:t>"Use 'I' for personal statements and actions. Use 'we' when referencing Consulting Point's collective market intelligence, observations, and client relationships."</w:t>
      </w:r>
    </w:p>
    <w:p w14:paraId="560AB01E" w14:textId="77777777" w:rsidR="00F10E34" w:rsidRDefault="00000000">
      <w:pPr>
        <w:spacing w:before="40" w:after="80" w:line="300" w:lineRule="auto"/>
      </w:pPr>
      <w:r>
        <w:rPr>
          <w:b/>
          <w:bCs/>
          <w:color w:val="2D3748"/>
        </w:rPr>
        <w:t xml:space="preserve">Design reasoning: </w:t>
      </w:r>
      <w:r>
        <w:rPr>
          <w:color w:val="2D3748"/>
        </w:rPr>
        <w:t>The consultant sends this email as an individual, so personal statements use "I." But Consulting Point's intelligence positioning — "we've been watching," "the firms we work with" — uses "we" because it references the firm's accumulated knowledge and embedded relationships, not the individual consultant's personal observations. Conflating the two produces incoherent voice.</w:t>
      </w:r>
    </w:p>
    <w:p w14:paraId="73135519" w14:textId="77777777" w:rsidR="00F10E34" w:rsidRDefault="00F10E34">
      <w:pPr>
        <w:spacing w:after="40"/>
      </w:pPr>
    </w:p>
    <w:p w14:paraId="7611724D" w14:textId="77777777" w:rsidR="00F10E34" w:rsidRDefault="00000000">
      <w:pPr>
        <w:pStyle w:val="Heading2"/>
      </w:pPr>
      <w:r>
        <w:t>User Prompt Template — Both Agents</w:t>
      </w:r>
    </w:p>
    <w:p w14:paraId="165AE09F" w14:textId="77777777" w:rsidR="00F10E34" w:rsidRDefault="00000000">
      <w:pPr>
        <w:spacing w:before="40" w:after="80" w:line="300" w:lineRule="auto"/>
      </w:pPr>
      <w:r>
        <w:rPr>
          <w:color w:val="2D3748"/>
        </w:rPr>
        <w:t>The user prompt is assembled dynamically by Make.com from webhook variables for each record. It provides the per-contact data that the system prompt's logic operates on.</w:t>
      </w:r>
    </w:p>
    <w:p w14:paraId="3767F5C6" w14:textId="779F52C5" w:rsidR="00F10E34" w:rsidRDefault="00000000">
      <w:pPr>
        <w:pStyle w:val="Heading3"/>
      </w:pPr>
      <w:r>
        <w:t>Agent 1 User Prompt Structure</w:t>
      </w:r>
      <w:r w:rsidR="008C068A">
        <w:br/>
      </w:r>
    </w:p>
    <w:p w14:paraId="2A4C87BF" w14:textId="77777777" w:rsidR="00F10E34" w:rsidRDefault="00000000">
      <w:pPr>
        <w:pBdr>
          <w:left w:val="single" w:sz="8" w:space="0" w:color="E2E6EE"/>
        </w:pBdr>
        <w:shd w:val="clear" w:color="auto" w:fill="F4F6F9"/>
        <w:spacing w:before="40" w:after="80"/>
        <w:ind w:left="240" w:right="240"/>
      </w:pPr>
      <w:r>
        <w:rPr>
          <w:rFonts w:ascii="Courier New" w:eastAsia="Courier New" w:hAnsi="Courier New" w:cs="Courier New"/>
          <w:color w:val="2D3748"/>
          <w:sz w:val="18"/>
          <w:szCs w:val="18"/>
        </w:rPr>
        <w:t xml:space="preserve">Evaluate the following record. </w:t>
      </w:r>
      <w:r>
        <w:rPr>
          <w:rFonts w:ascii="Courier New" w:eastAsia="Courier New" w:hAnsi="Courier New" w:cs="Courier New"/>
          <w:color w:val="2D3748"/>
          <w:sz w:val="18"/>
          <w:szCs w:val="18"/>
        </w:rPr>
        <w:br/>
        <w:t>Contact: [</w:t>
      </w:r>
      <w:proofErr w:type="spellStart"/>
      <w:r>
        <w:rPr>
          <w:rFonts w:ascii="Courier New" w:eastAsia="Courier New" w:hAnsi="Courier New" w:cs="Courier New"/>
          <w:color w:val="2D3748"/>
          <w:sz w:val="18"/>
          <w:szCs w:val="18"/>
        </w:rPr>
        <w:t>contact_name</w:t>
      </w:r>
      <w:proofErr w:type="spellEnd"/>
      <w:r>
        <w:rPr>
          <w:rFonts w:ascii="Courier New" w:eastAsia="Courier New" w:hAnsi="Courier New" w:cs="Courier New"/>
          <w:color w:val="2D3748"/>
          <w:sz w:val="18"/>
          <w:szCs w:val="18"/>
        </w:rPr>
        <w:t>], [</w:t>
      </w:r>
      <w:proofErr w:type="spellStart"/>
      <w:r>
        <w:rPr>
          <w:rFonts w:ascii="Courier New" w:eastAsia="Courier New" w:hAnsi="Courier New" w:cs="Courier New"/>
          <w:color w:val="2D3748"/>
          <w:sz w:val="18"/>
          <w:szCs w:val="18"/>
        </w:rPr>
        <w:t>job_title</w:t>
      </w:r>
      <w:proofErr w:type="spellEnd"/>
      <w:r>
        <w:rPr>
          <w:rFonts w:ascii="Courier New" w:eastAsia="Courier New" w:hAnsi="Courier New" w:cs="Courier New"/>
          <w:color w:val="2D3748"/>
          <w:sz w:val="18"/>
          <w:szCs w:val="18"/>
        </w:rPr>
        <w:t>] at [</w:t>
      </w:r>
      <w:proofErr w:type="spellStart"/>
      <w:r>
        <w:rPr>
          <w:rFonts w:ascii="Courier New" w:eastAsia="Courier New" w:hAnsi="Courier New" w:cs="Courier New"/>
          <w:color w:val="2D3748"/>
          <w:sz w:val="18"/>
          <w:szCs w:val="18"/>
        </w:rPr>
        <w:t>company_name</w:t>
      </w:r>
      <w:proofErr w:type="spellEnd"/>
      <w:r>
        <w:rPr>
          <w:rFonts w:ascii="Courier New" w:eastAsia="Courier New" w:hAnsi="Courier New" w:cs="Courier New"/>
          <w:color w:val="2D3748"/>
          <w:sz w:val="18"/>
          <w:szCs w:val="18"/>
        </w:rPr>
        <w:t xml:space="preserve">] </w:t>
      </w:r>
      <w:r>
        <w:rPr>
          <w:rFonts w:ascii="Courier New" w:eastAsia="Courier New" w:hAnsi="Courier New" w:cs="Courier New"/>
          <w:color w:val="2D3748"/>
          <w:sz w:val="18"/>
          <w:szCs w:val="18"/>
        </w:rPr>
        <w:br/>
        <w:t>Seniority: [</w:t>
      </w:r>
      <w:proofErr w:type="spellStart"/>
      <w:r>
        <w:rPr>
          <w:rFonts w:ascii="Courier New" w:eastAsia="Courier New" w:hAnsi="Courier New" w:cs="Courier New"/>
          <w:color w:val="2D3748"/>
          <w:sz w:val="18"/>
          <w:szCs w:val="18"/>
        </w:rPr>
        <w:t>seniority_level</w:t>
      </w:r>
      <w:proofErr w:type="spellEnd"/>
      <w:r>
        <w:rPr>
          <w:rFonts w:ascii="Courier New" w:eastAsia="Courier New" w:hAnsi="Courier New" w:cs="Courier New"/>
          <w:color w:val="2D3748"/>
          <w:sz w:val="18"/>
          <w:szCs w:val="18"/>
        </w:rPr>
        <w:t xml:space="preserve">] </w:t>
      </w:r>
      <w:r>
        <w:rPr>
          <w:rFonts w:ascii="Courier New" w:eastAsia="Courier New" w:hAnsi="Courier New" w:cs="Courier New"/>
          <w:color w:val="2D3748"/>
          <w:sz w:val="18"/>
          <w:szCs w:val="18"/>
        </w:rPr>
        <w:br/>
        <w:t>Practice focus: [</w:t>
      </w:r>
      <w:proofErr w:type="spellStart"/>
      <w:r>
        <w:rPr>
          <w:rFonts w:ascii="Courier New" w:eastAsia="Courier New" w:hAnsi="Courier New" w:cs="Courier New"/>
          <w:color w:val="2D3748"/>
          <w:sz w:val="18"/>
          <w:szCs w:val="18"/>
        </w:rPr>
        <w:t>sub_sector</w:t>
      </w:r>
      <w:proofErr w:type="spellEnd"/>
      <w:r>
        <w:rPr>
          <w:rFonts w:ascii="Courier New" w:eastAsia="Courier New" w:hAnsi="Courier New" w:cs="Courier New"/>
          <w:color w:val="2D3748"/>
          <w:sz w:val="18"/>
          <w:szCs w:val="18"/>
        </w:rPr>
        <w:t xml:space="preserve">] </w:t>
      </w:r>
      <w:r>
        <w:rPr>
          <w:rFonts w:ascii="Courier New" w:eastAsia="Courier New" w:hAnsi="Courier New" w:cs="Courier New"/>
          <w:color w:val="2D3748"/>
          <w:sz w:val="18"/>
          <w:szCs w:val="18"/>
        </w:rPr>
        <w:br/>
        <w:t xml:space="preserve">Region: [region] </w:t>
      </w:r>
      <w:r>
        <w:rPr>
          <w:rFonts w:ascii="Courier New" w:eastAsia="Courier New" w:hAnsi="Courier New" w:cs="Courier New"/>
          <w:color w:val="2D3748"/>
          <w:sz w:val="18"/>
          <w:szCs w:val="18"/>
        </w:rPr>
        <w:br/>
        <w:t>Perplexity data: [</w:t>
      </w:r>
      <w:proofErr w:type="spellStart"/>
      <w:r>
        <w:rPr>
          <w:rFonts w:ascii="Courier New" w:eastAsia="Courier New" w:hAnsi="Courier New" w:cs="Courier New"/>
          <w:color w:val="2D3748"/>
          <w:sz w:val="18"/>
          <w:szCs w:val="18"/>
        </w:rPr>
        <w:t>perplexity_output</w:t>
      </w:r>
      <w:proofErr w:type="spellEnd"/>
      <w:r>
        <w:rPr>
          <w:rFonts w:ascii="Courier New" w:eastAsia="Courier New" w:hAnsi="Courier New" w:cs="Courier New"/>
          <w:color w:val="2D3748"/>
          <w:sz w:val="18"/>
          <w:szCs w:val="18"/>
        </w:rPr>
        <w:t xml:space="preserve">] </w:t>
      </w:r>
      <w:r>
        <w:rPr>
          <w:rFonts w:ascii="Courier New" w:eastAsia="Courier New" w:hAnsi="Courier New" w:cs="Courier New"/>
          <w:color w:val="2D3748"/>
          <w:sz w:val="18"/>
          <w:szCs w:val="18"/>
        </w:rPr>
        <w:br/>
        <w:t>Exa data: [</w:t>
      </w:r>
      <w:proofErr w:type="spellStart"/>
      <w:r>
        <w:rPr>
          <w:rFonts w:ascii="Courier New" w:eastAsia="Courier New" w:hAnsi="Courier New" w:cs="Courier New"/>
          <w:color w:val="2D3748"/>
          <w:sz w:val="18"/>
          <w:szCs w:val="18"/>
        </w:rPr>
        <w:t>exa_output</w:t>
      </w:r>
      <w:proofErr w:type="spellEnd"/>
      <w:r>
        <w:rPr>
          <w:rFonts w:ascii="Courier New" w:eastAsia="Courier New" w:hAnsi="Courier New" w:cs="Courier New"/>
          <w:color w:val="2D3748"/>
          <w:sz w:val="18"/>
          <w:szCs w:val="18"/>
        </w:rPr>
        <w:t>]</w:t>
      </w:r>
    </w:p>
    <w:p w14:paraId="5500638E" w14:textId="38538843" w:rsidR="00F10E34" w:rsidRDefault="00000000">
      <w:pPr>
        <w:pStyle w:val="Heading3"/>
      </w:pPr>
      <w:r>
        <w:t>Agent 2 User Prompt Structure</w:t>
      </w:r>
      <w:r w:rsidR="008C068A">
        <w:br/>
      </w:r>
    </w:p>
    <w:p w14:paraId="0AF82F22" w14:textId="77777777" w:rsidR="00F10E34" w:rsidRDefault="00000000">
      <w:pPr>
        <w:pBdr>
          <w:left w:val="single" w:sz="8" w:space="0" w:color="E2E6EE"/>
        </w:pBdr>
        <w:shd w:val="clear" w:color="auto" w:fill="F4F6F9"/>
        <w:spacing w:before="40" w:after="80"/>
        <w:ind w:left="240" w:right="240"/>
      </w:pPr>
      <w:r>
        <w:rPr>
          <w:rFonts w:ascii="Courier New" w:eastAsia="Courier New" w:hAnsi="Courier New" w:cs="Courier New"/>
          <w:color w:val="2D3748"/>
          <w:sz w:val="18"/>
          <w:szCs w:val="18"/>
        </w:rPr>
        <w:t xml:space="preserve">Generate an outreach message framework for the following contact. </w:t>
      </w:r>
      <w:r>
        <w:rPr>
          <w:rFonts w:ascii="Courier New" w:eastAsia="Courier New" w:hAnsi="Courier New" w:cs="Courier New"/>
          <w:color w:val="2D3748"/>
          <w:sz w:val="18"/>
          <w:szCs w:val="18"/>
        </w:rPr>
        <w:br/>
        <w:t>Today's date: [</w:t>
      </w:r>
      <w:proofErr w:type="spellStart"/>
      <w:r>
        <w:rPr>
          <w:rFonts w:ascii="Courier New" w:eastAsia="Courier New" w:hAnsi="Courier New" w:cs="Courier New"/>
          <w:color w:val="2D3748"/>
          <w:sz w:val="18"/>
          <w:szCs w:val="18"/>
        </w:rPr>
        <w:t>current_date</w:t>
      </w:r>
      <w:proofErr w:type="spellEnd"/>
      <w:r>
        <w:rPr>
          <w:rFonts w:ascii="Courier New" w:eastAsia="Courier New" w:hAnsi="Courier New" w:cs="Courier New"/>
          <w:color w:val="2D3748"/>
          <w:sz w:val="18"/>
          <w:szCs w:val="18"/>
        </w:rPr>
        <w:t xml:space="preserve">] </w:t>
      </w:r>
      <w:r>
        <w:rPr>
          <w:rFonts w:ascii="Courier New" w:eastAsia="Courier New" w:hAnsi="Courier New" w:cs="Courier New"/>
          <w:color w:val="2D3748"/>
          <w:sz w:val="18"/>
          <w:szCs w:val="18"/>
        </w:rPr>
        <w:br/>
        <w:t>Contact: [</w:t>
      </w:r>
      <w:proofErr w:type="spellStart"/>
      <w:r>
        <w:rPr>
          <w:rFonts w:ascii="Courier New" w:eastAsia="Courier New" w:hAnsi="Courier New" w:cs="Courier New"/>
          <w:color w:val="2D3748"/>
          <w:sz w:val="18"/>
          <w:szCs w:val="18"/>
        </w:rPr>
        <w:t>contact_name</w:t>
      </w:r>
      <w:proofErr w:type="spellEnd"/>
      <w:r>
        <w:rPr>
          <w:rFonts w:ascii="Courier New" w:eastAsia="Courier New" w:hAnsi="Courier New" w:cs="Courier New"/>
          <w:color w:val="2D3748"/>
          <w:sz w:val="18"/>
          <w:szCs w:val="18"/>
        </w:rPr>
        <w:t>], [</w:t>
      </w:r>
      <w:proofErr w:type="spellStart"/>
      <w:r>
        <w:rPr>
          <w:rFonts w:ascii="Courier New" w:eastAsia="Courier New" w:hAnsi="Courier New" w:cs="Courier New"/>
          <w:color w:val="2D3748"/>
          <w:sz w:val="18"/>
          <w:szCs w:val="18"/>
        </w:rPr>
        <w:t>job_title</w:t>
      </w:r>
      <w:proofErr w:type="spellEnd"/>
      <w:r>
        <w:rPr>
          <w:rFonts w:ascii="Courier New" w:eastAsia="Courier New" w:hAnsi="Courier New" w:cs="Courier New"/>
          <w:color w:val="2D3748"/>
          <w:sz w:val="18"/>
          <w:szCs w:val="18"/>
        </w:rPr>
        <w:t>] at [</w:t>
      </w:r>
      <w:proofErr w:type="spellStart"/>
      <w:r>
        <w:rPr>
          <w:rFonts w:ascii="Courier New" w:eastAsia="Courier New" w:hAnsi="Courier New" w:cs="Courier New"/>
          <w:color w:val="2D3748"/>
          <w:sz w:val="18"/>
          <w:szCs w:val="18"/>
        </w:rPr>
        <w:t>company_name</w:t>
      </w:r>
      <w:proofErr w:type="spellEnd"/>
      <w:r>
        <w:rPr>
          <w:rFonts w:ascii="Courier New" w:eastAsia="Courier New" w:hAnsi="Courier New" w:cs="Courier New"/>
          <w:color w:val="2D3748"/>
          <w:sz w:val="18"/>
          <w:szCs w:val="18"/>
        </w:rPr>
        <w:t xml:space="preserve">] </w:t>
      </w:r>
      <w:r>
        <w:rPr>
          <w:rFonts w:ascii="Courier New" w:eastAsia="Courier New" w:hAnsi="Courier New" w:cs="Courier New"/>
          <w:color w:val="2D3748"/>
          <w:sz w:val="18"/>
          <w:szCs w:val="18"/>
        </w:rPr>
        <w:br/>
        <w:t>Seniority: [</w:t>
      </w:r>
      <w:proofErr w:type="spellStart"/>
      <w:r>
        <w:rPr>
          <w:rFonts w:ascii="Courier New" w:eastAsia="Courier New" w:hAnsi="Courier New" w:cs="Courier New"/>
          <w:color w:val="2D3748"/>
          <w:sz w:val="18"/>
          <w:szCs w:val="18"/>
        </w:rPr>
        <w:t>seniority_level</w:t>
      </w:r>
      <w:proofErr w:type="spellEnd"/>
      <w:r>
        <w:rPr>
          <w:rFonts w:ascii="Courier New" w:eastAsia="Courier New" w:hAnsi="Courier New" w:cs="Courier New"/>
          <w:color w:val="2D3748"/>
          <w:sz w:val="18"/>
          <w:szCs w:val="18"/>
        </w:rPr>
        <w:t xml:space="preserve">] </w:t>
      </w:r>
      <w:r>
        <w:rPr>
          <w:rFonts w:ascii="Courier New" w:eastAsia="Courier New" w:hAnsi="Courier New" w:cs="Courier New"/>
          <w:color w:val="2D3748"/>
          <w:sz w:val="18"/>
          <w:szCs w:val="18"/>
        </w:rPr>
        <w:br/>
        <w:t>Practice focus: [</w:t>
      </w:r>
      <w:proofErr w:type="spellStart"/>
      <w:r>
        <w:rPr>
          <w:rFonts w:ascii="Courier New" w:eastAsia="Courier New" w:hAnsi="Courier New" w:cs="Courier New"/>
          <w:color w:val="2D3748"/>
          <w:sz w:val="18"/>
          <w:szCs w:val="18"/>
        </w:rPr>
        <w:t>sub_sector</w:t>
      </w:r>
      <w:proofErr w:type="spellEnd"/>
      <w:r>
        <w:rPr>
          <w:rFonts w:ascii="Courier New" w:eastAsia="Courier New" w:hAnsi="Courier New" w:cs="Courier New"/>
          <w:color w:val="2D3748"/>
          <w:sz w:val="18"/>
          <w:szCs w:val="18"/>
        </w:rPr>
        <w:t xml:space="preserve">] </w:t>
      </w:r>
      <w:r>
        <w:rPr>
          <w:rFonts w:ascii="Courier New" w:eastAsia="Courier New" w:hAnsi="Courier New" w:cs="Courier New"/>
          <w:color w:val="2D3748"/>
          <w:sz w:val="18"/>
          <w:szCs w:val="18"/>
        </w:rPr>
        <w:br/>
        <w:t>Agent 1 synthesis output: [agent1_full_json_output]</w:t>
      </w:r>
    </w:p>
    <w:p w14:paraId="6E34D815" w14:textId="696A9142" w:rsidR="00F10E34" w:rsidRDefault="008C068A">
      <w:pPr>
        <w:spacing w:before="40" w:after="80" w:line="300" w:lineRule="auto"/>
      </w:pPr>
      <w:r>
        <w:rPr>
          <w:color w:val="2D3748"/>
        </w:rPr>
        <w:br/>
        <w:t>Variables in brackets are substituted by Make.com from the webhook payload and Parse JSON module outputs before each Claude API call. The system prompt remains static for every record.</w:t>
      </w:r>
    </w:p>
    <w:sectPr w:rsidR="00F10E3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58FDE" w14:textId="77777777" w:rsidR="00510D43" w:rsidRDefault="00510D43">
      <w:r>
        <w:separator/>
      </w:r>
    </w:p>
  </w:endnote>
  <w:endnote w:type="continuationSeparator" w:id="0">
    <w:p w14:paraId="790B8775" w14:textId="77777777" w:rsidR="00510D43" w:rsidRDefault="00510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3CED" w14:textId="77777777" w:rsidR="00F10E34" w:rsidRDefault="00000000">
    <w:pPr>
      <w:pBdr>
        <w:top w:val="single" w:sz="4" w:space="0" w:color="E2E6EE"/>
      </w:pBdr>
      <w:spacing w:before="80"/>
      <w:jc w:val="center"/>
    </w:pPr>
    <w:r>
      <w:rPr>
        <w:color w:val="9CA3AF"/>
        <w:sz w:val="16"/>
        <w:szCs w:val="16"/>
      </w:rPr>
      <w:t>Consulting Point — Signal to Speech Engine | Prototype Submission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CF91" w14:textId="77777777" w:rsidR="00510D43" w:rsidRDefault="00510D43">
      <w:r>
        <w:separator/>
      </w:r>
    </w:p>
  </w:footnote>
  <w:footnote w:type="continuationSeparator" w:id="0">
    <w:p w14:paraId="576C483B" w14:textId="77777777" w:rsidR="00510D43" w:rsidRDefault="00510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65"/>
      <w:gridCol w:w="3373"/>
    </w:tblGrid>
    <w:tr w:rsidR="00F10E34" w14:paraId="11667F38" w14:textId="77777777">
      <w:tc>
        <w:tcPr>
          <w:tcW w:w="6264" w:type="dxa"/>
          <w:tcBorders>
            <w:top w:val="nil"/>
            <w:left w:val="nil"/>
            <w:bottom w:val="nil"/>
            <w:right w:val="nil"/>
          </w:tcBorders>
          <w:shd w:val="clear" w:color="auto" w:fill="1B2A4A"/>
          <w:tcMar>
            <w:top w:w="80" w:type="dxa"/>
            <w:left w:w="160" w:type="dxa"/>
            <w:bottom w:w="80" w:type="dxa"/>
            <w:right w:w="100" w:type="dxa"/>
          </w:tcMar>
        </w:tcPr>
        <w:p w14:paraId="1CB84E2A" w14:textId="77777777" w:rsidR="00F10E34" w:rsidRDefault="00000000">
          <w:pPr>
            <w:spacing w:after="30"/>
          </w:pPr>
          <w:r>
            <w:rPr>
              <w:b/>
              <w:bCs/>
              <w:color w:val="FFFFFF"/>
              <w:sz w:val="24"/>
              <w:szCs w:val="24"/>
            </w:rPr>
            <w:t>AI Agent Prompt Architecture</w:t>
          </w:r>
        </w:p>
        <w:p w14:paraId="659B533C" w14:textId="77777777" w:rsidR="00F10E34" w:rsidRDefault="00000000">
          <w:r>
            <w:rPr>
              <w:color w:val="A0B4CC"/>
              <w:sz w:val="16"/>
              <w:szCs w:val="16"/>
            </w:rPr>
            <w:t>Agent 1 and Agent 2 | Signal to Speech Engine</w:t>
          </w:r>
        </w:p>
      </w:tc>
      <w:tc>
        <w:tcPr>
          <w:tcW w:w="3373" w:type="dxa"/>
          <w:tcBorders>
            <w:top w:val="nil"/>
            <w:left w:val="nil"/>
            <w:bottom w:val="nil"/>
            <w:right w:val="nil"/>
          </w:tcBorders>
          <w:shd w:val="clear" w:color="auto" w:fill="1B2A4A"/>
          <w:tcMar>
            <w:top w:w="80" w:type="dxa"/>
            <w:left w:w="100" w:type="dxa"/>
            <w:bottom w:w="80" w:type="dxa"/>
            <w:right w:w="160" w:type="dxa"/>
          </w:tcMar>
          <w:vAlign w:val="center"/>
        </w:tcPr>
        <w:p w14:paraId="12D5048F" w14:textId="77777777" w:rsidR="00F10E34" w:rsidRDefault="00000000">
          <w:pPr>
            <w:spacing w:after="30"/>
            <w:jc w:val="right"/>
          </w:pPr>
          <w:r>
            <w:rPr>
              <w:b/>
              <w:bCs/>
              <w:color w:val="00A896"/>
              <w:sz w:val="22"/>
              <w:szCs w:val="22"/>
            </w:rPr>
            <w:t>CONSULTING POINT</w:t>
          </w:r>
        </w:p>
        <w:p w14:paraId="111C9AAC" w14:textId="77777777" w:rsidR="00F10E34" w:rsidRDefault="00000000">
          <w:pPr>
            <w:jc w:val="right"/>
          </w:pPr>
          <w:r>
            <w:rPr>
              <w:i/>
              <w:iCs/>
              <w:color w:val="A0B4CC"/>
              <w:sz w:val="16"/>
              <w:szCs w:val="16"/>
            </w:rPr>
            <w:t>Signal to Speech Engine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57224"/>
    <w:multiLevelType w:val="hybridMultilevel"/>
    <w:tmpl w:val="464653E0"/>
    <w:lvl w:ilvl="0" w:tplc="48F8E91A">
      <w:start w:val="1"/>
      <w:numFmt w:val="bullet"/>
      <w:lvlText w:val="◦"/>
      <w:lvlJc w:val="left"/>
      <w:pPr>
        <w:ind w:left="1080" w:hanging="360"/>
      </w:pPr>
    </w:lvl>
    <w:lvl w:ilvl="1" w:tplc="4EC8CB20">
      <w:numFmt w:val="decimal"/>
      <w:lvlText w:val=""/>
      <w:lvlJc w:val="left"/>
    </w:lvl>
    <w:lvl w:ilvl="2" w:tplc="08643DCA">
      <w:numFmt w:val="decimal"/>
      <w:lvlText w:val=""/>
      <w:lvlJc w:val="left"/>
    </w:lvl>
    <w:lvl w:ilvl="3" w:tplc="C2329508">
      <w:numFmt w:val="decimal"/>
      <w:lvlText w:val=""/>
      <w:lvlJc w:val="left"/>
    </w:lvl>
    <w:lvl w:ilvl="4" w:tplc="E7462680">
      <w:numFmt w:val="decimal"/>
      <w:lvlText w:val=""/>
      <w:lvlJc w:val="left"/>
    </w:lvl>
    <w:lvl w:ilvl="5" w:tplc="458EC57A">
      <w:numFmt w:val="decimal"/>
      <w:lvlText w:val=""/>
      <w:lvlJc w:val="left"/>
    </w:lvl>
    <w:lvl w:ilvl="6" w:tplc="7830373A">
      <w:numFmt w:val="decimal"/>
      <w:lvlText w:val=""/>
      <w:lvlJc w:val="left"/>
    </w:lvl>
    <w:lvl w:ilvl="7" w:tplc="1CB25D86">
      <w:numFmt w:val="decimal"/>
      <w:lvlText w:val=""/>
      <w:lvlJc w:val="left"/>
    </w:lvl>
    <w:lvl w:ilvl="8" w:tplc="6CC8C8E0">
      <w:numFmt w:val="decimal"/>
      <w:lvlText w:val=""/>
      <w:lvlJc w:val="left"/>
    </w:lvl>
  </w:abstractNum>
  <w:abstractNum w:abstractNumId="1" w15:restartNumberingAfterBreak="0">
    <w:nsid w:val="48F80C5D"/>
    <w:multiLevelType w:val="hybridMultilevel"/>
    <w:tmpl w:val="0840E67C"/>
    <w:lvl w:ilvl="0" w:tplc="AF0AA0A8">
      <w:start w:val="1"/>
      <w:numFmt w:val="bullet"/>
      <w:lvlText w:val="●"/>
      <w:lvlJc w:val="left"/>
      <w:pPr>
        <w:ind w:left="720" w:hanging="360"/>
      </w:pPr>
    </w:lvl>
    <w:lvl w:ilvl="1" w:tplc="C9823716">
      <w:start w:val="1"/>
      <w:numFmt w:val="bullet"/>
      <w:lvlText w:val="○"/>
      <w:lvlJc w:val="left"/>
      <w:pPr>
        <w:ind w:left="1440" w:hanging="360"/>
      </w:pPr>
    </w:lvl>
    <w:lvl w:ilvl="2" w:tplc="A93E44D0">
      <w:start w:val="1"/>
      <w:numFmt w:val="bullet"/>
      <w:lvlText w:val="■"/>
      <w:lvlJc w:val="left"/>
      <w:pPr>
        <w:ind w:left="2160" w:hanging="360"/>
      </w:pPr>
    </w:lvl>
    <w:lvl w:ilvl="3" w:tplc="75526EE6">
      <w:start w:val="1"/>
      <w:numFmt w:val="bullet"/>
      <w:lvlText w:val="●"/>
      <w:lvlJc w:val="left"/>
      <w:pPr>
        <w:ind w:left="2880" w:hanging="360"/>
      </w:pPr>
    </w:lvl>
    <w:lvl w:ilvl="4" w:tplc="FDE83732">
      <w:start w:val="1"/>
      <w:numFmt w:val="bullet"/>
      <w:lvlText w:val="○"/>
      <w:lvlJc w:val="left"/>
      <w:pPr>
        <w:ind w:left="3600" w:hanging="360"/>
      </w:pPr>
    </w:lvl>
    <w:lvl w:ilvl="5" w:tplc="F4A63332">
      <w:start w:val="1"/>
      <w:numFmt w:val="bullet"/>
      <w:lvlText w:val="■"/>
      <w:lvlJc w:val="left"/>
      <w:pPr>
        <w:ind w:left="4320" w:hanging="360"/>
      </w:pPr>
    </w:lvl>
    <w:lvl w:ilvl="6" w:tplc="7B084CEC">
      <w:start w:val="1"/>
      <w:numFmt w:val="bullet"/>
      <w:lvlText w:val="●"/>
      <w:lvlJc w:val="left"/>
      <w:pPr>
        <w:ind w:left="5040" w:hanging="360"/>
      </w:pPr>
    </w:lvl>
    <w:lvl w:ilvl="7" w:tplc="841E165E">
      <w:start w:val="1"/>
      <w:numFmt w:val="bullet"/>
      <w:lvlText w:val="●"/>
      <w:lvlJc w:val="left"/>
      <w:pPr>
        <w:ind w:left="5760" w:hanging="360"/>
      </w:pPr>
    </w:lvl>
    <w:lvl w:ilvl="8" w:tplc="53149C18">
      <w:start w:val="1"/>
      <w:numFmt w:val="bullet"/>
      <w:lvlText w:val="●"/>
      <w:lvlJc w:val="left"/>
      <w:pPr>
        <w:ind w:left="6480" w:hanging="360"/>
      </w:pPr>
    </w:lvl>
  </w:abstractNum>
  <w:abstractNum w:abstractNumId="2" w15:restartNumberingAfterBreak="0">
    <w:nsid w:val="7F181499"/>
    <w:multiLevelType w:val="hybridMultilevel"/>
    <w:tmpl w:val="B146451A"/>
    <w:lvl w:ilvl="0" w:tplc="7FE8813E">
      <w:start w:val="1"/>
      <w:numFmt w:val="bullet"/>
      <w:lvlText w:val="•"/>
      <w:lvlJc w:val="left"/>
      <w:pPr>
        <w:ind w:left="720" w:hanging="360"/>
      </w:pPr>
    </w:lvl>
    <w:lvl w:ilvl="1" w:tplc="96E2E108">
      <w:numFmt w:val="decimal"/>
      <w:lvlText w:val=""/>
      <w:lvlJc w:val="left"/>
    </w:lvl>
    <w:lvl w:ilvl="2" w:tplc="9A9A7B20">
      <w:numFmt w:val="decimal"/>
      <w:lvlText w:val=""/>
      <w:lvlJc w:val="left"/>
    </w:lvl>
    <w:lvl w:ilvl="3" w:tplc="E5A80620">
      <w:numFmt w:val="decimal"/>
      <w:lvlText w:val=""/>
      <w:lvlJc w:val="left"/>
    </w:lvl>
    <w:lvl w:ilvl="4" w:tplc="6D803548">
      <w:numFmt w:val="decimal"/>
      <w:lvlText w:val=""/>
      <w:lvlJc w:val="left"/>
    </w:lvl>
    <w:lvl w:ilvl="5" w:tplc="877AB5E0">
      <w:numFmt w:val="decimal"/>
      <w:lvlText w:val=""/>
      <w:lvlJc w:val="left"/>
    </w:lvl>
    <w:lvl w:ilvl="6" w:tplc="C16495F0">
      <w:numFmt w:val="decimal"/>
      <w:lvlText w:val=""/>
      <w:lvlJc w:val="left"/>
    </w:lvl>
    <w:lvl w:ilvl="7" w:tplc="B0289BCE">
      <w:numFmt w:val="decimal"/>
      <w:lvlText w:val=""/>
      <w:lvlJc w:val="left"/>
    </w:lvl>
    <w:lvl w:ilvl="8" w:tplc="C4E04FD4">
      <w:numFmt w:val="decimal"/>
      <w:lvlText w:val=""/>
      <w:lvlJc w:val="left"/>
    </w:lvl>
  </w:abstractNum>
  <w:num w:numId="1" w16cid:durableId="1044712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E34"/>
    <w:rsid w:val="0031278F"/>
    <w:rsid w:val="0050160D"/>
    <w:rsid w:val="00510D43"/>
    <w:rsid w:val="00892928"/>
    <w:rsid w:val="008C068A"/>
    <w:rsid w:val="00F10E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2E5AF7"/>
  <w15:docId w15:val="{2DDCF51E-2080-2648-9FBB-78C9428E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2A4A"/>
      <w:sz w:val="36"/>
      <w:szCs w:val="36"/>
    </w:rPr>
  </w:style>
  <w:style w:type="paragraph" w:styleId="Heading2">
    <w:name w:val="heading 2"/>
    <w:uiPriority w:val="9"/>
    <w:unhideWhenUsed/>
    <w:qFormat/>
    <w:pPr>
      <w:spacing w:before="220" w:after="80"/>
      <w:outlineLvl w:val="1"/>
    </w:pPr>
    <w:rPr>
      <w:b/>
      <w:bCs/>
      <w:color w:val="2D5D99"/>
      <w:sz w:val="28"/>
      <w:szCs w:val="28"/>
    </w:rPr>
  </w:style>
  <w:style w:type="paragraph" w:styleId="Heading3">
    <w:name w:val="heading 3"/>
    <w:uiPriority w:val="9"/>
    <w:unhideWhenUsed/>
    <w:qFormat/>
    <w:pPr>
      <w:spacing w:before="160" w:after="60"/>
      <w:outlineLvl w:val="2"/>
    </w:pPr>
    <w:rPr>
      <w:b/>
      <w:bCs/>
      <w:color w:val="1B2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1802</Words>
  <Characters>10277</Characters>
  <Application>Microsoft Office Word</Application>
  <DocSecurity>0</DocSecurity>
  <Lines>85</Lines>
  <Paragraphs>24</Paragraphs>
  <ScaleCrop>false</ScaleCrop>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Ajayi (Student)</cp:lastModifiedBy>
  <cp:revision>3</cp:revision>
  <dcterms:created xsi:type="dcterms:W3CDTF">2026-05-19T16:26:00Z</dcterms:created>
  <dcterms:modified xsi:type="dcterms:W3CDTF">2026-05-19T16:40:00Z</dcterms:modified>
</cp:coreProperties>
</file>