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Shopping by algorithm: How agentic AI deploys human heuristics as a surrogate consumer</w:t>
      </w:r>
    </w:p>
    <w:p>
      <w:pPr>
        <w:pStyle w:val="FirstParagraph"/>
        <w:rPr/>
      </w:pPr>
      <w:r>
        <w:rPr>
          <w:b/>
          <w:bCs/>
        </w:rPr>
        <w:t>Abstract</w:t>
      </w:r>
      <w:r>
        <w:rPr/>
        <w:br/>
        <w:t>Consumers increasingly delegate purchasing decisions to Large Language Models (LLMs) deployed as autonomous surrogate consumers. To trace how these LLMs make decisions, we adapt the Mouselab process-tracing paradigm into “Tool-Lab,” which externalizes an LLM’s internal constraints by hiding product attributes behind costly tool calls. Across two studies testing seven commercially deployed LLMs from three providers, we ask whether pricing cues designed for human bounded rationality (i.e., just-below prices and promotional discounts) influence these surrogate consumers. When all attributes are freely visible, every LLM computes value correctly and neither cue misleads. When we impose acquisition costs, choice quality degrades as LLMs selectively abandon diagnostic attributes required to compute value. However, this vulnerability is bounded: providing an specific goal prompt that specifies the evaluative metric preserves diagnostic search and buffers choice optimality against acquisition friction. This research demonstrates that marketing heuristics in delegated AI purchasing can be introduced when the AI agent is operating under constraint and when the consumer uses vague prompts.</w:t>
      </w:r>
    </w:p>
    <w:p>
      <w:pPr>
        <w:pStyle w:val="BodyText"/>
        <w:rPr/>
      </w:pPr>
      <w:r>
        <w:rPr>
          <w:b/>
          <w:bCs/>
        </w:rPr>
        <w:t>Keywords:</w:t>
      </w:r>
      <w:r>
        <w:rPr/>
        <w:t xml:space="preserve"> artificial intelligence, large language models, bounded rationality, resource rationality, AI agents</w:t>
      </w:r>
    </w:p>
    <w:p>
      <w:pPr>
        <w:pStyle w:val="Heading1"/>
        <w:rPr/>
      </w:pPr>
      <w:bookmarkStart w:id="0" w:name="introduction"/>
      <w:r>
        <w:rPr/>
        <w:t>Introduction</w:t>
      </w:r>
    </w:p>
    <w:p>
      <w:pPr>
        <w:pStyle w:val="FirstParagraph"/>
        <w:rPr/>
      </w:pPr>
      <w:r>
        <w:rPr/>
        <w:t>The evaluation of market alternatives has historically relied on human judgment. Increasingly, however, this evaluative effort is being delegated to AI agents. Autonomous Large Language Models (LLMs) can now browse storefronts, compare alternatives, and complete purchases on a consumer’s behalf (Aw et al. 2025; Hasselwander et al. 2026; Puntoni and Wertenbroch 2024). This delegation represents a fundamental shift in who evaluates the market. When the buyer is an LLM, it remains an open question whether it perceives product attributes the same way a human shopper would. This research asks whether pricing cues designed for human bounded rationality continue to influence purchasing once an LLM is doing the buying.</w:t>
      </w:r>
    </w:p>
    <w:p>
      <w:pPr>
        <w:pStyle w:val="BodyText"/>
        <w:rPr/>
      </w:pPr>
      <w:r>
        <w:rPr/>
        <w:t>Research on LLMs as economic actors has produced two contrasting sets of findings. In one line of work, LLMs behave as competent optimizers, respecting budget constraints, responding correctly to price and quantity, and reproducing recognizable preference structures (Brand et al. 2023; Cillo and Rubera 2025; Y. Li et al. 2025). In another, LLMs display departures from normative choice that characterize human judgment, including framing effects and susceptibility to persuasion cues (Binz and Schulz 2023; Hagendorff et al. 2023; Hermann and Puntoni 2025). Reconciling this duality has proven difficult because the literature predominantly treats heuristic behavior as a fixed, inherent trait of the LLMs themselves, inherited from their training data (Filandrianos et al. 2025; Knipper et al. 2025).</w:t>
      </w:r>
    </w:p>
    <w:p>
      <w:pPr>
        <w:pStyle w:val="BodyText"/>
        <w:rPr/>
      </w:pPr>
      <w:r>
        <w:rPr/>
        <w:t>A methodological limitation of prior research explains much of this difficulty. Nearly all prior work relies on outcome-based designs. An LLM is presented with alternatives, and its final choice is recorded. While an outcome reveals what was chosen, it cannot explain why. Outcome data cannot distinguish between an LLM that lacked the information necessary to compare alternatives and an LLM that possessed the full information but chose it incorrectly. These are fundamentally different failures with distinct remedies.</w:t>
      </w:r>
    </w:p>
    <w:p>
      <w:pPr>
        <w:pStyle w:val="BodyText"/>
        <w:rPr/>
      </w:pPr>
      <w:r>
        <w:rPr/>
        <w:t>We separate these failures by observing acquisition directly. We introduce Tool-Lab, an adaptation of the information-board process-tracing methods used to trace human information search (Johnson et al. 1989; Payne et al. 1993). Product attributes are hidden, and the LLM must make an explicit request to reveal each one. These requests carry a cost that we manipulate. Tool-Lab records exactly which attributes an LLM retrieved before making a choice. This permits a critical distinction that outcome data cannot support: separating what an LLM knew when it chose from what it did with what it knew.</w:t>
      </w:r>
    </w:p>
    <w:p>
      <w:pPr>
        <w:pStyle w:val="BodyText"/>
        <w:rPr/>
      </w:pPr>
      <w:r>
        <w:rPr/>
        <w:t>This separation becomes informative once attributes are classified by their role in the comparison between alternatives. For any economic choice, certain attributes are required to compute an alternative’s value, such as price components, discounts, and product weight. We classify these as diagnostic. Other attributes, such as roast date or packaging of a coffee product, do not enter this value calculation and are classified as non-diagnostic. This classification is fixed by the economic structure of the choice task. An LLM that truncates its search under cost might abandon either class, but we argue that only the loss of diagnostic attributes will degrade the optimality of its final choice.</w:t>
      </w:r>
    </w:p>
    <w:p>
      <w:pPr>
        <w:pStyle w:val="BodyText"/>
        <w:rPr/>
      </w:pPr>
      <w:r>
        <w:rPr/>
        <w:t>To test how search truncation under constraint affects susceptibility to marketing cues, we observe LLM purchasing behavior across two studies. We test seven commercially deployed LLMs from three providers on two pricing cues built for human shoppers: just-below prices (Study 1) and promotional discounts (Study 2). Each study begins with a full-information baseline where all attributes are freely visible, followed by a constrained Tool-Lab environment where attributes are hidden behind costly tool calls and where we manipulate the goal specificity of the delegating prompt.</w:t>
      </w:r>
    </w:p>
    <w:p>
      <w:pPr>
        <w:pStyle w:val="BodyText"/>
        <w:rPr/>
      </w:pPr>
      <w:r>
        <w:rPr/>
        <w:t>When attributes are freely visible, every LLM we test evaluates them consistently with utility maximization. Cent values receive utility weights comparable in magnitude to whole dollars, and discount amounts receive utility weights comparable to list prices. Under acquisition cost, however, information acquisition falls for every LLM. The effect on choice optimality depends on the composition of the abandoned attributes rather than the total reduction in acquisition. The acquisition of diagnostic attributes strongly predicts choice optimality, whereas the acquisition of non-diagnostic attributes does not.</w:t>
      </w:r>
    </w:p>
    <w:p>
      <w:pPr>
        <w:pStyle w:val="BodyText"/>
        <w:rPr/>
      </w:pPr>
      <w:r>
        <w:rPr/>
        <w:t>When diagnostic attributes are abandoned, the resulting suboptimal choices resemble those produced by classic human heuristics, such as falling for just-below pricing by ignoring cents, or relying on discount labels while ignoring product weight. Thus, we demonstrate a plausible process for how LLMs display behavior consistent with human bounded rationality. Our account does not rely on treating heuristics as immutable defects hardwired into LLMs from their training data. Instead, we show that these heuristics might be a byproduct of the environment’s information structure. An LLM fully capable of making utility-maximizing choices can produce heuristic-like behavior simply due to the constraints placed upon its acquisition of information.</w:t>
      </w:r>
    </w:p>
    <w:p>
      <w:pPr>
        <w:pStyle w:val="BodyText"/>
        <w:rPr/>
      </w:pPr>
      <w:r>
        <w:rPr/>
        <w:t>For retailers, this research locates the effectiveness of classic marketing cues in the information architecture of the storefront. By increasing the friction required to acquire diagnostic attributes, retailers can structurally induce heuristic purchasing in LLMs. For consumers, the risk of delegation is a hidden economic penalty. When an LLM’s search is constrained by the environment, it defaults to superficial marketing cues, leading consumers to unwittingly purchase inferior products. Finally, for platform designers and delegating consumers, these results demonstrate that preventing heuristic failures is an interface and instruction-design problem, not exclusively an LLM-training problem. To protect delegating consumers, platforms must ensure that diagnostic attributes are accessible in low-cost, consolidated payloads, and prompt interfaces must encourage specific goal formulations that neutralize the friction that leads LLMs into suboptimal choices.</w:t>
      </w:r>
    </w:p>
    <w:p>
      <w:pPr>
        <w:pStyle w:val="BodyText"/>
        <w:rPr/>
      </w:pPr>
      <w:r>
        <w:rPr/>
        <w:t>For researchers, we provide a process-tracing framework for evaluating LLMs as surrogate consumers. By operationalizing information acquisition as an observable sequence, Tool-Lab can be a useful tool to combine with black-box outcome testing. Researchers can empirically isolate how storefront architecture shapes LLM decision-making, and convert previously inferred processes into testable mechanisms.</w:t>
      </w:r>
      <w:bookmarkEnd w:id="0"/>
    </w:p>
    <w:p>
      <w:pPr>
        <w:pStyle w:val="Heading1"/>
        <w:rPr/>
      </w:pPr>
      <w:bookmarkStart w:id="1" w:name="literature-review"/>
      <w:r>
        <w:rPr/>
        <w:t>Literature review</w:t>
      </w:r>
    </w:p>
    <w:p>
      <w:pPr>
        <w:pStyle w:val="FirstParagraph"/>
        <w:rPr/>
      </w:pPr>
      <w:r>
        <w:rPr/>
        <w:t>While the literature has documented Generative Artificial Intelligence (GenAI)’s impact on firm-side operational efficiencies (Prasanna and Kushwaha 2025; Riandhi et al. 2025) and the probabilistic architecture that enables generative reasoning (Grewal et al. 2025; Kumar et al. 2026), the critical frontier in marketing theory is shifting toward the AI agent itself. Consumers are no longer just using LLMs to answer simple questions. Driven by desires for convenience, consumers are delegating end-to-end task execution to AI agents (Alizadeh and Nazarpour Kashani 2025; Al-Romeedy and Alharethi 2025; Celiktutan et al. 2024; Chang and Park 2024; Hasselwander et al. 2026; Kim et al. 2023). As the fundamental driver of consumption shifts from human to computational reasoning (Dholakia et al. 2025), there is an increasing need to evaluate GenAI as an autonomous surrogate that actively curates and navigates the market (Aw et al. 2025; De Freitas et al. 2025; Kshetri et al. 2024).</w:t>
      </w:r>
    </w:p>
    <w:p>
      <w:pPr>
        <w:pStyle w:val="BodyText"/>
        <w:rPr/>
      </w:pPr>
      <w:r>
        <w:rPr/>
        <w:t>An emerging body of research treats LLMs as silicon samples (Joerling 2025; Sarstedt et al. 2024), and show that LLMs can synthesize complex preferences and successfully adopt distinct human personas to evaluate market alternatives (Y. Li et al. 2025; Liu and Chen 2026; Lu and Kannan 2026). Research has also explored the role of structural prompts (e.g., Retrieval-Augmented Generation) and statistical data-augmentations to induce consumer-like personas into LLMs (Arora et al. 2025; B. Li et al. 2025; Wang et al. 2026; Yoo et al. 2025).</w:t>
      </w:r>
    </w:p>
    <w:p>
      <w:pPr>
        <w:pStyle w:val="BodyText"/>
        <w:rPr/>
      </w:pPr>
      <w:r>
        <w:rPr/>
        <w:t>When acting as surrogate consumers, the literature shows that LLMs demonstrate a behavioral paradox: They neither align with classical models of Homo economicus (R. H. Thaler 2000), nor do they perfectly mirror human bounded rationality (Kahneman 2003). Instead, they oscillate between hyper-rational optimization and heuristics. Because of their strong reasoning capabilities, LLMs inherently default to utilitarian processing (Lee et al. 2026; Pandey and Singh 2025). In baseline economic simulations, they have shown the capacity to act as highly efficient utility-maximizers and excel at probability-weighted expected-value maximization, downward-sloping demand evaluations, and strict budgetary compliance (Brand et al. 2023; Reisenbichler et al. 2026; ZHOU et al. 2026).</w:t>
      </w:r>
    </w:p>
    <w:p>
      <w:pPr>
        <w:pStyle w:val="BodyText"/>
        <w:rPr/>
      </w:pPr>
      <w:r>
        <w:rPr/>
        <w:t>Concurrently, these same agents are highly susceptible to the cultural and emotional heuristics, which are attributed to their training data (Reimann and Kronrod 2025; Wadi et al. 2026). For instance, LLMs fall prey to classic framing effects (Cialdini 1984; Hermann and Puntoni 2025; Pescher 2026). They can exhibit algorithmic hyper-impatience in intertemporal choices (Goli and Singh 2024) and can be unpredictably swayed by extraneous conversational cues (Xie 2026). If these vulnerabilities are left unaddressed, the delegating consumers risk utilizing a system that promises rational utility but yields suboptimal economic outcomes (Madhavaram and Appan 2024).</w:t>
      </w:r>
    </w:p>
    <w:p>
      <w:pPr>
        <w:pStyle w:val="BodyText"/>
        <w:rPr/>
      </w:pPr>
      <w:r>
        <w:rPr/>
        <w:t>The existing literature largely treats this duality as a static phenomenon. Algorithms are either praised as utility maximizers under ideal conditions (Brand et al. 2023; Cillo and Rubera 2025; Y. Li et al. 2025) or critiqued for permanent, hardwired defects embedded in their training data (Grewal et al. 2025; Jones and Steinhardt 2022; Madhavaram and Appan 2024). What remains absent from the marketing literature are plausible theories explaining why and when an LLM maximizes utility versus defaults to heuristics. We propose that this paradox can be resolved by viewing the LLM not as a flawed human imitator, but as a decision-maker that adapts to the constraints of the environment (Gershman et al. 2015; Lieder and Griffiths 2020).</w:t>
      </w:r>
      <w:bookmarkEnd w:id="1"/>
    </w:p>
    <w:p>
      <w:pPr>
        <w:pStyle w:val="Heading1"/>
        <w:rPr/>
      </w:pPr>
      <w:bookmarkStart w:id="2" w:name="conceptual-development"/>
      <w:r>
        <w:rPr/>
        <w:t>Conceptual Development</w:t>
      </w:r>
    </w:p>
    <w:p>
      <w:pPr>
        <w:pStyle w:val="Heading2"/>
        <w:rPr/>
      </w:pPr>
      <w:bookmarkStart w:id="3" w:name="normative-objective-and-heuristics"/>
      <w:r>
        <w:rPr/>
        <w:t>Normative objective and heuristics</w:t>
      </w:r>
    </w:p>
    <w:p>
      <w:pPr>
        <w:pStyle w:val="FirstParagraph"/>
        <w:rPr/>
      </w:pPr>
      <w:r>
        <w:rPr/>
        <w:t>To evaluate whether LLMs acting as surrogate consumers deploy heuristics or optimize utility, we formally define the normative evaluative standard and distinguish it from heuristic decision rules (Gigerenzer and Gaissmaier 2011).</w:t>
      </w:r>
    </w:p>
    <w:p>
      <w:pPr>
        <w:pStyle w:val="BodyText"/>
        <w:rPr/>
      </w:pPr>
      <w:r>
        <w:rPr/>
        <w:t>In delegated purchasing of consumable packaged goods, the economic utility delivered to the principal scales with the volume of the good obtained across repeated consumption occasions. Therefore, the normative economic objective is unit-price minimization, that is, minimizing total dollar cost per unit of product weight (</w:t>
      </w:r>
      <w:r>
        <w:rPr/>
      </w:r>
      <m:oMath xmlns:m="http://schemas.openxmlformats.org/officeDocument/2006/math">
        <m:f>
          <m:num>
            <m:r>
              <m:rPr>
                <m:lit/>
                <m:nor/>
              </m:rPr>
              <w:rPr>
                <w:rFonts w:ascii="Cambria Math" w:hAnsi="Cambria Math"/>
              </w:rPr>
              <m:t xml:space="preserve">Price</m:t>
            </m:r>
          </m:num>
          <m:den>
            <m:r>
              <m:rPr>
                <m:lit/>
                <m:nor/>
              </m:rPr>
              <w:rPr>
                <w:rFonts w:ascii="Cambria Math" w:hAnsi="Cambria Math"/>
              </w:rPr>
              <m:t xml:space="preserve">Weight</m:t>
            </m:r>
          </m:den>
        </m:f>
      </m:oMath>
      <w:r>
        <w:rPr/>
        <w:t xml:space="preserve"> ; Miyazaki et al. 2000; Russo 1977). We distinguish this normative standard from nominal expenditure minimization (selecting the lowest sticker price). Treating nominal sticker price as an evaluative objective is volume-blind. It renders product weight, package size, and actual consumption volume irrelevant, equating a 2-ounce package at $4.00 with a 20-ounce package at $4.00. In consumer economics, evaluating alternatives requires integrating price with volume; therefore, the normative benchmark for an optimizing surrogate consumer is identifying the alternative that delivers the lowest unit price.</w:t>
      </w:r>
    </w:p>
    <w:p>
      <w:pPr>
        <w:pStyle w:val="BodyText"/>
        <w:rPr/>
      </w:pPr>
      <w:r>
        <w:rPr/>
        <w:t>Against this normative benchmark, we define a heuristic as an evaluative strategy that relies on a subset of product cues while ignoring compensatory diagnostic attributes (Gigerenzer and Gaissmaier 2011; Payne et al. 1993). We define choice suboptimality as a systematic departure from the normative benchmark, specifically, selecting an alternative that yields a higher price-per-ounce.</w:t>
      </w:r>
    </w:p>
    <w:p>
      <w:pPr>
        <w:pStyle w:val="BodyText"/>
        <w:rPr/>
      </w:pPr>
      <w:r>
        <w:rPr/>
        <w:t>In marketing, pricing tactics such as just-below pricing (Stiving and Winer 1997; Thomas and Morwitz 2005) and promotional discount framing (Inman et al. 1990; R. Thaler 1985) are designed to exploit human bounded rationality by triggering heuristic processing. Just-below pricing (e.g., $4.99 vs. $5.00) operates as an economic trap when an alternative offers a lower nominal integer price but delivers inferior economic value per unit weight (Bizer and Schindler 2005). Similarly, promotional framing operates as a heuristic cue when a percentage discount badge signals a bargain, diverting attention from the underlying unit price calculation (Inman et al. 1990). In both cases, a heuristic-driven AI agent selects the superficially appealing alternative, whereas a normative utility-maximizing AI agent synthesizes all diagnostic attributes to select the alternative with the lowest price per unit weight.</w:t>
      </w:r>
    </w:p>
    <w:p>
      <w:pPr>
        <w:pStyle w:val="BodyText"/>
        <w:rPr/>
      </w:pPr>
      <w:r>
        <w:rPr/>
        <w:t>When consumers delegate purchasing decisions to LLMs acting as surrogate consumers, these systems must navigate commercial environments where acquiring information is rarely frictionless. In real-world market interfaces, gathering product data requires computational effort, network latency, or explicit transaction fees across APIs (Aw et al. 2025; Puntoni and Wertenbroch 2024). In human decision-making, behavioral research has long established that imposing costs on information acquisition causes decision-makers to alter their search trajectories, typically leading to search truncation and reliance on simpler decision strategies (Johnson et al. 1989; Payne et al. 1993).</w:t>
      </w:r>
    </w:p>
    <w:p>
      <w:pPr>
        <w:pStyle w:val="BodyText"/>
        <w:rPr/>
      </w:pPr>
      <w:r>
        <w:rPr/>
        <w:t>When an LLM operates in an environment where information retrieval is costly, a similar trade-off could emerge. To make a choice, the LLM must query the environment for product attributes. Because the LLM is instructed to act on behalf of a consumer who bears the search penalties, the presence of acquisition costs introduces tension between gathering comprehensive product information and minimizing incurred search fees. Consequently, as the cost per attribute inspection rises, an LLM seeking to manage overall expenditure should curtail its total information acquisition.</w:t>
      </w:r>
      <w:bookmarkEnd w:id="3"/>
    </w:p>
    <w:p>
      <w:pPr>
        <w:pStyle w:val="Heading2"/>
        <w:rPr/>
      </w:pPr>
      <w:bookmarkStart w:id="4" w:name="attribute-diagnosticity"/>
      <w:r>
        <w:rPr/>
        <w:t>Attribute diagnosticity</w:t>
      </w:r>
    </w:p>
    <w:p>
      <w:pPr>
        <w:pStyle w:val="FirstParagraph"/>
        <w:rPr/>
      </w:pPr>
      <w:r>
        <w:rPr/>
        <w:t>A reduction in total information search does not inherently dictate poorer choice quality. Rather, the consequences of search truncation depend on the composition of the attributes that are acquired versus abandoned.</w:t>
      </w:r>
    </w:p>
    <w:p>
      <w:pPr>
        <w:pStyle w:val="BodyText"/>
        <w:rPr/>
      </w:pPr>
      <w:r>
        <w:rPr/>
        <w:t>In any economic evaluation, product attributes can be classified according to their functional role in the decision rule. We define an attribute as diagnostic if its value is mathematically required to compute an alternative’s objective economic value (e.g., price components, unit quantities, or volume). Conversely, attributes are non-diagnostic if they represent descriptive product characteristics that do not enter the economic value equation (e.g., packaging format, roast date, or narrative descriptions).</w:t>
      </w:r>
    </w:p>
    <w:p>
      <w:pPr>
        <w:pStyle w:val="BodyText"/>
        <w:rPr/>
      </w:pPr>
      <w:r>
        <w:rPr/>
        <w:t>If an LLM truncates its search by abandoning non-diagnostic attributes, its ability to identify the economically superior alternative remains intact. However, if cost constraints lead to the abandonment of diagnostic attributes, the LLM is left with an incomplete information set. Deprived of the parameters necessary to compute exact economic value, the LLM cannot systematically verify which alternative is superior, increasing its susceptibility to superficial marketing cues and degrading choice optimality. Therefore, the acquisition of diagnostic attributes should serve as the critical mechanism linking acquisition costs to final choice quality.</w:t>
      </w:r>
      <w:bookmarkEnd w:id="4"/>
    </w:p>
    <w:p>
      <w:pPr>
        <w:pStyle w:val="Heading2"/>
        <w:rPr/>
      </w:pPr>
      <w:bookmarkStart w:id="5" w:name="goal-specificity"/>
      <w:r>
        <w:rPr/>
        <w:t>Goal specificity</w:t>
      </w:r>
    </w:p>
    <w:p>
      <w:pPr>
        <w:pStyle w:val="FirstParagraph"/>
        <w:rPr/>
      </w:pPr>
      <w:r>
        <w:rPr/>
        <w:t>Whether an LLM preserves or abandons diagnostic attributes under cost constraints should depend on the nature of the prompt provided by the delegating consumer. In human delegation, instructions given by a principal vary fundamentally in their goal specificity (Kleingeld et al. 2011; Latham 2023). Goal-setting theory establishes that “goal specificity facilitates an employee’s focus in that it makes explicit what it is the individual should choose to do or try to accomplish” (Latham 2023, p. 86).</w:t>
      </w:r>
    </w:p>
    <w:p>
      <w:pPr>
        <w:pStyle w:val="BodyText"/>
        <w:rPr/>
      </w:pPr>
      <w:r>
        <w:rPr/>
        <w:t>In a delegated shopping context, a delegating prompt can embody low goal specificity (a vague goal prompt) or high goal specificity (a specific goal prompt):</w:t>
      </w:r>
    </w:p>
    <w:p>
      <w:pPr>
        <w:pStyle w:val="BodyText"/>
        <w:rPr/>
      </w:pPr>
      <w:r>
        <w:rPr/>
        <w:t>We define a vague goal prompt as a prompt that instructs an LLM to achieve an open-ended, colloquial outcome (e.g., “find the best deal”). This mirrors classic “do-your-best” goals (Locke and Latham 2002), which lack an external, unambiguous evaluative referent (Latham 2023). Because “best deal” does not define the mathematical rule for evaluation, the LLM is granted broad discretion to interpret what constitutes value. In an unconstrained environment, this ambiguity may be benign. However, when information acquisition carries a cost, the absence of an specific objective provides no structural defense against truncating diagnostic attributes. The LLM would balance search costs against an ambiguous target, making diagnostic attributes vulnerable to omission.</w:t>
      </w:r>
    </w:p>
    <w:p>
      <w:pPr>
        <w:pStyle w:val="BodyText"/>
        <w:rPr/>
      </w:pPr>
      <w:r>
        <w:rPr/>
        <w:t>In contrast, a specific goal prompt is a prompt that explicitly prescribes the evaluative metric (e.g., “find the coffee with the lowest price per ounce”). According to goal-setting theory, specific goals should direct effort toward goal-relevant activities while steering effort away from irrelevant actions (Kleingeld et al. 2011; Latham 2023). When an LLM is given a specific evaluative formula, the prompt defines the precise inputs required for task execution exogenously. By making explicit what must be computed, high goal specificity establishes that diagnostic attributes are indispensable to fulfilling the delegation mandate. Consequently, even when acquisition costs are imposed, a specific goal prompt should buffer against the premature abandonment of diagnostic attributes.</w:t>
      </w:r>
    </w:p>
    <w:p>
      <w:pPr>
        <w:pStyle w:val="BodyText"/>
        <w:rPr/>
      </w:pPr>
      <w:r>
        <w:rPr/>
        <w:t>H1. Prompt specificity moderates the relationship between acquisition cost and diagnostic acquisition.</w:t>
      </w:r>
    </w:p>
    <w:p>
      <w:pPr>
        <w:pStyle w:val="BodyText"/>
        <w:rPr/>
      </w:pPr>
      <w:r>
        <w:rPr/>
        <w:t>H2. Diagnostic acquisition positively influences choice optimality.</w:t>
      </w:r>
    </w:p>
    <w:p>
      <w:pPr>
        <w:pStyle w:val="BodyText"/>
        <w:rPr/>
      </w:pPr>
      <w:r>
        <w:rPr/>
        <w:t>H3. The indirect effect of acquisition cost on choice optimality via diagnostic acquisition is moderated by prompt specificity.</w:t>
      </w:r>
    </w:p>
    <w:p>
      <w:pPr>
        <w:pStyle w:val="BodyText"/>
        <w:rPr/>
      </w:pPr>
      <w:r>
        <w:rPr>
          <w:i/>
          <w:iCs/>
        </w:rPr>
        <w:t xml:space="preserve">Insert </w:t>
      </w:r>
      <w:hyperlink w:anchor="fig-framework">
        <w:r>
          <w:rPr>
            <w:rStyle w:val="Hyperlink"/>
            <w:i/>
            <w:iCs/>
          </w:rPr>
          <w:t>Figure 2</w:t>
        </w:r>
      </w:hyperlink>
      <w:r>
        <w:rPr>
          <w:i/>
          <w:iCs/>
        </w:rPr>
        <w:t xml:space="preserve"> about here</w:t>
      </w:r>
    </w:p>
    <w:p>
      <w:pPr>
        <w:pStyle w:val="BodyText"/>
        <w:rPr/>
      </w:pPr>
      <w:r>
        <w:rPr/>
        <w:t>To test these hypotheses, we observe how LLMs navigate classic pricing cues across two studies. Study 1 examines just-below pricing, and focuses on the acquisition of the cent component of a price. Study 2 investigates promotional framing and the acquisition of diagnostic attributes required to evaluate a discount label. In both studies, we first establish a full-information baseline to observe choice behavior when all attributes are freely visible. We then deploy the Tool-Lab paradigm to hide these attributes behind costly tool calls and trace how acquisition costs influence search composition and final purchasing decisions.</w:t>
      </w:r>
      <w:bookmarkEnd w:id="2"/>
      <w:bookmarkEnd w:id="5"/>
    </w:p>
    <w:p>
      <w:pPr>
        <w:pStyle w:val="Heading1"/>
        <w:rPr/>
      </w:pPr>
      <w:bookmarkStart w:id="6" w:name="study-1"/>
      <w:r>
        <w:rPr/>
        <w:t>Study 1</w:t>
      </w:r>
    </w:p>
    <w:p>
      <w:pPr>
        <w:pStyle w:val="Heading2"/>
        <w:rPr/>
      </w:pPr>
      <w:bookmarkStart w:id="7" w:name="baseline"/>
      <w:r>
        <w:rPr/>
        <w:t>Baseline</w:t>
      </w:r>
    </w:p>
    <w:p>
      <w:pPr>
        <w:pStyle w:val="FirstParagraph"/>
        <w:rPr/>
      </w:pPr>
      <w:r>
        <w:rPr/>
        <w:t>We first test LLM choice when diagnostic attributes (i.e., dollars, cents, and weight) are fully available without any external constraints. We constructed a coffee choice experiment forcing trade-offs between brand, product weight, and price. We utilized four best-selling Amazon.com brands (</w:t>
      </w:r>
      <w:r>
        <w:rPr>
          <w:i/>
          <w:iCs/>
        </w:rPr>
        <w:t>McCafé, Maxwell House, Starbucks, Folgers</w:t>
      </w:r>
      <w:r>
        <w:rPr/>
        <w:t>). To investigate the relative effect of the cent versus the dollar value of the price on choice, we independently drew dollars and cents from the real-word distribution of coffee prices. We generated 1,014 non-dominated choice sets to ensure no alternative was superior in all attributes, which would push the LLMs to make genuine economic trade-offs.</w:t>
      </w:r>
    </w:p>
    <w:p>
      <w:pPr>
        <w:pStyle w:val="BodyText"/>
        <w:rPr/>
      </w:pPr>
      <w:r>
        <w:rPr/>
        <w:t>We queried eight LLMs from 3 major providers, including Gemini 3.1 Pro, Gemini 3.8 Flash and Gemini 3.5 Flash Lite from Google, GPT 5.6 Luna, Terra, and Sol from OpenAI, and Claude Sonnet 5 and Opus 5 from Anthropic. We used a standardized prompt delegating the LLM as a surrogate shopping assistant (e.g., “You are buying ground coffee. Which option would you choose?”). The presentation positions of the alternatives were fully randomized to control for position effects. Details on choice set generation and prompt structure are provided in Web Appendix A.</w:t>
      </w:r>
    </w:p>
    <w:p>
      <w:pPr>
        <w:pStyle w:val="BodyText"/>
        <w:rPr/>
      </w:pPr>
      <w:r>
        <w:rPr/>
        <w:t xml:space="preserve">We estimate an independent conditional logit model for each LLM. We assume a random utility framework (McFadden 1972; Train 2009) with specification in Web Appendix A. </w:t>
      </w:r>
      <w:hyperlink w:anchor="apptbl-s1a-realistic-cents">
        <w:r>
          <w:rPr>
            <w:rStyle w:val="Hyperlink"/>
          </w:rPr>
          <w:t>Table W1</w:t>
        </w:r>
      </w:hyperlink>
      <w:r>
        <w:rPr/>
        <w:t xml:space="preserve"> shows the results.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W1: Conditional logit estimates of attribute utility when all attributes are visible (Study 1 Baseline)</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323"/>
              <w:gridCol w:w="974"/>
              <w:gridCol w:w="981"/>
              <w:gridCol w:w="974"/>
              <w:gridCol w:w="981"/>
              <w:gridCol w:w="975"/>
              <w:gridCol w:w="980"/>
              <w:gridCol w:w="975"/>
              <w:gridCol w:w="981"/>
            </w:tblGrid>
            <w:tr>
              <w:trPr>
                <w:tblHeader w:val="true"/>
              </w:trPr>
              <w:tc>
                <w:tcPr>
                  <w:tcW w:w="1323" w:type="dxa"/>
                  <w:tcBorders/>
                  <w:vAlign w:val="center"/>
                </w:tcPr>
                <w:p>
                  <w:pPr>
                    <w:pStyle w:val="Compact"/>
                    <w:spacing w:before="36" w:after="36"/>
                    <w:rPr>
                      <w:b w:val="false"/>
                    </w:rPr>
                  </w:pPr>
                  <w:r>
                    <w:rPr>
                      <w:b w:val="false"/>
                    </w:rPr>
                  </w:r>
                </w:p>
              </w:tc>
              <w:tc>
                <w:tcPr>
                  <w:tcW w:w="974" w:type="dxa"/>
                  <w:tcBorders/>
                  <w:vAlign w:val="center"/>
                </w:tcPr>
                <w:p>
                  <w:pPr>
                    <w:pStyle w:val="Compact"/>
                    <w:spacing w:before="36" w:after="36"/>
                    <w:jc w:val="center"/>
                    <w:rPr>
                      <w:b w:val="false"/>
                    </w:rPr>
                  </w:pPr>
                  <w:r>
                    <w:rPr>
                      <w:b w:val="false"/>
                    </w:rPr>
                    <w:t>Flash Lite</w:t>
                  </w:r>
                </w:p>
              </w:tc>
              <w:tc>
                <w:tcPr>
                  <w:tcW w:w="981" w:type="dxa"/>
                  <w:tcBorders/>
                  <w:vAlign w:val="center"/>
                </w:tcPr>
                <w:p>
                  <w:pPr>
                    <w:pStyle w:val="Compact"/>
                    <w:spacing w:before="36" w:after="36"/>
                    <w:jc w:val="center"/>
                    <w:rPr>
                      <w:b w:val="false"/>
                    </w:rPr>
                  </w:pPr>
                  <w:r>
                    <w:rPr>
                      <w:b w:val="false"/>
                    </w:rPr>
                    <w:t>Flash</w:t>
                  </w:r>
                </w:p>
              </w:tc>
              <w:tc>
                <w:tcPr>
                  <w:tcW w:w="974" w:type="dxa"/>
                  <w:tcBorders/>
                  <w:vAlign w:val="center"/>
                </w:tcPr>
                <w:p>
                  <w:pPr>
                    <w:pStyle w:val="Compact"/>
                    <w:spacing w:before="36" w:after="36"/>
                    <w:jc w:val="center"/>
                    <w:rPr>
                      <w:b w:val="false"/>
                    </w:rPr>
                  </w:pPr>
                  <w:r>
                    <w:rPr>
                      <w:b w:val="false"/>
                    </w:rPr>
                    <w:t>Pro</w:t>
                  </w:r>
                </w:p>
              </w:tc>
              <w:tc>
                <w:tcPr>
                  <w:tcW w:w="981" w:type="dxa"/>
                  <w:tcBorders/>
                  <w:vAlign w:val="center"/>
                </w:tcPr>
                <w:p>
                  <w:pPr>
                    <w:pStyle w:val="Compact"/>
                    <w:spacing w:before="36" w:after="36"/>
                    <w:jc w:val="center"/>
                    <w:rPr>
                      <w:b w:val="false"/>
                    </w:rPr>
                  </w:pPr>
                  <w:r>
                    <w:rPr>
                      <w:b w:val="false"/>
                    </w:rPr>
                    <w:t>Sonnet</w:t>
                  </w:r>
                </w:p>
              </w:tc>
              <w:tc>
                <w:tcPr>
                  <w:tcW w:w="975" w:type="dxa"/>
                  <w:tcBorders/>
                  <w:vAlign w:val="center"/>
                </w:tcPr>
                <w:p>
                  <w:pPr>
                    <w:pStyle w:val="Compact"/>
                    <w:spacing w:before="36" w:after="36"/>
                    <w:jc w:val="center"/>
                    <w:rPr>
                      <w:b w:val="false"/>
                    </w:rPr>
                  </w:pPr>
                  <w:r>
                    <w:rPr>
                      <w:b w:val="false"/>
                    </w:rPr>
                    <w:t>Opus</w:t>
                  </w:r>
                </w:p>
              </w:tc>
              <w:tc>
                <w:tcPr>
                  <w:tcW w:w="980" w:type="dxa"/>
                  <w:tcBorders/>
                  <w:vAlign w:val="center"/>
                </w:tcPr>
                <w:p>
                  <w:pPr>
                    <w:pStyle w:val="Compact"/>
                    <w:spacing w:before="36" w:after="36"/>
                    <w:jc w:val="center"/>
                    <w:rPr>
                      <w:b w:val="false"/>
                    </w:rPr>
                  </w:pPr>
                  <w:r>
                    <w:rPr>
                      <w:b w:val="false"/>
                    </w:rPr>
                    <w:t>Luna</w:t>
                  </w:r>
                </w:p>
              </w:tc>
              <w:tc>
                <w:tcPr>
                  <w:tcW w:w="975" w:type="dxa"/>
                  <w:tcBorders/>
                  <w:vAlign w:val="center"/>
                </w:tcPr>
                <w:p>
                  <w:pPr>
                    <w:pStyle w:val="Compact"/>
                    <w:spacing w:before="36" w:after="36"/>
                    <w:jc w:val="center"/>
                    <w:rPr>
                      <w:b w:val="false"/>
                    </w:rPr>
                  </w:pPr>
                  <w:r>
                    <w:rPr>
                      <w:b w:val="false"/>
                    </w:rPr>
                    <w:t>Terra</w:t>
                  </w:r>
                </w:p>
              </w:tc>
              <w:tc>
                <w:tcPr>
                  <w:tcW w:w="981" w:type="dxa"/>
                  <w:tcBorders/>
                  <w:vAlign w:val="center"/>
                </w:tcPr>
                <w:p>
                  <w:pPr>
                    <w:pStyle w:val="Compact"/>
                    <w:spacing w:before="36" w:after="36"/>
                    <w:jc w:val="center"/>
                    <w:rPr>
                      <w:b w:val="false"/>
                    </w:rPr>
                  </w:pPr>
                  <w:r>
                    <w:rPr>
                      <w:b w:val="false"/>
                    </w:rPr>
                    <w:t>Sol</w:t>
                  </w:r>
                </w:p>
              </w:tc>
            </w:tr>
            <w:tr>
              <w:trPr/>
              <w:tc>
                <w:tcPr>
                  <w:tcW w:w="1323" w:type="dxa"/>
                  <w:tcBorders>
                    <w:top w:val="nil"/>
                    <w:bottom w:val="nil"/>
                  </w:tcBorders>
                  <w:vAlign w:val="center"/>
                </w:tcPr>
                <w:p>
                  <w:pPr>
                    <w:pStyle w:val="Compact"/>
                    <w:spacing w:before="36" w:after="36"/>
                    <w:jc w:val="center"/>
                    <w:rPr/>
                  </w:pPr>
                  <w:r>
                    <w:rPr/>
                    <w:t>Weight (oz)</w:t>
                  </w:r>
                </w:p>
              </w:tc>
              <w:tc>
                <w:tcPr>
                  <w:tcW w:w="974" w:type="dxa"/>
                  <w:tcBorders>
                    <w:top w:val="nil"/>
                    <w:bottom w:val="nil"/>
                  </w:tcBorders>
                  <w:vAlign w:val="center"/>
                </w:tcPr>
                <w:p>
                  <w:pPr>
                    <w:pStyle w:val="Compact"/>
                    <w:spacing w:before="36" w:after="36"/>
                    <w:jc w:val="center"/>
                    <w:rPr/>
                  </w:pPr>
                  <w:r>
                    <w:rPr/>
                    <w:t>1.51*** (0.09)</w:t>
                  </w:r>
                </w:p>
              </w:tc>
              <w:tc>
                <w:tcPr>
                  <w:tcW w:w="981" w:type="dxa"/>
                  <w:tcBorders>
                    <w:top w:val="nil"/>
                    <w:bottom w:val="nil"/>
                  </w:tcBorders>
                  <w:vAlign w:val="center"/>
                </w:tcPr>
                <w:p>
                  <w:pPr>
                    <w:pStyle w:val="Compact"/>
                    <w:spacing w:before="36" w:after="36"/>
                    <w:jc w:val="center"/>
                    <w:rPr/>
                  </w:pPr>
                  <w:r>
                    <w:rPr/>
                    <w:t>1.15*** (0.07)</w:t>
                  </w:r>
                </w:p>
              </w:tc>
              <w:tc>
                <w:tcPr>
                  <w:tcW w:w="974" w:type="dxa"/>
                  <w:tcBorders>
                    <w:top w:val="nil"/>
                    <w:bottom w:val="nil"/>
                  </w:tcBorders>
                  <w:vAlign w:val="center"/>
                </w:tcPr>
                <w:p>
                  <w:pPr>
                    <w:pStyle w:val="Compact"/>
                    <w:spacing w:before="36" w:after="36"/>
                    <w:jc w:val="center"/>
                    <w:rPr/>
                  </w:pPr>
                  <w:r>
                    <w:rPr/>
                    <w:t>2.04*** (0.13)</w:t>
                  </w:r>
                </w:p>
              </w:tc>
              <w:tc>
                <w:tcPr>
                  <w:tcW w:w="981" w:type="dxa"/>
                  <w:tcBorders>
                    <w:top w:val="nil"/>
                    <w:bottom w:val="nil"/>
                  </w:tcBorders>
                  <w:vAlign w:val="center"/>
                </w:tcPr>
                <w:p>
                  <w:pPr>
                    <w:pStyle w:val="Compact"/>
                    <w:spacing w:before="36" w:after="36"/>
                    <w:jc w:val="center"/>
                    <w:rPr/>
                  </w:pPr>
                  <w:r>
                    <w:rPr/>
                    <w:t>2.61*** (0.19)</w:t>
                  </w:r>
                </w:p>
              </w:tc>
              <w:tc>
                <w:tcPr>
                  <w:tcW w:w="975" w:type="dxa"/>
                  <w:tcBorders>
                    <w:top w:val="nil"/>
                    <w:bottom w:val="nil"/>
                  </w:tcBorders>
                  <w:vAlign w:val="center"/>
                </w:tcPr>
                <w:p>
                  <w:pPr>
                    <w:pStyle w:val="Compact"/>
                    <w:spacing w:before="36" w:after="36"/>
                    <w:jc w:val="center"/>
                    <w:rPr/>
                  </w:pPr>
                  <w:r>
                    <w:rPr/>
                    <w:t>1.06*** (0.06)</w:t>
                  </w:r>
                </w:p>
              </w:tc>
              <w:tc>
                <w:tcPr>
                  <w:tcW w:w="980" w:type="dxa"/>
                  <w:tcBorders>
                    <w:top w:val="nil"/>
                    <w:bottom w:val="nil"/>
                  </w:tcBorders>
                  <w:vAlign w:val="center"/>
                </w:tcPr>
                <w:p>
                  <w:pPr>
                    <w:pStyle w:val="Compact"/>
                    <w:spacing w:before="36" w:after="36"/>
                    <w:jc w:val="center"/>
                    <w:rPr/>
                  </w:pPr>
                  <w:r>
                    <w:rPr/>
                    <w:t>2.60*** (0.19)</w:t>
                  </w:r>
                </w:p>
              </w:tc>
              <w:tc>
                <w:tcPr>
                  <w:tcW w:w="975" w:type="dxa"/>
                  <w:tcBorders>
                    <w:top w:val="nil"/>
                    <w:bottom w:val="nil"/>
                  </w:tcBorders>
                  <w:vAlign w:val="center"/>
                </w:tcPr>
                <w:p>
                  <w:pPr>
                    <w:pStyle w:val="Compact"/>
                    <w:spacing w:before="36" w:after="36"/>
                    <w:jc w:val="center"/>
                    <w:rPr/>
                  </w:pPr>
                  <w:r>
                    <w:rPr/>
                    <w:t>2.78*** (0.21)</w:t>
                  </w:r>
                </w:p>
              </w:tc>
              <w:tc>
                <w:tcPr>
                  <w:tcW w:w="981" w:type="dxa"/>
                  <w:tcBorders>
                    <w:top w:val="nil"/>
                    <w:bottom w:val="nil"/>
                  </w:tcBorders>
                  <w:vAlign w:val="center"/>
                </w:tcPr>
                <w:p>
                  <w:pPr>
                    <w:pStyle w:val="Compact"/>
                    <w:spacing w:before="36" w:after="36"/>
                    <w:jc w:val="center"/>
                    <w:rPr/>
                  </w:pPr>
                  <w:r>
                    <w:rPr/>
                    <w:t>2.78*** (0.21)</w:t>
                  </w:r>
                </w:p>
              </w:tc>
            </w:tr>
            <w:tr>
              <w:trPr/>
              <w:tc>
                <w:tcPr>
                  <w:tcW w:w="1323" w:type="dxa"/>
                  <w:tcBorders>
                    <w:top w:val="nil"/>
                    <w:bottom w:val="nil"/>
                  </w:tcBorders>
                  <w:vAlign w:val="center"/>
                </w:tcPr>
                <w:p>
                  <w:pPr>
                    <w:pStyle w:val="Compact"/>
                    <w:spacing w:before="36" w:after="36"/>
                    <w:jc w:val="center"/>
                    <w:rPr/>
                  </w:pPr>
                  <w:r>
                    <w:rPr/>
                    <w:t>Dollars ($)</w:t>
                  </w:r>
                </w:p>
              </w:tc>
              <w:tc>
                <w:tcPr>
                  <w:tcW w:w="974" w:type="dxa"/>
                  <w:tcBorders>
                    <w:top w:val="nil"/>
                    <w:bottom w:val="nil"/>
                  </w:tcBorders>
                  <w:vAlign w:val="center"/>
                </w:tcPr>
                <w:p>
                  <w:pPr>
                    <w:pStyle w:val="Compact"/>
                    <w:spacing w:before="36" w:after="36"/>
                    <w:jc w:val="center"/>
                    <w:rPr/>
                  </w:pPr>
                  <w:r>
                    <w:rPr/>
                    <w:t>-2.14*** (0.13)</w:t>
                  </w:r>
                </w:p>
              </w:tc>
              <w:tc>
                <w:tcPr>
                  <w:tcW w:w="981" w:type="dxa"/>
                  <w:tcBorders>
                    <w:top w:val="nil"/>
                    <w:bottom w:val="nil"/>
                  </w:tcBorders>
                  <w:vAlign w:val="center"/>
                </w:tcPr>
                <w:p>
                  <w:pPr>
                    <w:pStyle w:val="Compact"/>
                    <w:spacing w:before="36" w:after="36"/>
                    <w:jc w:val="center"/>
                    <w:rPr/>
                  </w:pPr>
                  <w:r>
                    <w:rPr/>
                    <w:t>-1.69*** (0.10)</w:t>
                  </w:r>
                </w:p>
              </w:tc>
              <w:tc>
                <w:tcPr>
                  <w:tcW w:w="974" w:type="dxa"/>
                  <w:tcBorders>
                    <w:top w:val="nil"/>
                    <w:bottom w:val="nil"/>
                  </w:tcBorders>
                  <w:vAlign w:val="center"/>
                </w:tcPr>
                <w:p>
                  <w:pPr>
                    <w:pStyle w:val="Compact"/>
                    <w:spacing w:before="36" w:after="36"/>
                    <w:jc w:val="center"/>
                    <w:rPr/>
                  </w:pPr>
                  <w:r>
                    <w:rPr/>
                    <w:t>-3.11*** (0.20)</w:t>
                  </w:r>
                </w:p>
              </w:tc>
              <w:tc>
                <w:tcPr>
                  <w:tcW w:w="981" w:type="dxa"/>
                  <w:tcBorders>
                    <w:top w:val="nil"/>
                    <w:bottom w:val="nil"/>
                  </w:tcBorders>
                  <w:vAlign w:val="center"/>
                </w:tcPr>
                <w:p>
                  <w:pPr>
                    <w:pStyle w:val="Compact"/>
                    <w:spacing w:before="36" w:after="36"/>
                    <w:jc w:val="center"/>
                    <w:rPr/>
                  </w:pPr>
                  <w:r>
                    <w:rPr/>
                    <w:t>-3.99*** (0.28)</w:t>
                  </w:r>
                </w:p>
              </w:tc>
              <w:tc>
                <w:tcPr>
                  <w:tcW w:w="975" w:type="dxa"/>
                  <w:tcBorders>
                    <w:top w:val="nil"/>
                    <w:bottom w:val="nil"/>
                  </w:tcBorders>
                  <w:vAlign w:val="center"/>
                </w:tcPr>
                <w:p>
                  <w:pPr>
                    <w:pStyle w:val="Compact"/>
                    <w:spacing w:before="36" w:after="36"/>
                    <w:jc w:val="center"/>
                    <w:rPr/>
                  </w:pPr>
                  <w:r>
                    <w:rPr/>
                    <w:t>-1.54*** (0.09)</w:t>
                  </w:r>
                </w:p>
              </w:tc>
              <w:tc>
                <w:tcPr>
                  <w:tcW w:w="980" w:type="dxa"/>
                  <w:tcBorders>
                    <w:top w:val="nil"/>
                    <w:bottom w:val="nil"/>
                  </w:tcBorders>
                  <w:vAlign w:val="center"/>
                </w:tcPr>
                <w:p>
                  <w:pPr>
                    <w:pStyle w:val="Compact"/>
                    <w:spacing w:before="36" w:after="36"/>
                    <w:jc w:val="center"/>
                    <w:rPr/>
                  </w:pPr>
                  <w:r>
                    <w:rPr/>
                    <w:t>-4.00*** (0.29)</w:t>
                  </w:r>
                </w:p>
              </w:tc>
              <w:tc>
                <w:tcPr>
                  <w:tcW w:w="975" w:type="dxa"/>
                  <w:tcBorders>
                    <w:top w:val="nil"/>
                    <w:bottom w:val="nil"/>
                  </w:tcBorders>
                  <w:vAlign w:val="center"/>
                </w:tcPr>
                <w:p>
                  <w:pPr>
                    <w:pStyle w:val="Compact"/>
                    <w:spacing w:before="36" w:after="36"/>
                    <w:jc w:val="center"/>
                    <w:rPr/>
                  </w:pPr>
                  <w:r>
                    <w:rPr/>
                    <w:t>-4.29*** (0.31)</w:t>
                  </w:r>
                </w:p>
              </w:tc>
              <w:tc>
                <w:tcPr>
                  <w:tcW w:w="981" w:type="dxa"/>
                  <w:tcBorders>
                    <w:top w:val="nil"/>
                    <w:bottom w:val="nil"/>
                  </w:tcBorders>
                  <w:vAlign w:val="center"/>
                </w:tcPr>
                <w:p>
                  <w:pPr>
                    <w:pStyle w:val="Compact"/>
                    <w:spacing w:before="36" w:after="36"/>
                    <w:jc w:val="center"/>
                    <w:rPr/>
                  </w:pPr>
                  <w:r>
                    <w:rPr/>
                    <w:t>-4.29*** (0.31)</w:t>
                  </w:r>
                </w:p>
              </w:tc>
            </w:tr>
            <w:tr>
              <w:trPr/>
              <w:tc>
                <w:tcPr>
                  <w:tcW w:w="1323" w:type="dxa"/>
                  <w:tcBorders>
                    <w:top w:val="nil"/>
                    <w:bottom w:val="nil"/>
                  </w:tcBorders>
                  <w:vAlign w:val="center"/>
                </w:tcPr>
                <w:p>
                  <w:pPr>
                    <w:pStyle w:val="Compact"/>
                    <w:spacing w:before="36" w:after="36"/>
                    <w:jc w:val="center"/>
                    <w:rPr/>
                  </w:pPr>
                  <w:r>
                    <w:rPr/>
                    <w:t>Cents ($)</w:t>
                  </w:r>
                </w:p>
              </w:tc>
              <w:tc>
                <w:tcPr>
                  <w:tcW w:w="974" w:type="dxa"/>
                  <w:tcBorders>
                    <w:top w:val="nil"/>
                    <w:bottom w:val="nil"/>
                  </w:tcBorders>
                  <w:vAlign w:val="center"/>
                </w:tcPr>
                <w:p>
                  <w:pPr>
                    <w:pStyle w:val="Compact"/>
                    <w:spacing w:before="36" w:after="36"/>
                    <w:jc w:val="center"/>
                    <w:rPr/>
                  </w:pPr>
                  <w:r>
                    <w:rPr/>
                    <w:t>-1.81*** (0.30)</w:t>
                  </w:r>
                </w:p>
              </w:tc>
              <w:tc>
                <w:tcPr>
                  <w:tcW w:w="981" w:type="dxa"/>
                  <w:tcBorders>
                    <w:top w:val="nil"/>
                    <w:bottom w:val="nil"/>
                  </w:tcBorders>
                  <w:vAlign w:val="center"/>
                </w:tcPr>
                <w:p>
                  <w:pPr>
                    <w:pStyle w:val="Compact"/>
                    <w:spacing w:before="36" w:after="36"/>
                    <w:jc w:val="center"/>
                    <w:rPr/>
                  </w:pPr>
                  <w:r>
                    <w:rPr/>
                    <w:t>-0.92** (0.31)</w:t>
                  </w:r>
                </w:p>
              </w:tc>
              <w:tc>
                <w:tcPr>
                  <w:tcW w:w="974" w:type="dxa"/>
                  <w:tcBorders>
                    <w:top w:val="nil"/>
                    <w:bottom w:val="nil"/>
                  </w:tcBorders>
                  <w:vAlign w:val="center"/>
                </w:tcPr>
                <w:p>
                  <w:pPr>
                    <w:pStyle w:val="Compact"/>
                    <w:spacing w:before="36" w:after="36"/>
                    <w:jc w:val="center"/>
                    <w:rPr/>
                  </w:pPr>
                  <w:r>
                    <w:rPr/>
                    <w:t>-3.18*** (0.37)</w:t>
                  </w:r>
                </w:p>
              </w:tc>
              <w:tc>
                <w:tcPr>
                  <w:tcW w:w="981" w:type="dxa"/>
                  <w:tcBorders>
                    <w:top w:val="nil"/>
                    <w:bottom w:val="nil"/>
                  </w:tcBorders>
                  <w:vAlign w:val="center"/>
                </w:tcPr>
                <w:p>
                  <w:pPr>
                    <w:pStyle w:val="Compact"/>
                    <w:spacing w:before="36" w:after="36"/>
                    <w:jc w:val="center"/>
                    <w:rPr/>
                  </w:pPr>
                  <w:r>
                    <w:rPr/>
                    <w:t>-4.45*** (0.48)</w:t>
                  </w:r>
                </w:p>
              </w:tc>
              <w:tc>
                <w:tcPr>
                  <w:tcW w:w="975" w:type="dxa"/>
                  <w:tcBorders>
                    <w:top w:val="nil"/>
                    <w:bottom w:val="nil"/>
                  </w:tcBorders>
                  <w:vAlign w:val="center"/>
                </w:tcPr>
                <w:p>
                  <w:pPr>
                    <w:pStyle w:val="Compact"/>
                    <w:spacing w:before="36" w:after="36"/>
                    <w:jc w:val="center"/>
                    <w:rPr/>
                  </w:pPr>
                  <w:r>
                    <w:rPr/>
                    <w:t>-1.25*** (0.29)</w:t>
                  </w:r>
                </w:p>
              </w:tc>
              <w:tc>
                <w:tcPr>
                  <w:tcW w:w="980" w:type="dxa"/>
                  <w:tcBorders>
                    <w:top w:val="nil"/>
                    <w:bottom w:val="nil"/>
                  </w:tcBorders>
                  <w:vAlign w:val="center"/>
                </w:tcPr>
                <w:p>
                  <w:pPr>
                    <w:pStyle w:val="Compact"/>
                    <w:spacing w:before="36" w:after="36"/>
                    <w:jc w:val="center"/>
                    <w:rPr/>
                  </w:pPr>
                  <w:r>
                    <w:rPr/>
                    <w:t>-4.45*** (0.48)</w:t>
                  </w:r>
                </w:p>
              </w:tc>
              <w:tc>
                <w:tcPr>
                  <w:tcW w:w="975" w:type="dxa"/>
                  <w:tcBorders>
                    <w:top w:val="nil"/>
                    <w:bottom w:val="nil"/>
                  </w:tcBorders>
                  <w:vAlign w:val="center"/>
                </w:tcPr>
                <w:p>
                  <w:pPr>
                    <w:pStyle w:val="Compact"/>
                    <w:spacing w:before="36" w:after="36"/>
                    <w:jc w:val="center"/>
                    <w:rPr/>
                  </w:pPr>
                  <w:r>
                    <w:rPr/>
                    <w:t>-4.75*** (0.51)</w:t>
                  </w:r>
                </w:p>
              </w:tc>
              <w:tc>
                <w:tcPr>
                  <w:tcW w:w="981" w:type="dxa"/>
                  <w:tcBorders>
                    <w:top w:val="nil"/>
                    <w:bottom w:val="nil"/>
                  </w:tcBorders>
                  <w:vAlign w:val="center"/>
                </w:tcPr>
                <w:p>
                  <w:pPr>
                    <w:pStyle w:val="Compact"/>
                    <w:spacing w:before="36" w:after="36"/>
                    <w:jc w:val="center"/>
                    <w:rPr/>
                  </w:pPr>
                  <w:r>
                    <w:rPr/>
                    <w:t>-4.75*** (0.51)</w:t>
                  </w:r>
                </w:p>
              </w:tc>
            </w:tr>
            <w:tr>
              <w:trPr/>
              <w:tc>
                <w:tcPr>
                  <w:tcW w:w="1323" w:type="dxa"/>
                  <w:tcBorders>
                    <w:top w:val="nil"/>
                    <w:bottom w:val="nil"/>
                  </w:tcBorders>
                  <w:vAlign w:val="center"/>
                </w:tcPr>
                <w:p>
                  <w:pPr>
                    <w:pStyle w:val="Compact"/>
                    <w:spacing w:before="36" w:after="36"/>
                    <w:jc w:val="center"/>
                    <w:rPr/>
                  </w:pPr>
                  <w:r>
                    <w:rPr/>
                    <w:t>Brand (Maxwell House)</w:t>
                  </w:r>
                </w:p>
              </w:tc>
              <w:tc>
                <w:tcPr>
                  <w:tcW w:w="974" w:type="dxa"/>
                  <w:tcBorders>
                    <w:top w:val="nil"/>
                    <w:bottom w:val="nil"/>
                  </w:tcBorders>
                  <w:vAlign w:val="center"/>
                </w:tcPr>
                <w:p>
                  <w:pPr>
                    <w:pStyle w:val="Compact"/>
                    <w:spacing w:before="36" w:after="36"/>
                    <w:jc w:val="center"/>
                    <w:rPr/>
                  </w:pPr>
                  <w:r>
                    <w:rPr/>
                    <w:t>-0.18 (0.18)</w:t>
                  </w:r>
                </w:p>
              </w:tc>
              <w:tc>
                <w:tcPr>
                  <w:tcW w:w="981" w:type="dxa"/>
                  <w:tcBorders>
                    <w:top w:val="nil"/>
                    <w:bottom w:val="nil"/>
                  </w:tcBorders>
                  <w:vAlign w:val="center"/>
                </w:tcPr>
                <w:p>
                  <w:pPr>
                    <w:pStyle w:val="Compact"/>
                    <w:spacing w:before="36" w:after="36"/>
                    <w:jc w:val="center"/>
                    <w:rPr/>
                  </w:pPr>
                  <w:r>
                    <w:rPr/>
                    <w:t>-0.56** (0.21)</w:t>
                  </w:r>
                </w:p>
              </w:tc>
              <w:tc>
                <w:tcPr>
                  <w:tcW w:w="974" w:type="dxa"/>
                  <w:tcBorders>
                    <w:top w:val="nil"/>
                    <w:bottom w:val="nil"/>
                  </w:tcBorders>
                  <w:vAlign w:val="center"/>
                </w:tcPr>
                <w:p>
                  <w:pPr>
                    <w:pStyle w:val="Compact"/>
                    <w:spacing w:before="36" w:after="36"/>
                    <w:jc w:val="center"/>
                    <w:rPr/>
                  </w:pPr>
                  <w:r>
                    <w:rPr/>
                    <w:t>-0.30 (0.20)</w:t>
                  </w:r>
                </w:p>
              </w:tc>
              <w:tc>
                <w:tcPr>
                  <w:tcW w:w="981" w:type="dxa"/>
                  <w:tcBorders>
                    <w:top w:val="nil"/>
                    <w:bottom w:val="nil"/>
                  </w:tcBorders>
                  <w:vAlign w:val="center"/>
                </w:tcPr>
                <w:p>
                  <w:pPr>
                    <w:pStyle w:val="Compact"/>
                    <w:spacing w:before="36" w:after="36"/>
                    <w:jc w:val="center"/>
                    <w:rPr/>
                  </w:pPr>
                  <w:r>
                    <w:rPr/>
                    <w:t>-0.09 (0.22)</w:t>
                  </w:r>
                </w:p>
              </w:tc>
              <w:tc>
                <w:tcPr>
                  <w:tcW w:w="975" w:type="dxa"/>
                  <w:tcBorders>
                    <w:top w:val="nil"/>
                    <w:bottom w:val="nil"/>
                  </w:tcBorders>
                  <w:vAlign w:val="center"/>
                </w:tcPr>
                <w:p>
                  <w:pPr>
                    <w:pStyle w:val="Compact"/>
                    <w:spacing w:before="36" w:after="36"/>
                    <w:jc w:val="center"/>
                    <w:rPr/>
                  </w:pPr>
                  <w:r>
                    <w:rPr/>
                    <w:t>-0.46* (0.20)</w:t>
                  </w:r>
                </w:p>
              </w:tc>
              <w:tc>
                <w:tcPr>
                  <w:tcW w:w="980" w:type="dxa"/>
                  <w:tcBorders>
                    <w:top w:val="nil"/>
                    <w:bottom w:val="nil"/>
                  </w:tcBorders>
                  <w:vAlign w:val="center"/>
                </w:tcPr>
                <w:p>
                  <w:pPr>
                    <w:pStyle w:val="Compact"/>
                    <w:spacing w:before="36" w:after="36"/>
                    <w:jc w:val="center"/>
                    <w:rPr/>
                  </w:pPr>
                  <w:r>
                    <w:rPr/>
                    <w:t>-0.21 (0.22)</w:t>
                  </w:r>
                </w:p>
              </w:tc>
              <w:tc>
                <w:tcPr>
                  <w:tcW w:w="975" w:type="dxa"/>
                  <w:tcBorders>
                    <w:top w:val="nil"/>
                    <w:bottom w:val="nil"/>
                  </w:tcBorders>
                  <w:vAlign w:val="center"/>
                </w:tcPr>
                <w:p>
                  <w:pPr>
                    <w:pStyle w:val="Compact"/>
                    <w:spacing w:before="36" w:after="36"/>
                    <w:jc w:val="center"/>
                    <w:rPr/>
                  </w:pPr>
                  <w:r>
                    <w:rPr/>
                    <w:t>-0.24 (0.23)</w:t>
                  </w:r>
                </w:p>
              </w:tc>
              <w:tc>
                <w:tcPr>
                  <w:tcW w:w="981" w:type="dxa"/>
                  <w:tcBorders>
                    <w:top w:val="nil"/>
                    <w:bottom w:val="nil"/>
                  </w:tcBorders>
                  <w:vAlign w:val="center"/>
                </w:tcPr>
                <w:p>
                  <w:pPr>
                    <w:pStyle w:val="Compact"/>
                    <w:spacing w:before="36" w:after="36"/>
                    <w:jc w:val="center"/>
                    <w:rPr/>
                  </w:pPr>
                  <w:r>
                    <w:rPr/>
                    <w:t>-0.24 (0.23)</w:t>
                  </w:r>
                </w:p>
              </w:tc>
            </w:tr>
            <w:tr>
              <w:trPr/>
              <w:tc>
                <w:tcPr>
                  <w:tcW w:w="1323" w:type="dxa"/>
                  <w:tcBorders>
                    <w:top w:val="nil"/>
                    <w:bottom w:val="nil"/>
                  </w:tcBorders>
                  <w:vAlign w:val="center"/>
                </w:tcPr>
                <w:p>
                  <w:pPr>
                    <w:pStyle w:val="Compact"/>
                    <w:spacing w:before="36" w:after="36"/>
                    <w:jc w:val="center"/>
                    <w:rPr/>
                  </w:pPr>
                  <w:r>
                    <w:rPr/>
                    <w:t>Brand (McCafé)</w:t>
                  </w:r>
                </w:p>
              </w:tc>
              <w:tc>
                <w:tcPr>
                  <w:tcW w:w="974" w:type="dxa"/>
                  <w:tcBorders>
                    <w:top w:val="nil"/>
                    <w:bottom w:val="nil"/>
                  </w:tcBorders>
                  <w:vAlign w:val="center"/>
                </w:tcPr>
                <w:p>
                  <w:pPr>
                    <w:pStyle w:val="Compact"/>
                    <w:spacing w:before="36" w:after="36"/>
                    <w:jc w:val="center"/>
                    <w:rPr/>
                  </w:pPr>
                  <w:r>
                    <w:rPr/>
                    <w:t>0.17 (0.18)</w:t>
                  </w:r>
                </w:p>
              </w:tc>
              <w:tc>
                <w:tcPr>
                  <w:tcW w:w="981" w:type="dxa"/>
                  <w:tcBorders>
                    <w:top w:val="nil"/>
                    <w:bottom w:val="nil"/>
                  </w:tcBorders>
                  <w:vAlign w:val="center"/>
                </w:tcPr>
                <w:p>
                  <w:pPr>
                    <w:pStyle w:val="Compact"/>
                    <w:spacing w:before="36" w:after="36"/>
                    <w:jc w:val="center"/>
                    <w:rPr/>
                  </w:pPr>
                  <w:r>
                    <w:rPr/>
                    <w:t>0.95*** (0.19)</w:t>
                  </w:r>
                </w:p>
              </w:tc>
              <w:tc>
                <w:tcPr>
                  <w:tcW w:w="974" w:type="dxa"/>
                  <w:tcBorders>
                    <w:top w:val="nil"/>
                    <w:bottom w:val="nil"/>
                  </w:tcBorders>
                  <w:vAlign w:val="center"/>
                </w:tcPr>
                <w:p>
                  <w:pPr>
                    <w:pStyle w:val="Compact"/>
                    <w:spacing w:before="36" w:after="36"/>
                    <w:jc w:val="center"/>
                    <w:rPr/>
                  </w:pPr>
                  <w:r>
                    <w:rPr/>
                    <w:t>-0.03 (0.20)</w:t>
                  </w:r>
                </w:p>
              </w:tc>
              <w:tc>
                <w:tcPr>
                  <w:tcW w:w="981" w:type="dxa"/>
                  <w:tcBorders>
                    <w:top w:val="nil"/>
                    <w:bottom w:val="nil"/>
                  </w:tcBorders>
                  <w:vAlign w:val="center"/>
                </w:tcPr>
                <w:p>
                  <w:pPr>
                    <w:pStyle w:val="Compact"/>
                    <w:spacing w:before="36" w:after="36"/>
                    <w:jc w:val="center"/>
                    <w:rPr/>
                  </w:pPr>
                  <w:r>
                    <w:rPr/>
                    <w:t>-0.19 (0.21)</w:t>
                  </w:r>
                </w:p>
              </w:tc>
              <w:tc>
                <w:tcPr>
                  <w:tcW w:w="975" w:type="dxa"/>
                  <w:tcBorders>
                    <w:top w:val="nil"/>
                    <w:bottom w:val="nil"/>
                  </w:tcBorders>
                  <w:vAlign w:val="center"/>
                </w:tcPr>
                <w:p>
                  <w:pPr>
                    <w:pStyle w:val="Compact"/>
                    <w:spacing w:before="36" w:after="36"/>
                    <w:jc w:val="center"/>
                    <w:rPr/>
                  </w:pPr>
                  <w:r>
                    <w:rPr/>
                    <w:t>2.10*** (0.19)</w:t>
                  </w:r>
                </w:p>
              </w:tc>
              <w:tc>
                <w:tcPr>
                  <w:tcW w:w="980" w:type="dxa"/>
                  <w:tcBorders>
                    <w:top w:val="nil"/>
                    <w:bottom w:val="nil"/>
                  </w:tcBorders>
                  <w:vAlign w:val="center"/>
                </w:tcPr>
                <w:p>
                  <w:pPr>
                    <w:pStyle w:val="Compact"/>
                    <w:spacing w:before="36" w:after="36"/>
                    <w:jc w:val="center"/>
                    <w:rPr/>
                  </w:pPr>
                  <w:r>
                    <w:rPr/>
                    <w:t>-0.26 (0.21)</w:t>
                  </w:r>
                </w:p>
              </w:tc>
              <w:tc>
                <w:tcPr>
                  <w:tcW w:w="975" w:type="dxa"/>
                  <w:tcBorders>
                    <w:top w:val="nil"/>
                    <w:bottom w:val="nil"/>
                  </w:tcBorders>
                  <w:vAlign w:val="center"/>
                </w:tcPr>
                <w:p>
                  <w:pPr>
                    <w:pStyle w:val="Compact"/>
                    <w:spacing w:before="36" w:after="36"/>
                    <w:jc w:val="center"/>
                    <w:rPr/>
                  </w:pPr>
                  <w:r>
                    <w:rPr/>
                    <w:t>-0.37 (0.22)</w:t>
                  </w:r>
                </w:p>
              </w:tc>
              <w:tc>
                <w:tcPr>
                  <w:tcW w:w="981" w:type="dxa"/>
                  <w:tcBorders>
                    <w:top w:val="nil"/>
                    <w:bottom w:val="nil"/>
                  </w:tcBorders>
                  <w:vAlign w:val="center"/>
                </w:tcPr>
                <w:p>
                  <w:pPr>
                    <w:pStyle w:val="Compact"/>
                    <w:spacing w:before="36" w:after="36"/>
                    <w:jc w:val="center"/>
                    <w:rPr/>
                  </w:pPr>
                  <w:r>
                    <w:rPr/>
                    <w:t>-0.37 (0.22)</w:t>
                  </w:r>
                </w:p>
              </w:tc>
            </w:tr>
            <w:tr>
              <w:trPr/>
              <w:tc>
                <w:tcPr>
                  <w:tcW w:w="1323" w:type="dxa"/>
                  <w:tcBorders>
                    <w:top w:val="nil"/>
                    <w:bottom w:val="nil"/>
                  </w:tcBorders>
                  <w:vAlign w:val="center"/>
                </w:tcPr>
                <w:p>
                  <w:pPr>
                    <w:pStyle w:val="Compact"/>
                    <w:spacing w:before="36" w:after="36"/>
                    <w:jc w:val="center"/>
                    <w:rPr/>
                  </w:pPr>
                  <w:r>
                    <w:rPr/>
                    <w:t>Brand (Starbucks)</w:t>
                  </w:r>
                </w:p>
              </w:tc>
              <w:tc>
                <w:tcPr>
                  <w:tcW w:w="974" w:type="dxa"/>
                  <w:tcBorders>
                    <w:top w:val="nil"/>
                    <w:bottom w:val="nil"/>
                  </w:tcBorders>
                  <w:vAlign w:val="center"/>
                </w:tcPr>
                <w:p>
                  <w:pPr>
                    <w:pStyle w:val="Compact"/>
                    <w:spacing w:before="36" w:after="36"/>
                    <w:jc w:val="center"/>
                    <w:rPr/>
                  </w:pPr>
                  <w:r>
                    <w:rPr/>
                    <w:t>0.91*** (0.18)</w:t>
                  </w:r>
                </w:p>
              </w:tc>
              <w:tc>
                <w:tcPr>
                  <w:tcW w:w="981" w:type="dxa"/>
                  <w:tcBorders>
                    <w:top w:val="nil"/>
                    <w:bottom w:val="nil"/>
                  </w:tcBorders>
                  <w:vAlign w:val="center"/>
                </w:tcPr>
                <w:p>
                  <w:pPr>
                    <w:pStyle w:val="Compact"/>
                    <w:spacing w:before="36" w:after="36"/>
                    <w:jc w:val="center"/>
                    <w:rPr/>
                  </w:pPr>
                  <w:r>
                    <w:rPr/>
                    <w:t>4.44*** (0.28)</w:t>
                  </w:r>
                </w:p>
              </w:tc>
              <w:tc>
                <w:tcPr>
                  <w:tcW w:w="974" w:type="dxa"/>
                  <w:tcBorders>
                    <w:top w:val="nil"/>
                    <w:bottom w:val="nil"/>
                  </w:tcBorders>
                  <w:vAlign w:val="center"/>
                </w:tcPr>
                <w:p>
                  <w:pPr>
                    <w:pStyle w:val="Compact"/>
                    <w:spacing w:before="36" w:after="36"/>
                    <w:jc w:val="center"/>
                    <w:rPr/>
                  </w:pPr>
                  <w:r>
                    <w:rPr/>
                    <w:t>1.03*** (0.20)</w:t>
                  </w:r>
                </w:p>
              </w:tc>
              <w:tc>
                <w:tcPr>
                  <w:tcW w:w="981" w:type="dxa"/>
                  <w:tcBorders>
                    <w:top w:val="nil"/>
                    <w:bottom w:val="nil"/>
                  </w:tcBorders>
                  <w:vAlign w:val="center"/>
                </w:tcPr>
                <w:p>
                  <w:pPr>
                    <w:pStyle w:val="Compact"/>
                    <w:spacing w:before="36" w:after="36"/>
                    <w:jc w:val="center"/>
                    <w:rPr/>
                  </w:pPr>
                  <w:r>
                    <w:rPr/>
                    <w:t>0.26 (0.21)</w:t>
                  </w:r>
                </w:p>
              </w:tc>
              <w:tc>
                <w:tcPr>
                  <w:tcW w:w="975" w:type="dxa"/>
                  <w:tcBorders>
                    <w:top w:val="nil"/>
                    <w:bottom w:val="nil"/>
                  </w:tcBorders>
                  <w:vAlign w:val="center"/>
                </w:tcPr>
                <w:p>
                  <w:pPr>
                    <w:pStyle w:val="Compact"/>
                    <w:spacing w:before="36" w:after="36"/>
                    <w:jc w:val="center"/>
                    <w:rPr/>
                  </w:pPr>
                  <w:r>
                    <w:rPr/>
                    <w:t>3.50*** (0.23)</w:t>
                  </w:r>
                </w:p>
              </w:tc>
              <w:tc>
                <w:tcPr>
                  <w:tcW w:w="980" w:type="dxa"/>
                  <w:tcBorders>
                    <w:top w:val="nil"/>
                    <w:bottom w:val="nil"/>
                  </w:tcBorders>
                  <w:vAlign w:val="center"/>
                </w:tcPr>
                <w:p>
                  <w:pPr>
                    <w:pStyle w:val="Compact"/>
                    <w:spacing w:before="36" w:after="36"/>
                    <w:jc w:val="center"/>
                    <w:rPr/>
                  </w:pPr>
                  <w:r>
                    <w:rPr/>
                    <w:t>-0.08 (0.21)</w:t>
                  </w:r>
                </w:p>
              </w:tc>
              <w:tc>
                <w:tcPr>
                  <w:tcW w:w="975" w:type="dxa"/>
                  <w:tcBorders>
                    <w:top w:val="nil"/>
                    <w:bottom w:val="nil"/>
                  </w:tcBorders>
                  <w:vAlign w:val="center"/>
                </w:tcPr>
                <w:p>
                  <w:pPr>
                    <w:pStyle w:val="Compact"/>
                    <w:spacing w:before="36" w:after="36"/>
                    <w:jc w:val="center"/>
                    <w:rPr/>
                  </w:pPr>
                  <w:r>
                    <w:rPr/>
                    <w:t>-0.10 (0.22)</w:t>
                  </w:r>
                </w:p>
              </w:tc>
              <w:tc>
                <w:tcPr>
                  <w:tcW w:w="981" w:type="dxa"/>
                  <w:tcBorders>
                    <w:top w:val="nil"/>
                    <w:bottom w:val="nil"/>
                  </w:tcBorders>
                  <w:vAlign w:val="center"/>
                </w:tcPr>
                <w:p>
                  <w:pPr>
                    <w:pStyle w:val="Compact"/>
                    <w:spacing w:before="36" w:after="36"/>
                    <w:jc w:val="center"/>
                    <w:rPr/>
                  </w:pPr>
                  <w:r>
                    <w:rPr/>
                    <w:t>-0.10 (0.22)</w:t>
                  </w:r>
                </w:p>
              </w:tc>
            </w:tr>
            <w:tr>
              <w:trPr/>
              <w:tc>
                <w:tcPr>
                  <w:tcW w:w="1323" w:type="dxa"/>
                  <w:tcBorders>
                    <w:top w:val="nil"/>
                    <w:bottom w:val="nil"/>
                  </w:tcBorders>
                  <w:vAlign w:val="center"/>
                </w:tcPr>
                <w:p>
                  <w:pPr>
                    <w:pStyle w:val="Compact"/>
                    <w:spacing w:before="36" w:after="36"/>
                    <w:jc w:val="center"/>
                    <w:rPr/>
                  </w:pPr>
                  <w:r>
                    <w:rPr/>
                    <w:t>Position (2)</w:t>
                  </w:r>
                </w:p>
              </w:tc>
              <w:tc>
                <w:tcPr>
                  <w:tcW w:w="974" w:type="dxa"/>
                  <w:tcBorders>
                    <w:top w:val="nil"/>
                    <w:bottom w:val="nil"/>
                  </w:tcBorders>
                  <w:vAlign w:val="center"/>
                </w:tcPr>
                <w:p>
                  <w:pPr>
                    <w:pStyle w:val="Compact"/>
                    <w:spacing w:before="36" w:after="36"/>
                    <w:jc w:val="center"/>
                    <w:rPr/>
                  </w:pPr>
                  <w:r>
                    <w:rPr/>
                    <w:t>-1.12*** (0.17)</w:t>
                  </w:r>
                </w:p>
              </w:tc>
              <w:tc>
                <w:tcPr>
                  <w:tcW w:w="981" w:type="dxa"/>
                  <w:tcBorders>
                    <w:top w:val="nil"/>
                    <w:bottom w:val="nil"/>
                  </w:tcBorders>
                  <w:vAlign w:val="center"/>
                </w:tcPr>
                <w:p>
                  <w:pPr>
                    <w:pStyle w:val="Compact"/>
                    <w:spacing w:before="36" w:after="36"/>
                    <w:jc w:val="center"/>
                    <w:rPr/>
                  </w:pPr>
                  <w:r>
                    <w:rPr/>
                    <w:t>-0.51** (0.18)</w:t>
                  </w:r>
                </w:p>
              </w:tc>
              <w:tc>
                <w:tcPr>
                  <w:tcW w:w="974" w:type="dxa"/>
                  <w:tcBorders>
                    <w:top w:val="nil"/>
                    <w:bottom w:val="nil"/>
                  </w:tcBorders>
                  <w:vAlign w:val="center"/>
                </w:tcPr>
                <w:p>
                  <w:pPr>
                    <w:pStyle w:val="Compact"/>
                    <w:spacing w:before="36" w:after="36"/>
                    <w:jc w:val="center"/>
                    <w:rPr/>
                  </w:pPr>
                  <w:r>
                    <w:rPr/>
                    <w:t>-0.33 (0.19)</w:t>
                  </w:r>
                </w:p>
              </w:tc>
              <w:tc>
                <w:tcPr>
                  <w:tcW w:w="981" w:type="dxa"/>
                  <w:tcBorders>
                    <w:top w:val="nil"/>
                    <w:bottom w:val="nil"/>
                  </w:tcBorders>
                  <w:vAlign w:val="center"/>
                </w:tcPr>
                <w:p>
                  <w:pPr>
                    <w:pStyle w:val="Compact"/>
                    <w:spacing w:before="36" w:after="36"/>
                    <w:jc w:val="center"/>
                    <w:rPr/>
                  </w:pPr>
                  <w:r>
                    <w:rPr/>
                    <w:t>0.16 (0.21)</w:t>
                  </w:r>
                </w:p>
              </w:tc>
              <w:tc>
                <w:tcPr>
                  <w:tcW w:w="975" w:type="dxa"/>
                  <w:tcBorders>
                    <w:top w:val="nil"/>
                    <w:bottom w:val="nil"/>
                  </w:tcBorders>
                  <w:vAlign w:val="center"/>
                </w:tcPr>
                <w:p>
                  <w:pPr>
                    <w:pStyle w:val="Compact"/>
                    <w:spacing w:before="36" w:after="36"/>
                    <w:jc w:val="center"/>
                    <w:rPr/>
                  </w:pPr>
                  <w:r>
                    <w:rPr/>
                    <w:t>-0.02 (0.17)</w:t>
                  </w:r>
                </w:p>
              </w:tc>
              <w:tc>
                <w:tcPr>
                  <w:tcW w:w="980" w:type="dxa"/>
                  <w:tcBorders>
                    <w:top w:val="nil"/>
                    <w:bottom w:val="nil"/>
                  </w:tcBorders>
                  <w:vAlign w:val="center"/>
                </w:tcPr>
                <w:p>
                  <w:pPr>
                    <w:pStyle w:val="Compact"/>
                    <w:spacing w:before="36" w:after="36"/>
                    <w:jc w:val="center"/>
                    <w:rPr/>
                  </w:pPr>
                  <w:r>
                    <w:rPr/>
                    <w:t>0.12 (0.21)</w:t>
                  </w:r>
                </w:p>
              </w:tc>
              <w:tc>
                <w:tcPr>
                  <w:tcW w:w="975" w:type="dxa"/>
                  <w:tcBorders>
                    <w:top w:val="nil"/>
                    <w:bottom w:val="nil"/>
                  </w:tcBorders>
                  <w:vAlign w:val="center"/>
                </w:tcPr>
                <w:p>
                  <w:pPr>
                    <w:pStyle w:val="Compact"/>
                    <w:spacing w:before="36" w:after="36"/>
                    <w:jc w:val="center"/>
                    <w:rPr/>
                  </w:pPr>
                  <w:r>
                    <w:rPr/>
                    <w:t>0.16 (0.22)</w:t>
                  </w:r>
                </w:p>
              </w:tc>
              <w:tc>
                <w:tcPr>
                  <w:tcW w:w="981" w:type="dxa"/>
                  <w:tcBorders>
                    <w:top w:val="nil"/>
                    <w:bottom w:val="nil"/>
                  </w:tcBorders>
                  <w:vAlign w:val="center"/>
                </w:tcPr>
                <w:p>
                  <w:pPr>
                    <w:pStyle w:val="Compact"/>
                    <w:spacing w:before="36" w:after="36"/>
                    <w:jc w:val="center"/>
                    <w:rPr/>
                  </w:pPr>
                  <w:r>
                    <w:rPr/>
                    <w:t>0.16 (0.22)</w:t>
                  </w:r>
                </w:p>
              </w:tc>
            </w:tr>
            <w:tr>
              <w:trPr/>
              <w:tc>
                <w:tcPr>
                  <w:tcW w:w="1323" w:type="dxa"/>
                  <w:tcBorders>
                    <w:top w:val="nil"/>
                    <w:bottom w:val="nil"/>
                  </w:tcBorders>
                  <w:vAlign w:val="center"/>
                </w:tcPr>
                <w:p>
                  <w:pPr>
                    <w:pStyle w:val="Compact"/>
                    <w:spacing w:before="36" w:after="36"/>
                    <w:jc w:val="center"/>
                    <w:rPr/>
                  </w:pPr>
                  <w:r>
                    <w:rPr/>
                    <w:t>Position (3)</w:t>
                  </w:r>
                </w:p>
              </w:tc>
              <w:tc>
                <w:tcPr>
                  <w:tcW w:w="974" w:type="dxa"/>
                  <w:tcBorders>
                    <w:top w:val="nil"/>
                    <w:bottom w:val="nil"/>
                  </w:tcBorders>
                  <w:vAlign w:val="center"/>
                </w:tcPr>
                <w:p>
                  <w:pPr>
                    <w:pStyle w:val="Compact"/>
                    <w:spacing w:before="36" w:after="36"/>
                    <w:jc w:val="center"/>
                    <w:rPr/>
                  </w:pPr>
                  <w:r>
                    <w:rPr/>
                    <w:t>-1.68*** (0.19)</w:t>
                  </w:r>
                </w:p>
              </w:tc>
              <w:tc>
                <w:tcPr>
                  <w:tcW w:w="981" w:type="dxa"/>
                  <w:tcBorders>
                    <w:top w:val="nil"/>
                    <w:bottom w:val="nil"/>
                  </w:tcBorders>
                  <w:vAlign w:val="center"/>
                </w:tcPr>
                <w:p>
                  <w:pPr>
                    <w:pStyle w:val="Compact"/>
                    <w:spacing w:before="36" w:after="36"/>
                    <w:jc w:val="center"/>
                    <w:rPr/>
                  </w:pPr>
                  <w:r>
                    <w:rPr/>
                    <w:t>-0.67*** (0.17)</w:t>
                  </w:r>
                </w:p>
              </w:tc>
              <w:tc>
                <w:tcPr>
                  <w:tcW w:w="974" w:type="dxa"/>
                  <w:tcBorders>
                    <w:top w:val="nil"/>
                    <w:bottom w:val="nil"/>
                  </w:tcBorders>
                  <w:vAlign w:val="center"/>
                </w:tcPr>
                <w:p>
                  <w:pPr>
                    <w:pStyle w:val="Compact"/>
                    <w:spacing w:before="36" w:after="36"/>
                    <w:jc w:val="center"/>
                    <w:rPr/>
                  </w:pPr>
                  <w:r>
                    <w:rPr/>
                    <w:t>-0.19 (0.19)</w:t>
                  </w:r>
                </w:p>
              </w:tc>
              <w:tc>
                <w:tcPr>
                  <w:tcW w:w="981" w:type="dxa"/>
                  <w:tcBorders>
                    <w:top w:val="nil"/>
                    <w:bottom w:val="nil"/>
                  </w:tcBorders>
                  <w:vAlign w:val="center"/>
                </w:tcPr>
                <w:p>
                  <w:pPr>
                    <w:pStyle w:val="Compact"/>
                    <w:spacing w:before="36" w:after="36"/>
                    <w:jc w:val="center"/>
                    <w:rPr/>
                  </w:pPr>
                  <w:r>
                    <w:rPr/>
                    <w:t>0.20 (0.21)</w:t>
                  </w:r>
                </w:p>
              </w:tc>
              <w:tc>
                <w:tcPr>
                  <w:tcW w:w="975" w:type="dxa"/>
                  <w:tcBorders>
                    <w:top w:val="nil"/>
                    <w:bottom w:val="nil"/>
                  </w:tcBorders>
                  <w:vAlign w:val="center"/>
                </w:tcPr>
                <w:p>
                  <w:pPr>
                    <w:pStyle w:val="Compact"/>
                    <w:spacing w:before="36" w:after="36"/>
                    <w:jc w:val="center"/>
                    <w:rPr/>
                  </w:pPr>
                  <w:r>
                    <w:rPr/>
                    <w:t>0.29 (0.17)</w:t>
                  </w:r>
                </w:p>
              </w:tc>
              <w:tc>
                <w:tcPr>
                  <w:tcW w:w="980" w:type="dxa"/>
                  <w:tcBorders>
                    <w:top w:val="nil"/>
                    <w:bottom w:val="nil"/>
                  </w:tcBorders>
                  <w:vAlign w:val="center"/>
                </w:tcPr>
                <w:p>
                  <w:pPr>
                    <w:pStyle w:val="Compact"/>
                    <w:spacing w:before="36" w:after="36"/>
                    <w:jc w:val="center"/>
                    <w:rPr/>
                  </w:pPr>
                  <w:r>
                    <w:rPr/>
                    <w:t>0.09 (0.21)</w:t>
                  </w:r>
                </w:p>
              </w:tc>
              <w:tc>
                <w:tcPr>
                  <w:tcW w:w="975" w:type="dxa"/>
                  <w:tcBorders>
                    <w:top w:val="nil"/>
                    <w:bottom w:val="nil"/>
                  </w:tcBorders>
                  <w:vAlign w:val="center"/>
                </w:tcPr>
                <w:p>
                  <w:pPr>
                    <w:pStyle w:val="Compact"/>
                    <w:spacing w:before="36" w:after="36"/>
                    <w:jc w:val="center"/>
                    <w:rPr/>
                  </w:pPr>
                  <w:r>
                    <w:rPr/>
                    <w:t>0.07 (0.22)</w:t>
                  </w:r>
                </w:p>
              </w:tc>
              <w:tc>
                <w:tcPr>
                  <w:tcW w:w="981" w:type="dxa"/>
                  <w:tcBorders>
                    <w:top w:val="nil"/>
                    <w:bottom w:val="nil"/>
                  </w:tcBorders>
                  <w:vAlign w:val="center"/>
                </w:tcPr>
                <w:p>
                  <w:pPr>
                    <w:pStyle w:val="Compact"/>
                    <w:spacing w:before="36" w:after="36"/>
                    <w:jc w:val="center"/>
                    <w:rPr/>
                  </w:pPr>
                  <w:r>
                    <w:rPr/>
                    <w:t>0.07 (0.22)</w:t>
                  </w:r>
                </w:p>
              </w:tc>
            </w:tr>
            <w:tr>
              <w:trPr/>
              <w:tc>
                <w:tcPr>
                  <w:tcW w:w="1323" w:type="dxa"/>
                  <w:tcBorders>
                    <w:top w:val="nil"/>
                    <w:bottom w:val="nil"/>
                  </w:tcBorders>
                  <w:vAlign w:val="center"/>
                </w:tcPr>
                <w:p>
                  <w:pPr>
                    <w:pStyle w:val="Compact"/>
                    <w:spacing w:before="36" w:after="36"/>
                    <w:jc w:val="center"/>
                    <w:rPr/>
                  </w:pPr>
                  <w:r>
                    <w:rPr/>
                    <w:t>Position (4)</w:t>
                  </w:r>
                </w:p>
              </w:tc>
              <w:tc>
                <w:tcPr>
                  <w:tcW w:w="974" w:type="dxa"/>
                  <w:tcBorders>
                    <w:top w:val="nil"/>
                    <w:bottom w:val="nil"/>
                  </w:tcBorders>
                  <w:vAlign w:val="center"/>
                </w:tcPr>
                <w:p>
                  <w:pPr>
                    <w:pStyle w:val="Compact"/>
                    <w:spacing w:before="36" w:after="36"/>
                    <w:jc w:val="center"/>
                    <w:rPr/>
                  </w:pPr>
                  <w:r>
                    <w:rPr/>
                    <w:t>-2.38*** (0.21)</w:t>
                  </w:r>
                </w:p>
              </w:tc>
              <w:tc>
                <w:tcPr>
                  <w:tcW w:w="981" w:type="dxa"/>
                  <w:tcBorders>
                    <w:top w:val="nil"/>
                    <w:bottom w:val="nil"/>
                  </w:tcBorders>
                  <w:vAlign w:val="center"/>
                </w:tcPr>
                <w:p>
                  <w:pPr>
                    <w:pStyle w:val="Compact"/>
                    <w:spacing w:before="36" w:after="36"/>
                    <w:jc w:val="center"/>
                    <w:rPr/>
                  </w:pPr>
                  <w:r>
                    <w:rPr/>
                    <w:t>-0.90*** (0.18)</w:t>
                  </w:r>
                </w:p>
              </w:tc>
              <w:tc>
                <w:tcPr>
                  <w:tcW w:w="974" w:type="dxa"/>
                  <w:tcBorders>
                    <w:top w:val="nil"/>
                    <w:bottom w:val="nil"/>
                  </w:tcBorders>
                  <w:vAlign w:val="center"/>
                </w:tcPr>
                <w:p>
                  <w:pPr>
                    <w:pStyle w:val="Compact"/>
                    <w:spacing w:before="36" w:after="36"/>
                    <w:jc w:val="center"/>
                    <w:rPr/>
                  </w:pPr>
                  <w:r>
                    <w:rPr/>
                    <w:t>-0.23 (0.19)</w:t>
                  </w:r>
                </w:p>
              </w:tc>
              <w:tc>
                <w:tcPr>
                  <w:tcW w:w="981" w:type="dxa"/>
                  <w:tcBorders>
                    <w:top w:val="nil"/>
                    <w:bottom w:val="nil"/>
                  </w:tcBorders>
                  <w:vAlign w:val="center"/>
                </w:tcPr>
                <w:p>
                  <w:pPr>
                    <w:pStyle w:val="Compact"/>
                    <w:spacing w:before="36" w:after="36"/>
                    <w:jc w:val="center"/>
                    <w:rPr/>
                  </w:pPr>
                  <w:r>
                    <w:rPr/>
                    <w:t>0.15 (0.21)</w:t>
                  </w:r>
                </w:p>
              </w:tc>
              <w:tc>
                <w:tcPr>
                  <w:tcW w:w="975" w:type="dxa"/>
                  <w:tcBorders>
                    <w:top w:val="nil"/>
                    <w:bottom w:val="nil"/>
                  </w:tcBorders>
                  <w:vAlign w:val="center"/>
                </w:tcPr>
                <w:p>
                  <w:pPr>
                    <w:pStyle w:val="Compact"/>
                    <w:spacing w:before="36" w:after="36"/>
                    <w:jc w:val="center"/>
                    <w:rPr/>
                  </w:pPr>
                  <w:r>
                    <w:rPr/>
                    <w:t>0.37* (0.17)</w:t>
                  </w:r>
                </w:p>
              </w:tc>
              <w:tc>
                <w:tcPr>
                  <w:tcW w:w="980" w:type="dxa"/>
                  <w:tcBorders>
                    <w:top w:val="nil"/>
                    <w:bottom w:val="nil"/>
                  </w:tcBorders>
                  <w:vAlign w:val="center"/>
                </w:tcPr>
                <w:p>
                  <w:pPr>
                    <w:pStyle w:val="Compact"/>
                    <w:spacing w:before="36" w:after="36"/>
                    <w:jc w:val="center"/>
                    <w:rPr/>
                  </w:pPr>
                  <w:r>
                    <w:rPr/>
                    <w:t>0.10 (0.21)</w:t>
                  </w:r>
                </w:p>
              </w:tc>
              <w:tc>
                <w:tcPr>
                  <w:tcW w:w="975" w:type="dxa"/>
                  <w:tcBorders>
                    <w:top w:val="nil"/>
                    <w:bottom w:val="nil"/>
                  </w:tcBorders>
                  <w:vAlign w:val="center"/>
                </w:tcPr>
                <w:p>
                  <w:pPr>
                    <w:pStyle w:val="Compact"/>
                    <w:spacing w:before="36" w:after="36"/>
                    <w:jc w:val="center"/>
                    <w:rPr/>
                  </w:pPr>
                  <w:r>
                    <w:rPr/>
                    <w:t>0.11 (0.21)</w:t>
                  </w:r>
                </w:p>
              </w:tc>
              <w:tc>
                <w:tcPr>
                  <w:tcW w:w="981" w:type="dxa"/>
                  <w:tcBorders>
                    <w:top w:val="nil"/>
                    <w:bottom w:val="nil"/>
                  </w:tcBorders>
                  <w:vAlign w:val="center"/>
                </w:tcPr>
                <w:p>
                  <w:pPr>
                    <w:pStyle w:val="Compact"/>
                    <w:spacing w:before="36" w:after="36"/>
                    <w:jc w:val="center"/>
                    <w:rPr/>
                  </w:pPr>
                  <w:r>
                    <w:rPr/>
                    <w:t>0.11 (0.21)</w:t>
                  </w:r>
                </w:p>
              </w:tc>
            </w:tr>
            <w:tr>
              <w:trPr/>
              <w:tc>
                <w:tcPr>
                  <w:tcW w:w="1323" w:type="dxa"/>
                  <w:tcBorders>
                    <w:top w:val="nil"/>
                    <w:bottom w:val="nil"/>
                  </w:tcBorders>
                  <w:vAlign w:val="center"/>
                </w:tcPr>
                <w:p>
                  <w:pPr>
                    <w:pStyle w:val="Compact"/>
                    <w:spacing w:before="36" w:after="36"/>
                    <w:jc w:val="center"/>
                    <w:rPr/>
                  </w:pPr>
                  <w:r>
                    <w:rPr/>
                    <w:t>Choice Sets (N)</w:t>
                  </w:r>
                </w:p>
              </w:tc>
              <w:tc>
                <w:tcPr>
                  <w:tcW w:w="974" w:type="dxa"/>
                  <w:tcBorders>
                    <w:top w:val="nil"/>
                    <w:bottom w:val="nil"/>
                  </w:tcBorders>
                  <w:vAlign w:val="center"/>
                </w:tcPr>
                <w:p>
                  <w:pPr>
                    <w:pStyle w:val="Compact"/>
                    <w:spacing w:before="36" w:after="36"/>
                    <w:jc w:val="center"/>
                    <w:rPr/>
                  </w:pPr>
                  <w:r>
                    <w:rPr/>
                    <w:t>1014</w:t>
                  </w:r>
                </w:p>
              </w:tc>
              <w:tc>
                <w:tcPr>
                  <w:tcW w:w="981" w:type="dxa"/>
                  <w:tcBorders>
                    <w:top w:val="nil"/>
                    <w:bottom w:val="nil"/>
                  </w:tcBorders>
                  <w:vAlign w:val="center"/>
                </w:tcPr>
                <w:p>
                  <w:pPr>
                    <w:pStyle w:val="Compact"/>
                    <w:spacing w:before="36" w:after="36"/>
                    <w:jc w:val="center"/>
                    <w:rPr/>
                  </w:pPr>
                  <w:r>
                    <w:rPr/>
                    <w:t>1014</w:t>
                  </w:r>
                </w:p>
              </w:tc>
              <w:tc>
                <w:tcPr>
                  <w:tcW w:w="974" w:type="dxa"/>
                  <w:tcBorders>
                    <w:top w:val="nil"/>
                    <w:bottom w:val="nil"/>
                  </w:tcBorders>
                  <w:vAlign w:val="center"/>
                </w:tcPr>
                <w:p>
                  <w:pPr>
                    <w:pStyle w:val="Compact"/>
                    <w:spacing w:before="36" w:after="36"/>
                    <w:jc w:val="center"/>
                    <w:rPr/>
                  </w:pPr>
                  <w:r>
                    <w:rPr/>
                    <w:t>1014</w:t>
                  </w:r>
                </w:p>
              </w:tc>
              <w:tc>
                <w:tcPr>
                  <w:tcW w:w="981" w:type="dxa"/>
                  <w:tcBorders>
                    <w:top w:val="nil"/>
                    <w:bottom w:val="nil"/>
                  </w:tcBorders>
                  <w:vAlign w:val="center"/>
                </w:tcPr>
                <w:p>
                  <w:pPr>
                    <w:pStyle w:val="Compact"/>
                    <w:spacing w:before="36" w:after="36"/>
                    <w:jc w:val="center"/>
                    <w:rPr/>
                  </w:pPr>
                  <w:r>
                    <w:rPr/>
                    <w:t>1014</w:t>
                  </w:r>
                </w:p>
              </w:tc>
              <w:tc>
                <w:tcPr>
                  <w:tcW w:w="975" w:type="dxa"/>
                  <w:tcBorders>
                    <w:top w:val="nil"/>
                    <w:bottom w:val="nil"/>
                  </w:tcBorders>
                  <w:vAlign w:val="center"/>
                </w:tcPr>
                <w:p>
                  <w:pPr>
                    <w:pStyle w:val="Compact"/>
                    <w:spacing w:before="36" w:after="36"/>
                    <w:jc w:val="center"/>
                    <w:rPr/>
                  </w:pPr>
                  <w:r>
                    <w:rPr/>
                    <w:t>1014</w:t>
                  </w:r>
                </w:p>
              </w:tc>
              <w:tc>
                <w:tcPr>
                  <w:tcW w:w="980" w:type="dxa"/>
                  <w:tcBorders>
                    <w:top w:val="nil"/>
                    <w:bottom w:val="nil"/>
                  </w:tcBorders>
                  <w:vAlign w:val="center"/>
                </w:tcPr>
                <w:p>
                  <w:pPr>
                    <w:pStyle w:val="Compact"/>
                    <w:spacing w:before="36" w:after="36"/>
                    <w:jc w:val="center"/>
                    <w:rPr/>
                  </w:pPr>
                  <w:r>
                    <w:rPr/>
                    <w:t>1014</w:t>
                  </w:r>
                </w:p>
              </w:tc>
              <w:tc>
                <w:tcPr>
                  <w:tcW w:w="975" w:type="dxa"/>
                  <w:tcBorders>
                    <w:top w:val="nil"/>
                    <w:bottom w:val="nil"/>
                  </w:tcBorders>
                  <w:vAlign w:val="center"/>
                </w:tcPr>
                <w:p>
                  <w:pPr>
                    <w:pStyle w:val="Compact"/>
                    <w:spacing w:before="36" w:after="36"/>
                    <w:jc w:val="center"/>
                    <w:rPr/>
                  </w:pPr>
                  <w:r>
                    <w:rPr/>
                    <w:t>1014</w:t>
                  </w:r>
                </w:p>
              </w:tc>
              <w:tc>
                <w:tcPr>
                  <w:tcW w:w="981" w:type="dxa"/>
                  <w:tcBorders>
                    <w:top w:val="nil"/>
                    <w:bottom w:val="nil"/>
                  </w:tcBorders>
                  <w:vAlign w:val="center"/>
                </w:tcPr>
                <w:p>
                  <w:pPr>
                    <w:pStyle w:val="Compact"/>
                    <w:spacing w:before="36" w:after="36"/>
                    <w:jc w:val="center"/>
                    <w:rPr/>
                  </w:pPr>
                  <w:r>
                    <w:rPr/>
                    <w:t>1014</w:t>
                  </w:r>
                </w:p>
              </w:tc>
            </w:tr>
            <w:tr>
              <w:trPr/>
              <w:tc>
                <w:tcPr>
                  <w:tcW w:w="1323" w:type="dxa"/>
                  <w:tcBorders>
                    <w:top w:val="nil"/>
                  </w:tcBorders>
                  <w:vAlign w:val="center"/>
                </w:tcPr>
                <w:p>
                  <w:pPr>
                    <w:pStyle w:val="Compact"/>
                    <w:spacing w:before="36" w:after="36"/>
                    <w:jc w:val="center"/>
                    <w:rPr/>
                  </w:pPr>
                  <w:r>
                    <w:rPr/>
                    <w:t>Log-Likelihood</w:t>
                  </w:r>
                </w:p>
              </w:tc>
              <w:tc>
                <w:tcPr>
                  <w:tcW w:w="974" w:type="dxa"/>
                  <w:tcBorders>
                    <w:top w:val="nil"/>
                  </w:tcBorders>
                  <w:vAlign w:val="center"/>
                </w:tcPr>
                <w:p>
                  <w:pPr>
                    <w:pStyle w:val="Compact"/>
                    <w:spacing w:before="36" w:after="36"/>
                    <w:jc w:val="center"/>
                    <w:rPr/>
                  </w:pPr>
                  <w:r>
                    <w:rPr/>
                    <w:t>-344.99</w:t>
                  </w:r>
                </w:p>
              </w:tc>
              <w:tc>
                <w:tcPr>
                  <w:tcW w:w="981" w:type="dxa"/>
                  <w:tcBorders>
                    <w:top w:val="nil"/>
                  </w:tcBorders>
                  <w:vAlign w:val="center"/>
                </w:tcPr>
                <w:p>
                  <w:pPr>
                    <w:pStyle w:val="Compact"/>
                    <w:spacing w:before="36" w:after="36"/>
                    <w:jc w:val="center"/>
                    <w:rPr/>
                  </w:pPr>
                  <w:r>
                    <w:rPr/>
                    <w:t>-330.50</w:t>
                  </w:r>
                </w:p>
              </w:tc>
              <w:tc>
                <w:tcPr>
                  <w:tcW w:w="974" w:type="dxa"/>
                  <w:tcBorders>
                    <w:top w:val="nil"/>
                  </w:tcBorders>
                  <w:vAlign w:val="center"/>
                </w:tcPr>
                <w:p>
                  <w:pPr>
                    <w:pStyle w:val="Compact"/>
                    <w:spacing w:before="36" w:after="36"/>
                    <w:jc w:val="center"/>
                    <w:rPr/>
                  </w:pPr>
                  <w:r>
                    <w:rPr/>
                    <w:t>-274.90</w:t>
                  </w:r>
                </w:p>
              </w:tc>
              <w:tc>
                <w:tcPr>
                  <w:tcW w:w="981" w:type="dxa"/>
                  <w:tcBorders>
                    <w:top w:val="nil"/>
                  </w:tcBorders>
                  <w:vAlign w:val="center"/>
                </w:tcPr>
                <w:p>
                  <w:pPr>
                    <w:pStyle w:val="Compact"/>
                    <w:spacing w:before="36" w:after="36"/>
                    <w:jc w:val="center"/>
                    <w:rPr/>
                  </w:pPr>
                  <w:r>
                    <w:rPr/>
                    <w:t>-224.43</w:t>
                  </w:r>
                </w:p>
              </w:tc>
              <w:tc>
                <w:tcPr>
                  <w:tcW w:w="975" w:type="dxa"/>
                  <w:tcBorders>
                    <w:top w:val="nil"/>
                  </w:tcBorders>
                  <w:vAlign w:val="center"/>
                </w:tcPr>
                <w:p>
                  <w:pPr>
                    <w:pStyle w:val="Compact"/>
                    <w:spacing w:before="36" w:after="36"/>
                    <w:jc w:val="center"/>
                    <w:rPr/>
                  </w:pPr>
                  <w:r>
                    <w:rPr/>
                    <w:t>-379.88</w:t>
                  </w:r>
                </w:p>
              </w:tc>
              <w:tc>
                <w:tcPr>
                  <w:tcW w:w="980" w:type="dxa"/>
                  <w:tcBorders>
                    <w:top w:val="nil"/>
                  </w:tcBorders>
                  <w:vAlign w:val="center"/>
                </w:tcPr>
                <w:p>
                  <w:pPr>
                    <w:pStyle w:val="Compact"/>
                    <w:spacing w:before="36" w:after="36"/>
                    <w:jc w:val="center"/>
                    <w:rPr/>
                  </w:pPr>
                  <w:r>
                    <w:rPr/>
                    <w:t>-225.12</w:t>
                  </w:r>
                </w:p>
              </w:tc>
              <w:tc>
                <w:tcPr>
                  <w:tcW w:w="975" w:type="dxa"/>
                  <w:tcBorders>
                    <w:top w:val="nil"/>
                  </w:tcBorders>
                  <w:vAlign w:val="center"/>
                </w:tcPr>
                <w:p>
                  <w:pPr>
                    <w:pStyle w:val="Compact"/>
                    <w:spacing w:before="36" w:after="36"/>
                    <w:jc w:val="center"/>
                    <w:rPr/>
                  </w:pPr>
                  <w:r>
                    <w:rPr/>
                    <w:t>-211.77</w:t>
                  </w:r>
                </w:p>
              </w:tc>
              <w:tc>
                <w:tcPr>
                  <w:tcW w:w="981" w:type="dxa"/>
                  <w:tcBorders>
                    <w:top w:val="nil"/>
                  </w:tcBorders>
                  <w:vAlign w:val="center"/>
                </w:tcPr>
                <w:p>
                  <w:pPr>
                    <w:pStyle w:val="Compact"/>
                    <w:spacing w:before="36" w:after="36"/>
                    <w:jc w:val="center"/>
                    <w:rPr/>
                  </w:pPr>
                  <w:r>
                    <w:rPr/>
                    <w:t>-211.77</w:t>
                  </w:r>
                  <w:bookmarkStart w:id="8" w:name="apptbl-s1a-realistic-cents"/>
                  <w:bookmarkEnd w:id="8"/>
                </w:p>
              </w:tc>
            </w:tr>
          </w:tbl>
          <w:p>
            <w:pPr>
              <w:pStyle w:val="Normal"/>
              <w:spacing w:before="0" w:after="200"/>
              <w:jc w:val="left"/>
              <w:rPr>
                <w:sz w:val="24"/>
              </w:rPr>
            </w:pPr>
            <w:r>
              <w:rPr>
                <w:sz w:val="24"/>
              </w:rPr>
            </w:r>
          </w:p>
        </w:tc>
      </w:tr>
    </w:tbl>
    <w:p>
      <w:pPr>
        <w:pStyle w:val="BodyText"/>
        <w:rPr/>
      </w:pPr>
      <w:r>
        <w:rPr>
          <w:i/>
          <w:iCs/>
        </w:rPr>
        <w:t>Note.</w:t>
      </w:r>
      <w:r>
        <w:rPr/>
        <w:t xml:space="preserve"> Standard errors in parentheses.</w:t>
        <w:br/>
        <w:t>Cents are drawn independently from the dollars. Estimates for GPT-5.6 Terra and GPT-5.6 Sol are identical. Their reasoning traces show that both LLMs computed unit prices ($/oz) and selected the same cost-minimizing alternative across all 1,014 choice sets.</w:t>
        <w:br/>
        <w:t>* p &lt; .05, ** p &lt; .01, *** p &lt; .001.</w:t>
      </w:r>
    </w:p>
    <w:p>
      <w:pPr>
        <w:pStyle w:val="BodyText"/>
        <w:rPr/>
      </w:pPr>
      <w:r>
        <w:rPr/>
        <w:t>To test whether the LLMs weight the cent component of a price differently from the dollar component, we estimate separate marginal utilities for whole dollars (</w:t>
      </w:r>
      <w:r>
        <w:rPr/>
      </w:r>
      <m:oMath xmlns:m="http://schemas.openxmlformats.org/officeDocument/2006/math">
        <m:sSub>
          <m:e>
            <m:r>
              <w:rPr>
                <w:rFonts w:ascii="Cambria Math" w:hAnsi="Cambria Math"/>
              </w:rPr>
              <m:t xml:space="preserve">β</m:t>
            </m:r>
          </m:e>
          <m:sub>
            <m:r>
              <m:rPr>
                <m:lit/>
                <m:nor/>
              </m:rPr>
              <w:rPr>
                <w:rFonts w:ascii="Cambria Math" w:hAnsi="Cambria Math"/>
              </w:rPr>
              <m:t xml:space="preserve">Dollars</m:t>
            </m:r>
          </m:sub>
        </m:sSub>
      </m:oMath>
      <w:r>
        <w:rPr/>
        <w:t>) and for fractional cents converted to dollar units (</w:t>
      </w:r>
      <w:r>
        <w:rPr/>
      </w:r>
      <m:oMath xmlns:m="http://schemas.openxmlformats.org/officeDocument/2006/math">
        <m:r>
          <m:rPr>
            <m:lit/>
            <m:nor/>
          </m:rPr>
          <w:rPr>
            <w:rFonts w:ascii="Cambria Math" w:hAnsi="Cambria Math"/>
          </w:rPr>
          <m:t xml:space="preserve">Cents ($)</m:t>
        </m:r>
        <m:r>
          <w:rPr>
            <w:rFonts w:ascii="Cambria Math" w:hAnsi="Cambria Math"/>
          </w:rPr>
          <m:t xml:space="preserve">=</m:t>
        </m:r>
        <m:f>
          <m:num>
            <m:r>
              <m:rPr>
                <m:lit/>
                <m:nor/>
              </m:rPr>
              <w:rPr>
                <w:rFonts w:ascii="Cambria Math" w:hAnsi="Cambria Math"/>
              </w:rPr>
              <m:t xml:space="preserve">Cents</m:t>
            </m:r>
          </m:num>
          <m:den>
            <m:r>
              <w:rPr>
                <w:rFonts w:ascii="Cambria Math" w:hAnsi="Cambria Math"/>
              </w:rPr>
              <m:t xml:space="preserve">100</m:t>
            </m:r>
          </m:den>
        </m:f>
      </m:oMath>
      <w:r>
        <w:rPr/>
        <w:t xml:space="preserve">), and evaluate their ratio, </w:t>
      </w:r>
      <w:r>
        <w:rPr/>
      </w:r>
      <m:oMath xmlns:m="http://schemas.openxmlformats.org/officeDocument/2006/math">
        <m:f>
          <m:fPr>
            <m:type m:val="lin"/>
          </m:fPr>
          <m:num>
            <m:sSub>
              <m:e>
                <m:r>
                  <w:rPr>
                    <w:rFonts w:ascii="Cambria Math" w:hAnsi="Cambria Math"/>
                  </w:rPr>
                  <m:t xml:space="preserve">β</m:t>
                </m:r>
              </m:e>
              <m:sub>
                <m:r>
                  <m:rPr>
                    <m:lit/>
                    <m:nor/>
                  </m:rPr>
                  <w:rPr>
                    <w:rFonts w:ascii="Cambria Math" w:hAnsi="Cambria Math"/>
                  </w:rPr>
                  <m:t xml:space="preserve">Cents ($)</m:t>
                </m:r>
              </m:sub>
            </m:sSub>
          </m:num>
          <m:den>
            <m:sSub>
              <m:e>
                <m:r>
                  <w:rPr>
                    <w:rFonts w:ascii="Cambria Math" w:hAnsi="Cambria Math"/>
                  </w:rPr>
                  <m:t xml:space="preserve">β</m:t>
                </m:r>
              </m:e>
              <m:sub>
                <m:r>
                  <m:rPr>
                    <m:lit/>
                    <m:nor/>
                  </m:rPr>
                  <w:rPr>
                    <w:rFonts w:ascii="Cambria Math" w:hAnsi="Cambria Math"/>
                  </w:rPr>
                  <m:t xml:space="preserve">Dollars</m:t>
                </m:r>
              </m:sub>
            </m:sSub>
          </m:den>
        </m:f>
      </m:oMath>
      <w:r>
        <w:rPr/>
        <w:t>, against the rational benchmark of one. Rational price sensitivity requires that a cent in dollar units be weighted at the same rate as a dollar. Confidence intervals are exact, obtained by Fieller’s theorem (Fieller 1954) from the estimated coefficients (</w:t>
      </w:r>
      <w:hyperlink w:anchor="apptbl-s1a-cent-dollar-ratio">
        <w:r>
          <w:rPr>
            <w:rStyle w:val="Hyperlink"/>
          </w:rPr>
          <w:t>Table W8</w:t>
        </w:r>
      </w:hyperlink>
      <w:r>
        <w:rPr/>
        <w:t>).</w:t>
      </w:r>
    </w:p>
    <w:p>
      <w:pPr>
        <w:pStyle w:val="BodyText"/>
        <w:rPr/>
      </w:pPr>
      <w:r>
        <w:rPr/>
        <w:t>The ratio of cent-to-dollar sensitivity ranges from 0.55 to 1.12, and seven out of eight LLMs’ 95% confidence interval contains 1.00 (</w:t>
      </w:r>
      <w:hyperlink w:anchor="apptbl-s1a-cent-dollar-ratio">
        <w:r>
          <w:rPr>
            <w:rStyle w:val="Hyperlink"/>
          </w:rPr>
          <w:t>Table W8</w:t>
        </w:r>
      </w:hyperlink>
      <w:r>
        <w:rPr/>
        <w:t>). Under full information, we find that Flash discounts cents with respect to whole-dollars. For the remaining LLMs, we find no evidence that they systematically discounts the cent component of a price relative to the whole-dollar component. The overall pattern indicates that most LLMs correctly evaluate cents when they are freely visible, or discount them compared to whole dollars.</w:t>
      </w:r>
    </w:p>
    <w:p>
      <w:pPr>
        <w:pStyle w:val="BodyText"/>
        <w:rPr/>
      </w:pPr>
      <w:r>
        <w:rPr/>
        <w:t>However, outcome data from this baseline experiment cannot distinguish how the LLMs acquired information to make the choice, and what happens when LLMs make decisions under resource constraints. The next experiment examines the process by deploying the Tool-Lab paradigm.</w:t>
      </w:r>
      <w:bookmarkEnd w:id="7"/>
    </w:p>
    <w:p>
      <w:pPr>
        <w:pStyle w:val="Heading2"/>
        <w:rPr/>
      </w:pPr>
      <w:bookmarkStart w:id="9" w:name="tool-lab"/>
      <w:r>
        <w:rPr/>
        <w:t>Tool-Lab</w:t>
      </w:r>
    </w:p>
    <w:p>
      <w:pPr>
        <w:pStyle w:val="FirstParagraph"/>
        <w:rPr/>
      </w:pPr>
      <w:r>
        <w:rPr/>
        <w:t>We now introduce Tool-Lab and test how LLMs behave under resource constraints, specifically, whether under constraints LLMs would forego cents and whether that would lead to choices consistent with just-below pricing.</w:t>
      </w:r>
    </w:p>
    <w:p>
      <w:pPr>
        <w:pStyle w:val="Heading3"/>
        <w:rPr/>
      </w:pPr>
      <w:bookmarkStart w:id="10" w:name="the-tool-lab-framework"/>
      <w:r>
        <w:rPr/>
        <w:t>The Tool-Lab framework</w:t>
      </w:r>
    </w:p>
    <w:p>
      <w:pPr>
        <w:pStyle w:val="FirstParagraph"/>
        <w:rPr/>
      </w:pPr>
      <w:r>
        <w:rPr/>
        <w:t>Tool-Lab is an experimental framework we developed to adapt Mouselab (Johnson et al. 1989; Payne et al. 1993) to AI agents. In a traditional Mouselab experiment, product attributes are hidden behind closed boxes on a screen. Researchers track human decision-making by recording which boxes the user clicks to reveal information. In Tool-Lab, we recreate this environment using LLM function calling (tool calls) instead of mouse clicks. The AI agent is placed in a simulated electronic retailing environment where all product attributes are hidden. To acquire information, the LLM must explicitly invoke a designated tool (</w:t>
      </w:r>
      <w:r>
        <w:rPr>
          <w:i/>
          <w:iCs/>
        </w:rPr>
        <w:t>inspect_cell</w:t>
      </w:r>
      <w:r>
        <w:rPr/>
        <w:t>). Once the agent has gathered enough information, it invokes a separate tool (</w:t>
      </w:r>
      <w:r>
        <w:rPr>
          <w:i/>
          <w:iCs/>
        </w:rPr>
        <w:t>submit_choice</w:t>
      </w:r>
      <w:r>
        <w:rPr/>
        <w:t>) to finalize the purchase. This methodology allows us to quantify the LLM’s information search strategy, sequence of acquisition, and sensitivity to externally imposed search costs.</w:t>
      </w:r>
      <w:bookmarkEnd w:id="10"/>
    </w:p>
    <w:p>
      <w:pPr>
        <w:pStyle w:val="Heading3"/>
        <w:rPr/>
      </w:pPr>
      <w:bookmarkStart w:id="11" w:name="stimuli-and-manipulation"/>
      <w:r>
        <w:rPr/>
        <w:t>Stimuli and manipulation</w:t>
      </w:r>
    </w:p>
    <w:p>
      <w:pPr>
        <w:pStyle w:val="FirstParagraph"/>
        <w:rPr/>
      </w:pPr>
      <w:r>
        <w:rPr/>
        <w:t xml:space="preserve">We instruct the LLMs to act as a surrogate consumer and select an instant coffee for a human consumer. The stimulus set consists of two alternatives designed as a specific choice trap to isolate the just-below pricing heuristic. </w:t>
      </w:r>
      <w:r>
        <w:rPr>
          <w:i/>
          <w:iCs/>
        </w:rPr>
        <w:t>Coffee A</w:t>
      </w:r>
      <w:r>
        <w:rPr/>
        <w:t xml:space="preserve">, the heuristic choice, features a lower whole-dollar price ($4.99 for 10 oz). While appealing due to the lower whole-dollar price, it yields a suboptimal unit-price of 0.499 $/oz. </w:t>
      </w:r>
      <w:r>
        <w:rPr>
          <w:i/>
          <w:iCs/>
        </w:rPr>
        <w:t>Coffee B</w:t>
      </w:r>
      <w:r>
        <w:rPr/>
        <w:t>, the optimal choice, features a higher whole-dollar price ($5.00 for 11 oz), but has the superior unit price at 0.455 oz/$.</w:t>
      </w:r>
    </w:p>
    <w:p>
      <w:pPr>
        <w:pStyle w:val="BodyText"/>
        <w:rPr/>
      </w:pPr>
      <w:r>
        <w:rPr/>
        <w:t xml:space="preserve">To trace why suboptimal choices would occur, we engineer a structural partition in the information board. We separate the price into two hidden attributes: </w:t>
      </w:r>
      <w:r>
        <w:rPr>
          <w:i/>
          <w:iCs/>
        </w:rPr>
        <w:t>price_dollars</w:t>
      </w:r>
      <w:r>
        <w:rPr/>
        <w:t xml:space="preserve"> (e.g., “$4”) and </w:t>
      </w:r>
      <w:r>
        <w:rPr>
          <w:i/>
          <w:iCs/>
        </w:rPr>
        <w:t>price_cents</w:t>
      </w:r>
      <w:r>
        <w:rPr/>
        <w:t xml:space="preserve"> (e.g., “99 cents”). To calculate the unit price (</w:t>
      </w:r>
      <w:r>
        <w:rPr/>
      </w:r>
      <m:oMath xmlns:m="http://schemas.openxmlformats.org/officeDocument/2006/math">
        <m:f>
          <m:num>
            <m:r>
              <m:rPr>
                <m:lit/>
                <m:nor/>
              </m:rPr>
              <w:rPr>
                <w:rFonts w:ascii="Cambria Math" w:hAnsi="Cambria Math"/>
              </w:rPr>
              <m:t xml:space="preserve">price</m:t>
            </m:r>
          </m:num>
          <m:den>
            <m:r>
              <m:rPr>
                <m:lit/>
                <m:nor/>
              </m:rPr>
              <w:rPr>
                <w:rFonts w:ascii="Cambria Math" w:hAnsi="Cambria Math"/>
              </w:rPr>
              <m:t xml:space="preserve">weight</m:t>
            </m:r>
          </m:den>
        </m:f>
      </m:oMath>
      <w:r>
        <w:rPr/>
        <w:t>), the LLM must expend resources to uncover the whole dollars, the cents, and the product weight. These three attributes form the diagnostic attribute set. To add to the ecological validity of the products and to obscure the true purpose of the experiment, we also include four non-diagnostic attributes (</w:t>
      </w:r>
      <w:r>
        <w:rPr>
          <w:i/>
          <w:iCs/>
        </w:rPr>
        <w:t>origin</w:t>
      </w:r>
      <w:r>
        <w:rPr/>
        <w:t xml:space="preserve">, </w:t>
      </w:r>
      <w:r>
        <w:rPr>
          <w:i/>
          <w:iCs/>
        </w:rPr>
        <w:t>roast_date</w:t>
      </w:r>
      <w:r>
        <w:rPr/>
        <w:t xml:space="preserve">, </w:t>
      </w:r>
      <w:r>
        <w:rPr>
          <w:i/>
          <w:iCs/>
        </w:rPr>
        <w:t>calories</w:t>
      </w:r>
      <w:r>
        <w:rPr/>
        <w:t xml:space="preserve">, and </w:t>
      </w:r>
      <w:r>
        <w:rPr>
          <w:i/>
          <w:iCs/>
        </w:rPr>
        <w:t>packaging</w:t>
      </w:r>
      <w:r>
        <w:rPr/>
        <w:t>). The values for these attributes are held constant for both alternatives (i.e., “Colombia”, “2 weeks ago”, “3” “Foil bag”) to prevent any confounds.</w:t>
      </w:r>
    </w:p>
    <w:p>
      <w:pPr>
        <w:pStyle w:val="BodyText"/>
        <w:rPr/>
      </w:pPr>
      <w:r>
        <w:rPr/>
        <w:t xml:space="preserve">We implement a 2 (Acquisition cost: $0.00 vs. $10.00 per </w:t>
      </w:r>
      <w:r>
        <w:rPr>
          <w:i/>
          <w:iCs/>
        </w:rPr>
        <w:t>inspect_cell</w:t>
      </w:r>
      <w:r>
        <w:rPr/>
        <w:t xml:space="preserve"> invocation) </w:t>
      </w:r>
      <w:r>
        <w:rPr/>
      </w:r>
      <m:oMath xmlns:m="http://schemas.openxmlformats.org/officeDocument/2006/math">
        <m:r>
          <w:rPr>
            <w:rFonts w:ascii="Cambria Math" w:hAnsi="Cambria Math"/>
          </w:rPr>
          <m:t xml:space="preserve">×</m:t>
        </m:r>
      </m:oMath>
      <w:r>
        <w:rPr/>
        <w:t xml:space="preserve"> 2 (Goal specificity: vague vs. specific goal prompt) between-sessions design. To manipulate acquisition cost, we attach a tangible financial penalty to information acquisition charged to the delegating consumer ($0.00 vs. $10.00 per </w:t>
      </w:r>
      <w:r>
        <w:rPr>
          <w:i/>
          <w:iCs/>
        </w:rPr>
        <w:t>inspect_cell</w:t>
      </w:r>
      <w:r>
        <w:rPr/>
        <w:t xml:space="preserve"> invocation).</w:t>
      </w:r>
    </w:p>
    <w:p>
      <w:pPr>
        <w:pStyle w:val="BodyText"/>
        <w:rPr/>
      </w:pPr>
      <w:r>
        <w:rPr/>
        <w:t xml:space="preserve">To manipulate goal specificity, we vary the evaluative instruction embedded in the prompt. In the vague goal prompt condition, the LLM receives an open-ended, colloquial purchasing prompt: </w:t>
      </w:r>
      <w:r>
        <w:rPr>
          <w:i/>
          <w:iCs/>
        </w:rPr>
        <w:t xml:space="preserve">“You need to find the </w:t>
      </w:r>
      <w:r>
        <w:rPr>
          <w:b/>
          <w:bCs/>
          <w:i/>
          <w:iCs/>
        </w:rPr>
        <w:t>best deal</w:t>
      </w:r>
      <w:r>
        <w:rPr>
          <w:i/>
          <w:iCs/>
        </w:rPr>
        <w:t xml:space="preserve"> on instant coffee.”</w:t>
      </w:r>
      <w:r>
        <w:rPr/>
        <w:t xml:space="preserve"> In the specific goal prompt condition, this instruction is replaced with an specific, normative objective: </w:t>
      </w:r>
      <w:r>
        <w:rPr>
          <w:i/>
          <w:iCs/>
        </w:rPr>
        <w:t xml:space="preserve">“You need to find the coffee with the </w:t>
      </w:r>
      <w:r>
        <w:rPr>
          <w:b/>
          <w:bCs/>
          <w:i/>
          <w:iCs/>
        </w:rPr>
        <w:t>lowest price per ounce</w:t>
      </w:r>
      <w:r>
        <w:rPr>
          <w:i/>
          <w:iCs/>
        </w:rPr>
        <w:t>.”</w:t>
      </w:r>
      <w:r>
        <w:rPr/>
        <w:t xml:space="preserve"> All other elements of the prompt, the product stimuli, and the tool environment are held constant across conditions.</w:t>
      </w:r>
      <w:bookmarkEnd w:id="11"/>
    </w:p>
    <w:p>
      <w:pPr>
        <w:pStyle w:val="Heading3"/>
        <w:rPr/>
      </w:pPr>
      <w:bookmarkStart w:id="12" w:name="sample-and-procedure"/>
      <w:r>
        <w:rPr/>
        <w:t>Sample and procedure</w:t>
      </w:r>
    </w:p>
    <w:p>
      <w:pPr>
        <w:pStyle w:val="FirstParagraph"/>
        <w:rPr/>
      </w:pPr>
      <w:r>
        <w:rPr/>
        <w:t>We evaluate eight commercially deployed LLMs from three major providers: Gemini 3.1 Pro, Gemini 3.8 Flash, and Gemini 3.5 Flash Lite from Google; GPT-5.6 Luna, GPT-5.6 Terra, and GPT-5.6 Sol from OpenAI; and Claude Sonnet 5 and Claude Opus 5 from Anthropic.</w:t>
      </w:r>
    </w:p>
    <w:p>
      <w:pPr>
        <w:pStyle w:val="BodyText"/>
        <w:rPr/>
      </w:pPr>
      <w:r>
        <w:rPr/>
        <w:t>Methodologically, evaluating LLMs requires a departure from deterministic software testing. Because LLMs predict tokens based on probability distributions, their outputs are inherently stochastic. Presenting the same prompt to the same LLM can yield different information search trajectories and final choices. To account for this variance, we employ a Monte Carlo sampling approach, executing 100 independent sessions per experimental cell to estimate the distribution of the surrogate consumer’s behavior (Wadi and Fredette 2025). All sessions are executed independently via API endpoints with zero state retention between trials. The presentation order of the alternatives and attribute rows is randomized across sessions. In total, Study 1 Tool-Lab comprises 3,200 unique simulated sessions (8 LLMs × 2 acquisition costs × 2 goal specificity conditions × 100 iterations).</w:t>
      </w:r>
    </w:p>
    <w:p>
      <w:pPr>
        <w:pStyle w:val="BodyText"/>
        <w:rPr/>
      </w:pPr>
      <w:r>
        <w:rPr/>
        <w:t xml:space="preserve">The procedure begins with a system prompt establishing the LLM role: </w:t>
      </w:r>
      <w:r>
        <w:rPr>
          <w:i/>
          <w:iCs/>
        </w:rPr>
        <w:t>“You have been delegated by a consumer to make a purchase decision. Your goal is to choose an instant coffee for the user. After you choose a coffee, the user would purchase 5 bags of your chosen coffee.”</w:t>
      </w:r>
      <w:r>
        <w:rPr>
          <w:rStyle w:val="FootnoteReference"/>
        </w:rPr>
        <w:footnoteReference w:id="2"/>
      </w:r>
    </w:p>
    <w:p>
      <w:pPr>
        <w:pStyle w:val="BodyText"/>
        <w:rPr/>
      </w:pPr>
      <w:r>
        <w:rPr/>
        <w:t xml:space="preserve">The prompt explicitly defines the tool mechanics and cost constraint: </w:t>
      </w:r>
      <w:r>
        <w:rPr>
          <w:i/>
          <w:iCs/>
        </w:rPr>
        <w:t>“You can open the cells to get information about the product using the inspect_cell tool, or you can stop searching and submit your choice with the submit_choice tool. Every time you use the inspect_cell tool, the user loses {inspect_tool_cost}. submit_choice has no cost.”</w:t>
      </w:r>
      <w:r>
        <w:rPr/>
        <w:t xml:space="preserve"> This is followed by the goal specificity manipulation (</w:t>
      </w:r>
      <w:r>
        <w:rPr>
          <w:i/>
          <w:iCs/>
        </w:rPr>
        <w:t>“You need to find the best deal on instant coffee”</w:t>
      </w:r>
      <w:r>
        <w:rPr/>
        <w:t xml:space="preserve"> vs. </w:t>
      </w:r>
      <w:r>
        <w:rPr>
          <w:i/>
          <w:iCs/>
        </w:rPr>
        <w:t>“You need to find the coffee with the lowest price per ounce”</w:t>
      </w:r>
      <w:r>
        <w:rPr/>
        <w:t xml:space="preserve">), concluding with the choice query: </w:t>
      </w:r>
      <w:r>
        <w:rPr>
          <w:i/>
          <w:iCs/>
        </w:rPr>
        <w:t>“Which coffee would you choose for the user?”</w:t>
      </w:r>
      <w:r>
        <w:rPr/>
        <w:t xml:space="preserve"> See </w:t>
      </w:r>
      <w:hyperlink w:anchor="apptbl-s1b-prompts">
        <w:r>
          <w:rPr>
            <w:rStyle w:val="Hyperlink"/>
          </w:rPr>
          <w:t>Table W9</w:t>
        </w:r>
      </w:hyperlink>
      <w:r>
        <w:rPr/>
        <w:t xml:space="preserve"> for the prompts.</w:t>
      </w:r>
    </w:p>
    <w:p>
      <w:pPr>
        <w:pStyle w:val="BodyText"/>
        <w:rPr/>
      </w:pPr>
      <w:r>
        <w:rPr/>
        <w:t xml:space="preserve">During each session, the LLM executes one tool call per turn. After each </w:t>
      </w:r>
      <w:r>
        <w:rPr>
          <w:i/>
          <w:iCs/>
        </w:rPr>
        <w:t>inspect_cell</w:t>
      </w:r>
      <w:r>
        <w:rPr/>
        <w:t xml:space="preserve"> invocation, the environment returns a structured JSON response containing the revealed attribute, the cost of that specific turn, and the cumulative search fee accrued thus far (e.g., </w:t>
      </w:r>
      <w:r>
        <w:rPr>
          <w:i/>
          <w:iCs/>
        </w:rPr>
        <w:t>{“option_id”: “coffee_b”, “attribute_id”: “weight”, “result”: “11 oz”, “turn_cost_usd”: 10.0, “cumulative_cost_tool_usd”: 20.0}</w:t>
      </w:r>
      <w:r>
        <w:rPr/>
        <w:t>)</w:t>
      </w:r>
      <w:r>
        <w:rPr>
          <w:rStyle w:val="FootnoteReference"/>
        </w:rPr>
        <w:footnoteReference w:id="3"/>
      </w:r>
      <w:r>
        <w:rPr/>
        <w:t xml:space="preserve">. The session terminates when the LLM invokes the </w:t>
      </w:r>
      <w:r>
        <w:rPr>
          <w:i/>
          <w:iCs/>
        </w:rPr>
        <w:t>submit_choice</w:t>
      </w:r>
      <w:r>
        <w:rPr/>
        <w:t xml:space="preserve"> tool. </w:t>
      </w:r>
      <w:hyperlink w:anchor="fig-tool-lab-setup">
        <w:r>
          <w:rPr>
            <w:rStyle w:val="Hyperlink"/>
          </w:rPr>
          <w:t>Figure 3</w:t>
        </w:r>
      </w:hyperlink>
      <w:r>
        <w:rPr/>
        <w:t xml:space="preserve"> demonstrates the Tool-Lab setup for the $10 per inspect_cell condition.</w:t>
      </w:r>
    </w:p>
    <w:p>
      <w:pPr>
        <w:pStyle w:val="BodyText"/>
        <w:rPr/>
      </w:pPr>
      <w:r>
        <w:rPr>
          <w:i/>
          <w:iCs/>
        </w:rPr>
        <w:t xml:space="preserve">Insert </w:t>
      </w:r>
      <w:hyperlink w:anchor="fig-tool-lab-setup">
        <w:r>
          <w:rPr>
            <w:rStyle w:val="Hyperlink"/>
            <w:i/>
            <w:iCs/>
          </w:rPr>
          <w:t>Figure 3</w:t>
        </w:r>
      </w:hyperlink>
      <w:r>
        <w:rPr>
          <w:i/>
          <w:iCs/>
        </w:rPr>
        <w:t xml:space="preserve"> about here</w:t>
      </w:r>
      <w:bookmarkEnd w:id="12"/>
    </w:p>
    <w:p>
      <w:pPr>
        <w:pStyle w:val="Heading3"/>
        <w:rPr/>
      </w:pPr>
      <w:bookmarkStart w:id="13" w:name="measures"/>
      <w:r>
        <w:rPr/>
        <w:t>Measures</w:t>
      </w:r>
    </w:p>
    <w:p>
      <w:pPr>
        <w:pStyle w:val="FirstParagraph"/>
        <w:rPr/>
      </w:pPr>
      <w:r>
        <w:rPr/>
        <w:t xml:space="preserve">We capture one dependent variable and one measure of diagnostic information acquisition. </w:t>
      </w:r>
      <w:r>
        <w:rPr>
          <w:i/>
          <w:iCs/>
        </w:rPr>
        <w:t>Choice optimality</w:t>
      </w:r>
      <w:r>
        <w:rPr/>
        <w:t xml:space="preserve"> is the final product selected via the </w:t>
      </w:r>
      <w:r>
        <w:rPr>
          <w:i/>
          <w:iCs/>
        </w:rPr>
        <w:t>submit_choice</w:t>
      </w:r>
      <w:r>
        <w:rPr/>
        <w:t xml:space="preserve"> tool, coded as a binary variable (1 = the optimal choice; 0 = the suboptimal lower-dollar choice).</w:t>
      </w:r>
    </w:p>
    <w:p>
      <w:pPr>
        <w:pStyle w:val="BodyText"/>
        <w:rPr/>
      </w:pPr>
      <w:r>
        <w:rPr/>
        <w:t xml:space="preserve">We partition the information board into two classes of attributes based on the structure of the task. An attribute is </w:t>
      </w:r>
      <w:r>
        <w:rPr>
          <w:i/>
          <w:iCs/>
        </w:rPr>
        <w:t>diagnostic</w:t>
      </w:r>
      <w:r>
        <w:rPr/>
        <w:t xml:space="preserve"> if its value is required to compute the price-per-weight of the alternatives, and </w:t>
      </w:r>
      <w:r>
        <w:rPr>
          <w:i/>
          <w:iCs/>
        </w:rPr>
        <w:t>non-diagnostic</w:t>
      </w:r>
      <w:r>
        <w:rPr/>
        <w:t xml:space="preserve"> otherwise. Because the normative objective is determined by </w:t>
      </w:r>
      <w:r>
        <w:rPr/>
      </w:r>
      <m:oMath xmlns:m="http://schemas.openxmlformats.org/officeDocument/2006/math">
        <m:f>
          <m:num>
            <m:r>
              <m:rPr>
                <m:lit/>
                <m:nor/>
              </m:rPr>
              <w:rPr>
                <w:rFonts w:ascii="Cambria Math" w:hAnsi="Cambria Math"/>
              </w:rPr>
              <m:t xml:space="preserve">price</m:t>
            </m:r>
            <m:r>
              <m:rPr>
                <m:lit/>
                <m:nor/>
              </m:rPr>
              <w:rPr>
                <w:rFonts w:ascii="Cambria Math" w:hAnsi="Cambria Math"/>
              </w:rPr>
              <m:t xml:space="preserve">_</m:t>
            </m:r>
            <m:r>
              <m:rPr>
                <m:lit/>
                <m:nor/>
              </m:rPr>
              <w:rPr>
                <w:rFonts w:ascii="Cambria Math" w:hAnsi="Cambria Math"/>
              </w:rPr>
              <m:t xml:space="preserve">dollars</m:t>
            </m:r>
            <m:r>
              <w:rPr>
                <w:rFonts w:ascii="Cambria Math" w:hAnsi="Cambria Math"/>
              </w:rPr>
              <m:t xml:space="preserve">+</m:t>
            </m:r>
            <m:r>
              <m:rPr>
                <m:lit/>
                <m:nor/>
              </m:rPr>
              <w:rPr>
                <w:rFonts w:ascii="Cambria Math" w:hAnsi="Cambria Math"/>
              </w:rPr>
              <m:t xml:space="preserve">price</m:t>
            </m:r>
            <m:r>
              <m:rPr>
                <m:lit/>
                <m:nor/>
              </m:rPr>
              <w:rPr>
                <w:rFonts w:ascii="Cambria Math" w:hAnsi="Cambria Math"/>
              </w:rPr>
              <m:t xml:space="preserve">_</m:t>
            </m:r>
            <m:r>
              <m:rPr>
                <m:lit/>
                <m:nor/>
              </m:rPr>
              <w:rPr>
                <w:rFonts w:ascii="Cambria Math" w:hAnsi="Cambria Math"/>
              </w:rPr>
              <m:t xml:space="preserve">cents</m:t>
            </m:r>
          </m:num>
          <m:den>
            <m:r>
              <m:rPr>
                <m:lit/>
                <m:nor/>
              </m:rPr>
              <w:rPr>
                <w:rFonts w:ascii="Cambria Math" w:hAnsi="Cambria Math"/>
              </w:rPr>
              <m:t xml:space="preserve">weight</m:t>
            </m:r>
          </m:den>
        </m:f>
      </m:oMath>
      <w:r>
        <w:rPr/>
        <w:t xml:space="preserve">, the diagnostic set comprises six cells: </w:t>
      </w:r>
      <w:r>
        <w:rPr>
          <w:i/>
          <w:iCs/>
        </w:rPr>
        <w:t>price_dollars</w:t>
      </w:r>
      <w:r>
        <w:rPr/>
        <w:t xml:space="preserve">, </w:t>
      </w:r>
      <w:r>
        <w:rPr>
          <w:i/>
          <w:iCs/>
        </w:rPr>
        <w:t>price_cents</w:t>
      </w:r>
      <w:r>
        <w:rPr/>
        <w:t xml:space="preserve">, and </w:t>
      </w:r>
      <w:r>
        <w:rPr>
          <w:i/>
          <w:iCs/>
        </w:rPr>
        <w:t>weight</w:t>
      </w:r>
      <w:r>
        <w:rPr/>
        <w:t xml:space="preserve"> for each of the two alternatives. The remaining four attributes (</w:t>
      </w:r>
      <w:r>
        <w:rPr>
          <w:i/>
          <w:iCs/>
        </w:rPr>
        <w:t>origin</w:t>
      </w:r>
      <w:r>
        <w:rPr/>
        <w:t xml:space="preserve">, </w:t>
      </w:r>
      <w:r>
        <w:rPr>
          <w:i/>
          <w:iCs/>
        </w:rPr>
        <w:t>roast_date</w:t>
      </w:r>
      <w:r>
        <w:rPr/>
        <w:t xml:space="preserve">, </w:t>
      </w:r>
      <w:r>
        <w:rPr>
          <w:i/>
          <w:iCs/>
        </w:rPr>
        <w:t>calories</w:t>
      </w:r>
      <w:r>
        <w:rPr/>
        <w:t xml:space="preserve">, and </w:t>
      </w:r>
      <w:r>
        <w:rPr>
          <w:i/>
          <w:iCs/>
        </w:rPr>
        <w:t>packaging</w:t>
      </w:r>
      <w:r>
        <w:rPr/>
        <w:t xml:space="preserve">) are classified as non-diagnostic. </w:t>
      </w:r>
      <w:r>
        <w:rPr>
          <w:i/>
          <w:iCs/>
        </w:rPr>
        <w:t>Diagnostic acquisition</w:t>
      </w:r>
      <w:r>
        <w:rPr/>
        <w:t xml:space="preserve"> is hence the count of how many of the six diagnostic cells the LLM inspects before submitting its choice (range 0–6).</w:t>
      </w:r>
      <w:bookmarkEnd w:id="13"/>
    </w:p>
    <w:p>
      <w:pPr>
        <w:pStyle w:val="Heading3"/>
        <w:rPr/>
      </w:pPr>
      <w:bookmarkStart w:id="14" w:name="results"/>
      <w:r>
        <w:rPr/>
        <w:t>Results</w:t>
      </w:r>
    </w:p>
    <w:p>
      <w:pPr>
        <w:pStyle w:val="FirstParagraph"/>
        <w:rPr/>
      </w:pPr>
      <w:r>
        <w:rPr/>
        <w:t xml:space="preserve">Descriptive statistics are reported in </w:t>
      </w:r>
      <w:hyperlink w:anchor="apptbl-s1b-descriptives">
        <w:r>
          <w:rPr>
            <w:rStyle w:val="Hyperlink"/>
          </w:rPr>
          <w:t>Table W10</w:t>
        </w:r>
      </w:hyperlink>
      <w:r>
        <w:rPr/>
        <w:t>. Under the specific goal prompt, diagnostic acquisition is complete at zero cost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6.00</m:t>
        </m:r>
      </m:oMath>
      <w:r>
        <w:rPr/>
        <w:t xml:space="preserve"> out of 6 cells across all eight LLMs), and choice optimality is high for most LLMs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1.00</m:t>
        </m:r>
      </m:oMath>
      <w:r>
        <w:rPr/>
        <w:t xml:space="preserve"> for seven of the eight LLMs, with Gemini 3.5 Flash Lite at </w:t>
      </w:r>
      <w:r>
        <w:rPr/>
      </w:r>
      <m:oMath xmlns:m="http://schemas.openxmlformats.org/officeDocument/2006/math">
        <m:r>
          <w:rPr>
            <w:rFonts w:ascii="Cambria Math" w:hAnsi="Cambria Math"/>
          </w:rPr>
          <m:t xml:space="preserve">0.54</m:t>
        </m:r>
      </m:oMath>
      <w:r>
        <w:rPr/>
        <w:t>). Imposing the $10.00 acquisition cost under the specific prompt produces a small reduction in diagnostic acquisition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4.31</m:t>
        </m:r>
      </m:oMath>
      <w:r>
        <w:rPr/>
        <w:t xml:space="preserve"> to </w:t>
      </w:r>
      <w:r>
        <w:rPr/>
      </w:r>
      <m:oMath xmlns:m="http://schemas.openxmlformats.org/officeDocument/2006/math">
        <m:r>
          <w:rPr>
            <w:rFonts w:ascii="Cambria Math" w:hAnsi="Cambria Math"/>
          </w:rPr>
          <m:t xml:space="preserve">6.00</m:t>
        </m:r>
      </m:oMath>
      <w:r>
        <w:rPr/>
        <w:t xml:space="preserve"> cells across all LLMs) and preserves choice optimality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0.75</m:t>
        </m:r>
      </m:oMath>
      <w:r>
        <w:rPr/>
        <w:t xml:space="preserve"> to </w:t>
      </w:r>
      <w:r>
        <w:rPr/>
      </w:r>
      <m:oMath xmlns:m="http://schemas.openxmlformats.org/officeDocument/2006/math">
        <m:r>
          <w:rPr>
            <w:rFonts w:ascii="Cambria Math" w:hAnsi="Cambria Math"/>
          </w:rPr>
          <m:t xml:space="preserve">1.00</m:t>
        </m:r>
      </m:oMath>
      <w:r>
        <w:rPr/>
        <w:t>) with Claude Opus 5 is the exception for optimality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0.14</m:t>
        </m:r>
      </m:oMath>
      <w:r>
        <w:rPr/>
        <w:t>).</w:t>
      </w:r>
    </w:p>
    <w:p>
      <w:pPr>
        <w:pStyle w:val="BodyText"/>
        <w:rPr/>
      </w:pPr>
      <w:r>
        <w:rPr/>
        <w:t>Under the vague goal prompt, diagnostic acquisition is similarly high when search is free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5.43</m:t>
        </m:r>
      </m:oMath>
      <w:r>
        <w:rPr/>
        <w:t xml:space="preserve"> to </w:t>
      </w:r>
      <w:r>
        <w:rPr/>
      </w:r>
      <m:oMath xmlns:m="http://schemas.openxmlformats.org/officeDocument/2006/math">
        <m:r>
          <w:rPr>
            <w:rFonts w:ascii="Cambria Math" w:hAnsi="Cambria Math"/>
          </w:rPr>
          <m:t xml:space="preserve">6.00</m:t>
        </m:r>
      </m:oMath>
      <w:r>
        <w:rPr/>
        <w:t xml:space="preserve">). However, imposing the $10.00 acquisition cost leads most LLMs to truncate diagnostic search, specifically by omitting the cent cells (e.g., cent inspections decrease to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0.10</m:t>
        </m:r>
      </m:oMath>
      <w:r>
        <w:rPr/>
        <w:t xml:space="preserve"> for Gemini 3.1 Pro, </w:t>
      </w:r>
      <w:r>
        <w:rPr/>
      </w:r>
      <m:oMath xmlns:m="http://schemas.openxmlformats.org/officeDocument/2006/math">
        <m:r>
          <w:rPr>
            <w:rFonts w:ascii="Cambria Math" w:hAnsi="Cambria Math"/>
          </w:rPr>
          <m:t xml:space="preserve">0.20</m:t>
        </m:r>
      </m:oMath>
      <w:r>
        <w:rPr/>
        <w:t xml:space="preserve"> for Gemini 3.8 Flash, </w:t>
      </w:r>
      <w:r>
        <w:rPr/>
      </w:r>
      <m:oMath xmlns:m="http://schemas.openxmlformats.org/officeDocument/2006/math">
        <m:r>
          <w:rPr>
            <w:rFonts w:ascii="Cambria Math" w:hAnsi="Cambria Math"/>
          </w:rPr>
          <m:t xml:space="preserve">0.37</m:t>
        </m:r>
      </m:oMath>
      <w:r>
        <w:rPr/>
        <w:t xml:space="preserve"> for GPT-5.6 Sol, and </w:t>
      </w:r>
      <w:r>
        <w:rPr/>
      </w:r>
      <m:oMath xmlns:m="http://schemas.openxmlformats.org/officeDocument/2006/math">
        <m:r>
          <w:rPr>
            <w:rFonts w:ascii="Cambria Math" w:hAnsi="Cambria Math"/>
          </w:rPr>
          <m:t xml:space="preserve">0.00</m:t>
        </m:r>
      </m:oMath>
      <w:r>
        <w:rPr/>
        <w:t xml:space="preserve"> for Claude Opus 5), which leads to a marked decline in choice optimality for these LLMs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0.07</m:t>
        </m:r>
      </m:oMath>
      <w:r>
        <w:rPr/>
        <w:t xml:space="preserve"> for Gemini 3.1 Pro, </w:t>
      </w:r>
      <w:r>
        <w:rPr/>
      </w:r>
      <m:oMath xmlns:m="http://schemas.openxmlformats.org/officeDocument/2006/math">
        <m:r>
          <w:rPr>
            <w:rFonts w:ascii="Cambria Math" w:hAnsi="Cambria Math"/>
          </w:rPr>
          <m:t xml:space="preserve">0.16</m:t>
        </m:r>
      </m:oMath>
      <w:r>
        <w:rPr/>
        <w:t xml:space="preserve"> for Gemini 3.8 Flash, </w:t>
      </w:r>
      <w:r>
        <w:rPr/>
      </w:r>
      <m:oMath xmlns:m="http://schemas.openxmlformats.org/officeDocument/2006/math">
        <m:r>
          <w:rPr>
            <w:rFonts w:ascii="Cambria Math" w:hAnsi="Cambria Math"/>
          </w:rPr>
          <m:t xml:space="preserve">0.18</m:t>
        </m:r>
      </m:oMath>
      <w:r>
        <w:rPr/>
        <w:t xml:space="preserve"> for GPT-5.6 Sol, and </w:t>
      </w:r>
      <w:r>
        <w:rPr/>
      </w:r>
      <m:oMath xmlns:m="http://schemas.openxmlformats.org/officeDocument/2006/math">
        <m:r>
          <w:rPr>
            <w:rFonts w:ascii="Cambria Math" w:hAnsi="Cambria Math"/>
          </w:rPr>
          <m:t xml:space="preserve">0.00</m:t>
        </m:r>
      </m:oMath>
      <w:r>
        <w:rPr/>
        <w:t xml:space="preserve"> for Claude Opus 5).</w:t>
      </w:r>
    </w:p>
    <w:p>
      <w:pPr>
        <w:pStyle w:val="BodyText"/>
        <w:rPr/>
      </w:pPr>
      <w:r>
        <w:rPr/>
        <w:t>These behavioral patterns indicate that search costs induce heuristic-consistent choices primarily when delegating instructions lack evaluative specificity.</w:t>
      </w:r>
    </w:p>
    <w:p>
      <w:pPr>
        <w:pStyle w:val="BodyText"/>
        <w:rPr/>
      </w:pPr>
      <w:r>
        <w:rPr>
          <w:b/>
          <w:bCs/>
        </w:rPr>
        <w:t>Moderated mediation</w:t>
      </w:r>
    </w:p>
    <w:p>
      <w:pPr>
        <w:pStyle w:val="BodyText"/>
        <w:rPr/>
      </w:pPr>
      <w:r>
        <w:rPr/>
        <w:t xml:space="preserve">To test our hypotheses (H1–H3), we examine the structural pathways connecting acquisition cost, prompt specificity, diagnostic acquisition, and choice optimality. Unlike behavioral experiments with human participants who typically each provide a single observation, our empirical setting evaluates a sample of LLMs across repeated, independent Monte Carlo sessions. To test whether the hypothesized effects generalize across the evaluated LLMs while allowing baseline search propensities and structural slopes to vary across each LLM, we implement a Bayesian multilevel moderated mediation in Stan via </w:t>
      </w:r>
      <w:r>
        <w:rPr>
          <w:i/>
          <w:iCs/>
        </w:rPr>
        <w:t>brms</w:t>
      </w:r>
      <w:r>
        <w:rPr/>
        <w:t xml:space="preserve"> (Bürkner 2017).</w:t>
      </w:r>
    </w:p>
    <w:p>
      <w:pPr>
        <w:pStyle w:val="BodyText"/>
        <w:rPr/>
      </w:pPr>
      <w:r>
        <w:rPr/>
        <w:t>The first stage specifies diagnostic acquisition as a function of acquisition cost, prompt specificity (vague vs. specific goal prompt), and their interaction (H1). The second stage specifies choice optimality as an additive function of diagnostic acquisition (H2), acquisition cost, and prompt specificity. To avoid the identification anomalies and non-linear scale distortions of logistic mediation, the second stage utilizes a linear probability specification, which permits an exact additive decomposition of conditional indirect effects (Breen et al. 2013) and formal evaluation of the Index of Moderated Mediation (</w:t>
      </w:r>
      <w:r>
        <w:rPr/>
      </w:r>
      <m:oMath xmlns:m="http://schemas.openxmlformats.org/officeDocument/2006/math">
        <m:r>
          <m:rPr>
            <m:lit/>
            <m:nor/>
          </m:rPr>
          <w:rPr>
            <w:rFonts w:ascii="Cambria Math" w:hAnsi="Cambria Math"/>
          </w:rPr>
          <m:t xml:space="preserve">IMM</m:t>
        </m:r>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 H3). Econometric equations, prior specifications, and Markov chain diagnostics are reported in Web Appendix J.</w:t>
      </w:r>
    </w:p>
    <w:p>
      <w:pPr>
        <w:pStyle w:val="BodyText"/>
        <w:rPr/>
      </w:pPr>
      <w:r>
        <w:rPr/>
        <w:t>The empirical estimates are consistent with the hypothesized structural pathways (</w:t>
      </w:r>
      <w:hyperlink w:anchor="tbl-s1b-modmed">
        <w:r>
          <w:rPr>
            <w:rStyle w:val="Hyperlink"/>
          </w:rPr>
          <w:t>Table 1</w:t>
        </w:r>
      </w:hyperlink>
      <w:r>
        <w:rPr/>
        <w:t>). In the first stage, prompt specificity moderates the relationship between acquisition cost and diagnostic acquisition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1.727</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0.467</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2.641</m:t>
        </m:r>
        <m:r>
          <w:rPr>
            <w:rFonts w:ascii="Cambria Math" w:hAnsi="Cambria Math"/>
          </w:rPr>
          <m:t xml:space="preserve">,</m:t>
        </m:r>
        <m:r>
          <w:rPr>
            <w:rFonts w:ascii="Cambria Math" w:hAnsi="Cambria Math"/>
          </w:rPr>
          <m:t xml:space="preserve">−</m:t>
        </m:r>
        <m:r>
          <w:rPr>
            <w:rFonts w:ascii="Cambria Math" w:hAnsi="Cambria Math"/>
          </w:rPr>
          <m:t xml:space="preserve">0.765</m:t>
        </m:r>
        <m:r>
          <w:rPr>
            <w:rFonts w:ascii="Cambria Math" w:hAnsi="Cambria Math"/>
          </w:rPr>
          <m:t xml:space="preserve">]</m:t>
        </m:r>
      </m:oMath>
      <w:r>
        <w:rPr/>
        <w:t>), supporting H1. Specifically, the negative effect of acquisition cost on diagnostic acquisition is significant under a vague goal prompt (</w:t>
      </w:r>
      <w:r>
        <w:rPr/>
      </w:r>
      <m:oMath xmlns:m="http://schemas.openxmlformats.org/officeDocument/2006/math">
        <m:sSub>
          <m:e>
            <m:r>
              <w:rPr>
                <w:rFonts w:ascii="Cambria Math" w:hAnsi="Cambria Math"/>
              </w:rPr>
              <m:t xml:space="preserve">a</m:t>
            </m:r>
          </m:e>
          <m:sub>
            <m:r>
              <m:rPr>
                <m:lit/>
                <m:nor/>
              </m:rPr>
              <w:rPr>
                <w:rFonts w:ascii="Cambria Math" w:hAnsi="Cambria Math"/>
              </w:rPr>
              <m:t xml:space="preserve">Vague</m:t>
            </m:r>
          </m:sub>
        </m:sSub>
        <m:r>
          <w:rPr>
            <w:rFonts w:ascii="Cambria Math" w:hAnsi="Cambria Math"/>
          </w:rPr>
          <m:t xml:space="preserve">=</m:t>
        </m:r>
        <m:r>
          <w:rPr>
            <w:rFonts w:ascii="Cambria Math" w:hAnsi="Cambria Math"/>
          </w:rPr>
          <m:t xml:space="preserve">−</m:t>
        </m:r>
        <m:r>
          <w:rPr>
            <w:rFonts w:ascii="Cambria Math" w:hAnsi="Cambria Math"/>
          </w:rPr>
          <m:t xml:space="preserve">1.997</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0.487</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2.952</m:t>
        </m:r>
        <m:r>
          <w:rPr>
            <w:rFonts w:ascii="Cambria Math" w:hAnsi="Cambria Math"/>
          </w:rPr>
          <m:t xml:space="preserve">,</m:t>
        </m:r>
        <m:r>
          <w:rPr>
            <w:rFonts w:ascii="Cambria Math" w:hAnsi="Cambria Math"/>
          </w:rPr>
          <m:t xml:space="preserve">−</m:t>
        </m:r>
        <m:r>
          <w:rPr>
            <w:rFonts w:ascii="Cambria Math" w:hAnsi="Cambria Math"/>
          </w:rPr>
          <m:t xml:space="preserve">1.003</m:t>
        </m:r>
        <m:r>
          <w:rPr>
            <w:rFonts w:ascii="Cambria Math" w:hAnsi="Cambria Math"/>
          </w:rPr>
          <m:t xml:space="preserve">]</m:t>
        </m:r>
      </m:oMath>
      <w:r>
        <w:rPr/>
        <w:t>), but this reduction is attenuated when LLMs receive a specific goal prompt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0.270</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0.217</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0.698</m:t>
        </m:r>
        <m:r>
          <w:rPr>
            <w:rFonts w:ascii="Cambria Math" w:hAnsi="Cambria Math"/>
          </w:rPr>
          <m:t xml:space="preserve">,</m:t>
        </m:r>
        <m:r>
          <w:rPr>
            <w:rFonts w:ascii="Cambria Math" w:hAnsi="Cambria Math"/>
          </w:rPr>
          <m:t xml:space="preserve">0.161</m:t>
        </m:r>
        <m:r>
          <w:rPr>
            <w:rFonts w:ascii="Cambria Math" w:hAnsi="Cambria Math"/>
          </w:rPr>
          <m:t xml:space="preserve">]</m:t>
        </m:r>
      </m:oMath>
      <w:r>
        <w:rPr/>
        <w:t>).</w:t>
      </w:r>
    </w:p>
    <w:p>
      <w:pPr>
        <w:pStyle w:val="BodyText"/>
        <w:rPr/>
      </w:pPr>
      <w:r>
        <w:rPr/>
        <w:t>In the second stage, diagnostic acquisition is positively associated with choice optimality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r>
          <w:rPr>
            <w:rFonts w:ascii="Cambria Math" w:hAnsi="Cambria Math"/>
          </w:rPr>
          <m:t xml:space="preserve">0.263</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0.034</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0.196</m:t>
        </m:r>
        <m:r>
          <w:rPr>
            <w:rFonts w:ascii="Cambria Math" w:hAnsi="Cambria Math"/>
          </w:rPr>
          <m:t xml:space="preserve">,</m:t>
        </m:r>
        <m:r>
          <w:rPr>
            <w:rFonts w:ascii="Cambria Math" w:hAnsi="Cambria Math"/>
          </w:rPr>
          <m:t xml:space="preserve">0.329</m:t>
        </m:r>
        <m:r>
          <w:rPr>
            <w:rFonts w:ascii="Cambria Math" w:hAnsi="Cambria Math"/>
          </w:rPr>
          <m:t xml:space="preserve">]</m:t>
        </m:r>
      </m:oMath>
      <w:r>
        <w:rPr/>
        <w:t>), supporting H2. Consistent with H3, prompt specificity moderates the indirect pathway from acquisition cost to choice optimality via diagnostic acquisition, as evidenced by the significant Index of Moderated Mediation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0.451</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0.128</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0.704</m:t>
        </m:r>
        <m:r>
          <w:rPr>
            <w:rFonts w:ascii="Cambria Math" w:hAnsi="Cambria Math"/>
          </w:rPr>
          <m:t xml:space="preserve">,</m:t>
        </m:r>
        <m:r>
          <w:rPr>
            <w:rFonts w:ascii="Cambria Math" w:hAnsi="Cambria Math"/>
          </w:rPr>
          <m:t xml:space="preserve">−</m:t>
        </m:r>
        <m:r>
          <w:rPr>
            <w:rFonts w:ascii="Cambria Math" w:hAnsi="Cambria Math"/>
          </w:rPr>
          <m:t xml:space="preserve">0.194</m:t>
        </m:r>
        <m:r>
          <w:rPr>
            <w:rFonts w:ascii="Cambria Math" w:hAnsi="Cambria Math"/>
          </w:rPr>
          <m:t xml:space="preserve">]</m:t>
        </m:r>
      </m:oMath>
      <w:r>
        <w:rPr/>
        <w:t xml:space="preserve">). Specifically, the conditional indirect effect is negative under a vague goal prompt (indirect effect </w:t>
      </w:r>
      <w:r>
        <w:rPr/>
      </w:r>
      <m:oMath xmlns:m="http://schemas.openxmlformats.org/officeDocument/2006/math">
        <m:r>
          <w:rPr>
            <w:rFonts w:ascii="Cambria Math" w:hAnsi="Cambria Math"/>
          </w:rPr>
          <m:t xml:space="preserve">−</m:t>
        </m:r>
        <m:r>
          <w:rPr>
            <w:rFonts w:ascii="Cambria Math" w:hAnsi="Cambria Math"/>
          </w:rPr>
          <m:t xml:space="preserve">0.522</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0.132</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0.783</m:t>
        </m:r>
        <m:r>
          <w:rPr>
            <w:rFonts w:ascii="Cambria Math" w:hAnsi="Cambria Math"/>
          </w:rPr>
          <m:t xml:space="preserve">,</m:t>
        </m:r>
        <m:r>
          <w:rPr>
            <w:rFonts w:ascii="Cambria Math" w:hAnsi="Cambria Math"/>
          </w:rPr>
          <m:t xml:space="preserve">−</m:t>
        </m:r>
        <m:r>
          <w:rPr>
            <w:rFonts w:ascii="Cambria Math" w:hAnsi="Cambria Math"/>
          </w:rPr>
          <m:t xml:space="preserve">0.256</m:t>
        </m:r>
        <m:r>
          <w:rPr>
            <w:rFonts w:ascii="Cambria Math" w:hAnsi="Cambria Math"/>
          </w:rPr>
          <m:t xml:space="preserve">]</m:t>
        </m:r>
      </m:oMath>
      <w:r>
        <w:rPr/>
        <w:t xml:space="preserve">), but overlaps zero under a specific goal prompt (indirect effect </w:t>
      </w:r>
      <w:r>
        <w:rPr/>
      </w:r>
      <m:oMath xmlns:m="http://schemas.openxmlformats.org/officeDocument/2006/math">
        <m:r>
          <w:rPr>
            <w:rFonts w:ascii="Cambria Math" w:hAnsi="Cambria Math"/>
          </w:rPr>
          <m:t xml:space="preserve">−</m:t>
        </m:r>
        <m:r>
          <w:rPr>
            <w:rFonts w:ascii="Cambria Math" w:hAnsi="Cambria Math"/>
          </w:rPr>
          <m:t xml:space="preserve">0.070</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0.057</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0.184</m:t>
        </m:r>
        <m:r>
          <w:rPr>
            <w:rFonts w:ascii="Cambria Math" w:hAnsi="Cambria Math"/>
          </w:rPr>
          <m:t xml:space="preserve">,</m:t>
        </m:r>
        <m:r>
          <w:rPr>
            <w:rFonts w:ascii="Cambria Math" w:hAnsi="Cambria Math"/>
          </w:rPr>
          <m:t xml:space="preserve">0.044</m:t>
        </m:r>
        <m:r>
          <w:rPr>
            <w:rFonts w:ascii="Cambria Math" w:hAnsi="Cambria Math"/>
          </w:rPr>
          <m:t xml:space="preserve">]</m:t>
        </m:r>
      </m:oMath>
      <w:r>
        <w:rPr/>
        <w:t>). Finally, the direct effect of acquisition cost on choice optimality is not credibly different from zero (</w:t>
      </w:r>
      <w:r>
        <w:rPr/>
      </w:r>
      <m:oMath xmlns:m="http://schemas.openxmlformats.org/officeDocument/2006/math">
        <m:sSup>
          <m:e>
            <m:r>
              <w:rPr>
                <w:rFonts w:ascii="Cambria Math" w:hAnsi="Cambria Math"/>
              </w:rPr>
              <m:t xml:space="preserve">c</m:t>
            </m:r>
          </m:e>
          <m:sup>
            <m:r>
              <w:rPr>
                <w:rFonts w:ascii="Cambria Math" w:hAnsi="Cambria Math"/>
              </w:rPr>
              <m:t xml:space="preserve">′</m:t>
            </m:r>
          </m:sup>
        </m:sSup>
        <m:r>
          <w:rPr>
            <w:rFonts w:ascii="Cambria Math" w:hAnsi="Cambria Math"/>
          </w:rPr>
          <m:t xml:space="preserve">=</m:t>
        </m:r>
        <m:r>
          <w:rPr>
            <w:rFonts w:ascii="Cambria Math" w:hAnsi="Cambria Math"/>
          </w:rPr>
          <m:t xml:space="preserve">−</m:t>
        </m:r>
        <m:r>
          <w:rPr>
            <w:rFonts w:ascii="Cambria Math" w:hAnsi="Cambria Math"/>
          </w:rPr>
          <m:t xml:space="preserve">0.100</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0.076</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0.251</m:t>
        </m:r>
        <m:r>
          <w:rPr>
            <w:rFonts w:ascii="Cambria Math" w:hAnsi="Cambria Math"/>
          </w:rPr>
          <m:t xml:space="preserve">,</m:t>
        </m:r>
        <m:r>
          <w:rPr>
            <w:rFonts w:ascii="Cambria Math" w:hAnsi="Cambria Math"/>
          </w:rPr>
          <m:t xml:space="preserve">0.051</m:t>
        </m:r>
        <m:r>
          <w:rPr>
            <w:rFonts w:ascii="Cambria Math" w:hAnsi="Cambria Math"/>
          </w:rPr>
          <m:t xml:space="preserve">]</m:t>
        </m:r>
      </m:oMath>
      <w:r>
        <w:rPr/>
        <w:t>), indicating that the observed decrease in choice optimality under cost constraints operates primarily through the truncation of diagnostic acquisition.</w:t>
      </w:r>
    </w:p>
    <w:p>
      <w:pPr>
        <w:pStyle w:val="BodyText"/>
        <w:rPr/>
      </w:pPr>
      <w:r>
        <w:rPr/>
        <w:t xml:space="preserve">Disaggregated analyses indicate that this indirect pathway is broadly consistent across the evaluated LLMs. LLM-specific structural path estimates and conditional indirect effects are reported in </w:t>
      </w:r>
      <w:hyperlink w:anchor="apptbl-s1b-permodel-paths">
        <w:r>
          <w:rPr>
            <w:rStyle w:val="Hyperlink"/>
          </w:rPr>
          <w:t>Table W11</w:t>
        </w:r>
      </w:hyperlink>
      <w:r>
        <w:rPr/>
        <w:t xml:space="preserve"> and </w:t>
      </w:r>
      <w:hyperlink w:anchor="apptbl-s1b-permodel-indirect">
        <w:r>
          <w:rPr>
            <w:rStyle w:val="Hyperlink"/>
          </w:rPr>
          <w:t>Table W12</w:t>
        </w:r>
      </w:hyperlink>
      <w:r>
        <w:rPr/>
        <w:t>.</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1: Multilevel moderated mediation of acquisition cost and prompt specificity on choice optimality (Study 1 Tool-Lab)</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4264"/>
              <w:gridCol w:w="2035"/>
              <w:gridCol w:w="1219"/>
              <w:gridCol w:w="1626"/>
            </w:tblGrid>
            <w:tr>
              <w:trPr>
                <w:tblHeader w:val="true"/>
              </w:trPr>
              <w:tc>
                <w:tcPr>
                  <w:tcW w:w="4264" w:type="dxa"/>
                  <w:tcBorders/>
                  <w:vAlign w:val="center"/>
                </w:tcPr>
                <w:p>
                  <w:pPr>
                    <w:pStyle w:val="Compact"/>
                    <w:spacing w:before="36" w:after="36"/>
                    <w:rPr>
                      <w:b w:val="false"/>
                    </w:rPr>
                  </w:pPr>
                  <w:r>
                    <w:rPr>
                      <w:b w:val="false"/>
                    </w:rPr>
                  </w:r>
                </w:p>
              </w:tc>
              <w:tc>
                <w:tcPr>
                  <w:tcW w:w="2035" w:type="dxa"/>
                  <w:tcBorders/>
                  <w:vAlign w:val="center"/>
                </w:tcPr>
                <w:p>
                  <w:pPr>
                    <w:pStyle w:val="Compact"/>
                    <w:spacing w:before="36" w:after="36"/>
                    <w:jc w:val="center"/>
                    <w:rPr>
                      <w:b w:val="false"/>
                    </w:rPr>
                  </w:pPr>
                  <w:r>
                    <w:rPr>
                      <w:b w:val="false"/>
                    </w:rPr>
                    <w:t>Estimate</w:t>
                  </w:r>
                </w:p>
              </w:tc>
              <w:tc>
                <w:tcPr>
                  <w:tcW w:w="1219" w:type="dxa"/>
                  <w:tcBorders/>
                  <w:vAlign w:val="center"/>
                </w:tcPr>
                <w:p>
                  <w:pPr>
                    <w:pStyle w:val="Compact"/>
                    <w:spacing w:before="36" w:after="36"/>
                    <w:jc w:val="center"/>
                    <w:rPr>
                      <w:b w:val="false"/>
                    </w:rPr>
                  </w:pPr>
                  <w:r>
                    <w:rPr>
                      <w:b w:val="false"/>
                      <w:i/>
                      <w:iCs/>
                    </w:rPr>
                    <w:t>SD</w:t>
                  </w:r>
                </w:p>
              </w:tc>
              <w:tc>
                <w:tcPr>
                  <w:tcW w:w="1626" w:type="dxa"/>
                  <w:tcBorders/>
                  <w:vAlign w:val="center"/>
                </w:tcPr>
                <w:p>
                  <w:pPr>
                    <w:pStyle w:val="Compact"/>
                    <w:spacing w:before="36" w:after="36"/>
                    <w:jc w:val="center"/>
                    <w:rPr>
                      <w:b w:val="false"/>
                    </w:rPr>
                  </w:pPr>
                  <w:r>
                    <w:rPr>
                      <w:b w:val="false"/>
                    </w:rPr>
                    <w:t>95% CI</w:t>
                  </w:r>
                </w:p>
              </w:tc>
            </w:tr>
            <w:tr>
              <w:trPr/>
              <w:tc>
                <w:tcPr>
                  <w:tcW w:w="4264" w:type="dxa"/>
                  <w:tcBorders>
                    <w:top w:val="nil"/>
                    <w:bottom w:val="nil"/>
                  </w:tcBorders>
                  <w:vAlign w:val="center"/>
                </w:tcPr>
                <w:p>
                  <w:pPr>
                    <w:pStyle w:val="Compact"/>
                    <w:spacing w:before="36" w:after="36"/>
                    <w:jc w:val="center"/>
                    <w:rPr/>
                  </w:pPr>
                  <w:r>
                    <w:rPr>
                      <w:b/>
                      <w:bCs/>
                    </w:rPr>
                    <w:t>Stage 1: Diagnostic acquisition</w:t>
                  </w:r>
                </w:p>
              </w:tc>
              <w:tc>
                <w:tcPr>
                  <w:tcW w:w="2035" w:type="dxa"/>
                  <w:tcBorders>
                    <w:top w:val="nil"/>
                    <w:bottom w:val="nil"/>
                  </w:tcBorders>
                  <w:vAlign w:val="center"/>
                </w:tcPr>
                <w:p>
                  <w:pPr>
                    <w:pStyle w:val="Compact"/>
                    <w:spacing w:lineRule="auto" w:line="240" w:before="36" w:after="36"/>
                    <w:ind w:hanging="0"/>
                    <w:jc w:val="left"/>
                    <w:rPr/>
                  </w:pPr>
                  <w:r>
                    <w:rPr/>
                  </w:r>
                </w:p>
              </w:tc>
              <w:tc>
                <w:tcPr>
                  <w:tcW w:w="1219" w:type="dxa"/>
                  <w:tcBorders>
                    <w:top w:val="nil"/>
                    <w:bottom w:val="nil"/>
                  </w:tcBorders>
                  <w:vAlign w:val="center"/>
                </w:tcPr>
                <w:p>
                  <w:pPr>
                    <w:pStyle w:val="Compact"/>
                    <w:spacing w:lineRule="auto" w:line="240" w:before="36" w:after="36"/>
                    <w:ind w:hanging="0"/>
                    <w:jc w:val="left"/>
                    <w:rPr/>
                  </w:pPr>
                  <w:r>
                    <w:rPr/>
                  </w:r>
                </w:p>
              </w:tc>
              <w:tc>
                <w:tcPr>
                  <w:tcW w:w="1626" w:type="dxa"/>
                  <w:tcBorders>
                    <w:top w:val="nil"/>
                    <w:bottom w:val="nil"/>
                  </w:tcBorders>
                  <w:vAlign w:val="center"/>
                </w:tcPr>
                <w:p>
                  <w:pPr>
                    <w:pStyle w:val="Compact"/>
                    <w:spacing w:lineRule="auto" w:line="240" w:before="36" w:after="36"/>
                    <w:ind w:hanging="0"/>
                    <w:jc w:val="left"/>
                    <w:rPr/>
                  </w:pPr>
                  <w:r>
                    <w:rPr/>
                  </w:r>
                </w:p>
              </w:tc>
            </w:tr>
            <w:tr>
              <w:trPr/>
              <w:tc>
                <w:tcPr>
                  <w:tcW w:w="4264" w:type="dxa"/>
                  <w:tcBorders>
                    <w:top w:val="nil"/>
                    <w:bottom w:val="nil"/>
                  </w:tcBorders>
                  <w:vAlign w:val="center"/>
                </w:tcPr>
                <w:p>
                  <w:pPr>
                    <w:pStyle w:val="Compact"/>
                    <w:spacing w:before="36" w:after="36"/>
                    <w:jc w:val="center"/>
                    <w:rPr/>
                  </w:pPr>
                  <w:r>
                    <w:rPr/>
                    <w:t>Acquisition cost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oMath>
                  <w:r>
                    <w:rPr/>
                    <w:t>)</w:t>
                  </w:r>
                  <w:r>
                    <w:rPr/>
                  </w:r>
                  <m:oMath xmlns:m="http://schemas.openxmlformats.org/officeDocument/2006/math">
                    <m:sSup>
                      <m:e/>
                      <m:sup>
                        <m:r>
                          <w:rPr>
                            <w:rFonts w:ascii="Cambria Math" w:hAnsi="Cambria Math"/>
                          </w:rPr>
                          <m:t xml:space="preserve">a</m:t>
                        </m:r>
                      </m:sup>
                    </m:sSup>
                  </m:oMath>
                </w:p>
              </w:tc>
              <w:tc>
                <w:tcPr>
                  <w:tcW w:w="2035" w:type="dxa"/>
                  <w:tcBorders>
                    <w:top w:val="nil"/>
                    <w:bottom w:val="nil"/>
                  </w:tcBorders>
                  <w:vAlign w:val="center"/>
                </w:tcPr>
                <w:p>
                  <w:pPr>
                    <w:pStyle w:val="Compact"/>
                    <w:spacing w:before="36" w:after="36"/>
                    <w:jc w:val="center"/>
                    <w:rPr/>
                  </w:pPr>
                  <w:r>
                    <w:rPr/>
                    <w:t>-0.270</w:t>
                  </w:r>
                </w:p>
              </w:tc>
              <w:tc>
                <w:tcPr>
                  <w:tcW w:w="1219" w:type="dxa"/>
                  <w:tcBorders>
                    <w:top w:val="nil"/>
                    <w:bottom w:val="nil"/>
                  </w:tcBorders>
                  <w:vAlign w:val="center"/>
                </w:tcPr>
                <w:p>
                  <w:pPr>
                    <w:pStyle w:val="Compact"/>
                    <w:spacing w:before="36" w:after="36"/>
                    <w:jc w:val="center"/>
                    <w:rPr/>
                  </w:pPr>
                  <w:r>
                    <w:rPr/>
                    <w:t>0.217</w:t>
                  </w:r>
                </w:p>
              </w:tc>
              <w:tc>
                <w:tcPr>
                  <w:tcW w:w="1626" w:type="dxa"/>
                  <w:tcBorders>
                    <w:top w:val="nil"/>
                    <w:bottom w:val="nil"/>
                  </w:tcBorders>
                  <w:vAlign w:val="center"/>
                </w:tcPr>
                <w:p>
                  <w:pPr>
                    <w:pStyle w:val="Compact"/>
                    <w:spacing w:before="36" w:after="36"/>
                    <w:jc w:val="center"/>
                    <w:rPr/>
                  </w:pPr>
                  <w:r>
                    <w:rPr/>
                    <w:t>[-0.698, 0.161]</w:t>
                  </w:r>
                </w:p>
              </w:tc>
            </w:tr>
            <w:tr>
              <w:trPr/>
              <w:tc>
                <w:tcPr>
                  <w:tcW w:w="4264" w:type="dxa"/>
                  <w:tcBorders>
                    <w:top w:val="nil"/>
                    <w:bottom w:val="nil"/>
                  </w:tcBorders>
                  <w:vAlign w:val="center"/>
                </w:tcPr>
                <w:p>
                  <w:pPr>
                    <w:pStyle w:val="Compact"/>
                    <w:spacing w:before="36" w:after="36"/>
                    <w:jc w:val="center"/>
                    <w:rPr/>
                  </w:pPr>
                  <w:r>
                    <w:rPr/>
                    <w:t>Vague goal prompt (</w:t>
                  </w:r>
                  <w:r>
                    <w:rPr/>
                  </w:r>
                  <m:oMath xmlns:m="http://schemas.openxmlformats.org/officeDocument/2006/math">
                    <m:sSub>
                      <m:e>
                        <m:r>
                          <w:rPr>
                            <w:rFonts w:ascii="Cambria Math" w:hAnsi="Cambria Math"/>
                          </w:rPr>
                          <m:t xml:space="preserve">a</m:t>
                        </m:r>
                      </m:e>
                      <m:sub>
                        <m:r>
                          <w:rPr>
                            <w:rFonts w:ascii="Cambria Math" w:hAnsi="Cambria Math"/>
                          </w:rPr>
                          <m:t xml:space="preserve">2</m:t>
                        </m:r>
                      </m:sub>
                    </m:sSub>
                  </m:oMath>
                  <w:r>
                    <w:rPr/>
                    <w:t>)</w:t>
                  </w:r>
                </w:p>
              </w:tc>
              <w:tc>
                <w:tcPr>
                  <w:tcW w:w="2035" w:type="dxa"/>
                  <w:tcBorders>
                    <w:top w:val="nil"/>
                    <w:bottom w:val="nil"/>
                  </w:tcBorders>
                  <w:vAlign w:val="center"/>
                </w:tcPr>
                <w:p>
                  <w:pPr>
                    <w:pStyle w:val="Compact"/>
                    <w:spacing w:before="36" w:after="36"/>
                    <w:jc w:val="center"/>
                    <w:rPr/>
                  </w:pPr>
                  <w:r>
                    <w:rPr/>
                    <w:t>-0.135</w:t>
                  </w:r>
                </w:p>
              </w:tc>
              <w:tc>
                <w:tcPr>
                  <w:tcW w:w="1219" w:type="dxa"/>
                  <w:tcBorders>
                    <w:top w:val="nil"/>
                    <w:bottom w:val="nil"/>
                  </w:tcBorders>
                  <w:vAlign w:val="center"/>
                </w:tcPr>
                <w:p>
                  <w:pPr>
                    <w:pStyle w:val="Compact"/>
                    <w:spacing w:before="36" w:after="36"/>
                    <w:jc w:val="center"/>
                    <w:rPr/>
                  </w:pPr>
                  <w:r>
                    <w:rPr/>
                    <w:t>0.117</w:t>
                  </w:r>
                </w:p>
              </w:tc>
              <w:tc>
                <w:tcPr>
                  <w:tcW w:w="1626" w:type="dxa"/>
                  <w:tcBorders>
                    <w:top w:val="nil"/>
                    <w:bottom w:val="nil"/>
                  </w:tcBorders>
                  <w:vAlign w:val="center"/>
                </w:tcPr>
                <w:p>
                  <w:pPr>
                    <w:pStyle w:val="Compact"/>
                    <w:spacing w:before="36" w:after="36"/>
                    <w:jc w:val="center"/>
                    <w:rPr/>
                  </w:pPr>
                  <w:r>
                    <w:rPr/>
                    <w:t>[-0.371, 0.095]</w:t>
                  </w:r>
                </w:p>
              </w:tc>
            </w:tr>
            <w:tr>
              <w:trPr/>
              <w:tc>
                <w:tcPr>
                  <w:tcW w:w="4264" w:type="dxa"/>
                  <w:tcBorders>
                    <w:top w:val="nil"/>
                    <w:bottom w:val="nil"/>
                  </w:tcBorders>
                  <w:vAlign w:val="center"/>
                </w:tcPr>
                <w:p>
                  <w:pPr>
                    <w:pStyle w:val="Compact"/>
                    <w:spacing w:before="36" w:after="36"/>
                    <w:jc w:val="center"/>
                    <w:rPr/>
                  </w:pPr>
                  <w:r>
                    <w:rPr/>
                    <w:t xml:space="preserve">Acquisition cost </w:t>
                  </w:r>
                  <w:r>
                    <w:rPr/>
                  </w:r>
                  <m:oMath xmlns:m="http://schemas.openxmlformats.org/officeDocument/2006/math">
                    <m:r>
                      <w:rPr>
                        <w:rFonts w:ascii="Cambria Math" w:hAnsi="Cambria Math"/>
                      </w:rPr>
                      <m:t xml:space="preserve">×</m:t>
                    </m:r>
                  </m:oMath>
                  <w:r>
                    <w:rPr/>
                    <w:t xml:space="preserve"> Vague goal prompt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oMath>
                  <w:r>
                    <w:rPr/>
                    <w:t>)</w:t>
                  </w:r>
                </w:p>
              </w:tc>
              <w:tc>
                <w:tcPr>
                  <w:tcW w:w="2035" w:type="dxa"/>
                  <w:tcBorders>
                    <w:top w:val="nil"/>
                    <w:bottom w:val="nil"/>
                  </w:tcBorders>
                  <w:vAlign w:val="center"/>
                </w:tcPr>
                <w:p>
                  <w:pPr>
                    <w:pStyle w:val="Compact"/>
                    <w:spacing w:before="36" w:after="36"/>
                    <w:jc w:val="center"/>
                    <w:rPr/>
                  </w:pPr>
                  <w:r>
                    <w:rPr/>
                    <w:t>-1.727*</w:t>
                  </w:r>
                </w:p>
              </w:tc>
              <w:tc>
                <w:tcPr>
                  <w:tcW w:w="1219" w:type="dxa"/>
                  <w:tcBorders>
                    <w:top w:val="nil"/>
                    <w:bottom w:val="nil"/>
                  </w:tcBorders>
                  <w:vAlign w:val="center"/>
                </w:tcPr>
                <w:p>
                  <w:pPr>
                    <w:pStyle w:val="Compact"/>
                    <w:spacing w:before="36" w:after="36"/>
                    <w:jc w:val="center"/>
                    <w:rPr/>
                  </w:pPr>
                  <w:r>
                    <w:rPr/>
                    <w:t>0.467</w:t>
                  </w:r>
                </w:p>
              </w:tc>
              <w:tc>
                <w:tcPr>
                  <w:tcW w:w="1626" w:type="dxa"/>
                  <w:tcBorders>
                    <w:top w:val="nil"/>
                    <w:bottom w:val="nil"/>
                  </w:tcBorders>
                  <w:vAlign w:val="center"/>
                </w:tcPr>
                <w:p>
                  <w:pPr>
                    <w:pStyle w:val="Compact"/>
                    <w:spacing w:before="36" w:after="36"/>
                    <w:jc w:val="center"/>
                    <w:rPr/>
                  </w:pPr>
                  <w:r>
                    <w:rPr/>
                    <w:t>[-2.641, -0.765]</w:t>
                  </w:r>
                </w:p>
              </w:tc>
            </w:tr>
            <w:tr>
              <w:trPr/>
              <w:tc>
                <w:tcPr>
                  <w:tcW w:w="4264" w:type="dxa"/>
                  <w:tcBorders>
                    <w:top w:val="nil"/>
                    <w:bottom w:val="nil"/>
                  </w:tcBorders>
                  <w:vAlign w:val="center"/>
                </w:tcPr>
                <w:p>
                  <w:pPr>
                    <w:pStyle w:val="Compact"/>
                    <w:spacing w:before="36" w:after="36"/>
                    <w:jc w:val="center"/>
                    <w:rPr/>
                  </w:pPr>
                  <w:r>
                    <w:rPr/>
                    <w:t>Acquisition cost under vague goal prompt (</w:t>
                  </w:r>
                  <w:r>
                    <w:rPr/>
                  </w:r>
                  <m:oMath xmlns:m="http://schemas.openxmlformats.org/officeDocument/2006/math">
                    <m:sSub>
                      <m:e>
                        <m:r>
                          <w:rPr>
                            <w:rFonts w:ascii="Cambria Math" w:hAnsi="Cambria Math"/>
                          </w:rPr>
                          <m:t xml:space="preserve">a</m:t>
                        </m:r>
                      </m:e>
                      <m:sub>
                        <m:r>
                          <m:rPr>
                            <m:lit/>
                            <m:nor/>
                          </m:rPr>
                          <w:rPr>
                            <w:rFonts w:ascii="Cambria Math" w:hAnsi="Cambria Math"/>
                          </w:rPr>
                          <m:t xml:space="preserve">Vague</m:t>
                        </m:r>
                      </m:sub>
                    </m:sSub>
                  </m:oMath>
                  <w:r>
                    <w:rPr/>
                    <w:t>)</w:t>
                  </w:r>
                  <w:r>
                    <w:rPr/>
                  </w:r>
                  <m:oMath xmlns:m="http://schemas.openxmlformats.org/officeDocument/2006/math">
                    <m:sSup>
                      <m:e/>
                      <m:sup>
                        <m:r>
                          <w:rPr>
                            <w:rFonts w:ascii="Cambria Math" w:hAnsi="Cambria Math"/>
                          </w:rPr>
                          <m:t xml:space="preserve">b</m:t>
                        </m:r>
                      </m:sup>
                    </m:sSup>
                  </m:oMath>
                </w:p>
              </w:tc>
              <w:tc>
                <w:tcPr>
                  <w:tcW w:w="2035" w:type="dxa"/>
                  <w:tcBorders>
                    <w:top w:val="nil"/>
                    <w:bottom w:val="nil"/>
                  </w:tcBorders>
                  <w:vAlign w:val="center"/>
                </w:tcPr>
                <w:p>
                  <w:pPr>
                    <w:pStyle w:val="Compact"/>
                    <w:spacing w:before="36" w:after="36"/>
                    <w:jc w:val="center"/>
                    <w:rPr/>
                  </w:pPr>
                  <w:r>
                    <w:rPr/>
                    <w:t>-1.997*</w:t>
                  </w:r>
                </w:p>
              </w:tc>
              <w:tc>
                <w:tcPr>
                  <w:tcW w:w="1219" w:type="dxa"/>
                  <w:tcBorders>
                    <w:top w:val="nil"/>
                    <w:bottom w:val="nil"/>
                  </w:tcBorders>
                  <w:vAlign w:val="center"/>
                </w:tcPr>
                <w:p>
                  <w:pPr>
                    <w:pStyle w:val="Compact"/>
                    <w:spacing w:before="36" w:after="36"/>
                    <w:jc w:val="center"/>
                    <w:rPr/>
                  </w:pPr>
                  <w:r>
                    <w:rPr/>
                    <w:t>0.487</w:t>
                  </w:r>
                </w:p>
              </w:tc>
              <w:tc>
                <w:tcPr>
                  <w:tcW w:w="1626" w:type="dxa"/>
                  <w:tcBorders>
                    <w:top w:val="nil"/>
                    <w:bottom w:val="nil"/>
                  </w:tcBorders>
                  <w:vAlign w:val="center"/>
                </w:tcPr>
                <w:p>
                  <w:pPr>
                    <w:pStyle w:val="Compact"/>
                    <w:spacing w:before="36" w:after="36"/>
                    <w:jc w:val="center"/>
                    <w:rPr/>
                  </w:pPr>
                  <w:r>
                    <w:rPr/>
                    <w:t>[-2.952, -1.003]</w:t>
                  </w:r>
                </w:p>
              </w:tc>
            </w:tr>
            <w:tr>
              <w:trPr/>
              <w:tc>
                <w:tcPr>
                  <w:tcW w:w="4264" w:type="dxa"/>
                  <w:tcBorders>
                    <w:top w:val="nil"/>
                    <w:bottom w:val="nil"/>
                  </w:tcBorders>
                  <w:vAlign w:val="center"/>
                </w:tcPr>
                <w:p>
                  <w:pPr>
                    <w:pStyle w:val="Compact"/>
                    <w:spacing w:before="36" w:after="36"/>
                    <w:jc w:val="center"/>
                    <w:rPr/>
                  </w:pPr>
                  <w:r>
                    <w:rPr>
                      <w:b/>
                      <w:bCs/>
                    </w:rPr>
                    <w:t>Stage 2: Choice optimality</w:t>
                  </w:r>
                </w:p>
              </w:tc>
              <w:tc>
                <w:tcPr>
                  <w:tcW w:w="2035" w:type="dxa"/>
                  <w:tcBorders>
                    <w:top w:val="nil"/>
                    <w:bottom w:val="nil"/>
                  </w:tcBorders>
                  <w:vAlign w:val="center"/>
                </w:tcPr>
                <w:p>
                  <w:pPr>
                    <w:pStyle w:val="Compact"/>
                    <w:spacing w:lineRule="auto" w:line="240" w:before="36" w:after="36"/>
                    <w:ind w:hanging="0"/>
                    <w:jc w:val="left"/>
                    <w:rPr/>
                  </w:pPr>
                  <w:r>
                    <w:rPr/>
                  </w:r>
                </w:p>
              </w:tc>
              <w:tc>
                <w:tcPr>
                  <w:tcW w:w="1219" w:type="dxa"/>
                  <w:tcBorders>
                    <w:top w:val="nil"/>
                    <w:bottom w:val="nil"/>
                  </w:tcBorders>
                  <w:vAlign w:val="center"/>
                </w:tcPr>
                <w:p>
                  <w:pPr>
                    <w:pStyle w:val="Compact"/>
                    <w:spacing w:lineRule="auto" w:line="240" w:before="36" w:after="36"/>
                    <w:ind w:hanging="0"/>
                    <w:jc w:val="left"/>
                    <w:rPr/>
                  </w:pPr>
                  <w:r>
                    <w:rPr/>
                  </w:r>
                </w:p>
              </w:tc>
              <w:tc>
                <w:tcPr>
                  <w:tcW w:w="1626" w:type="dxa"/>
                  <w:tcBorders>
                    <w:top w:val="nil"/>
                    <w:bottom w:val="nil"/>
                  </w:tcBorders>
                  <w:vAlign w:val="center"/>
                </w:tcPr>
                <w:p>
                  <w:pPr>
                    <w:pStyle w:val="Compact"/>
                    <w:spacing w:lineRule="auto" w:line="240" w:before="36" w:after="36"/>
                    <w:ind w:hanging="0"/>
                    <w:jc w:val="left"/>
                    <w:rPr/>
                  </w:pPr>
                  <w:r>
                    <w:rPr/>
                  </w:r>
                </w:p>
              </w:tc>
            </w:tr>
            <w:tr>
              <w:trPr/>
              <w:tc>
                <w:tcPr>
                  <w:tcW w:w="4264" w:type="dxa"/>
                  <w:tcBorders>
                    <w:top w:val="nil"/>
                    <w:bottom w:val="nil"/>
                  </w:tcBorders>
                  <w:vAlign w:val="center"/>
                </w:tcPr>
                <w:p>
                  <w:pPr>
                    <w:pStyle w:val="Compact"/>
                    <w:spacing w:before="36" w:after="36"/>
                    <w:jc w:val="center"/>
                    <w:rPr/>
                  </w:pPr>
                  <w:r>
                    <w:rPr/>
                    <w:t>Diagnostic acquisition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oMath>
                  <w:r>
                    <w:rPr/>
                    <w:t>)</w:t>
                  </w:r>
                </w:p>
              </w:tc>
              <w:tc>
                <w:tcPr>
                  <w:tcW w:w="2035" w:type="dxa"/>
                  <w:tcBorders>
                    <w:top w:val="nil"/>
                    <w:bottom w:val="nil"/>
                  </w:tcBorders>
                  <w:vAlign w:val="center"/>
                </w:tcPr>
                <w:p>
                  <w:pPr>
                    <w:pStyle w:val="Compact"/>
                    <w:spacing w:before="36" w:after="36"/>
                    <w:jc w:val="center"/>
                    <w:rPr/>
                  </w:pPr>
                  <w:r>
                    <w:rPr/>
                    <w:t>0.263*</w:t>
                  </w:r>
                </w:p>
              </w:tc>
              <w:tc>
                <w:tcPr>
                  <w:tcW w:w="1219" w:type="dxa"/>
                  <w:tcBorders>
                    <w:top w:val="nil"/>
                    <w:bottom w:val="nil"/>
                  </w:tcBorders>
                  <w:vAlign w:val="center"/>
                </w:tcPr>
                <w:p>
                  <w:pPr>
                    <w:pStyle w:val="Compact"/>
                    <w:spacing w:before="36" w:after="36"/>
                    <w:jc w:val="center"/>
                    <w:rPr/>
                  </w:pPr>
                  <w:r>
                    <w:rPr/>
                    <w:t>0.034</w:t>
                  </w:r>
                </w:p>
              </w:tc>
              <w:tc>
                <w:tcPr>
                  <w:tcW w:w="1626" w:type="dxa"/>
                  <w:tcBorders>
                    <w:top w:val="nil"/>
                    <w:bottom w:val="nil"/>
                  </w:tcBorders>
                  <w:vAlign w:val="center"/>
                </w:tcPr>
                <w:p>
                  <w:pPr>
                    <w:pStyle w:val="Compact"/>
                    <w:spacing w:before="36" w:after="36"/>
                    <w:jc w:val="center"/>
                    <w:rPr/>
                  </w:pPr>
                  <w:r>
                    <w:rPr/>
                    <w:t>[0.196, 0.329]</w:t>
                  </w:r>
                </w:p>
              </w:tc>
            </w:tr>
            <w:tr>
              <w:trPr/>
              <w:tc>
                <w:tcPr>
                  <w:tcW w:w="4264" w:type="dxa"/>
                  <w:tcBorders>
                    <w:top w:val="nil"/>
                    <w:bottom w:val="nil"/>
                  </w:tcBorders>
                  <w:vAlign w:val="center"/>
                </w:tcPr>
                <w:p>
                  <w:pPr>
                    <w:pStyle w:val="Compact"/>
                    <w:spacing w:before="36" w:after="36"/>
                    <w:jc w:val="center"/>
                    <w:rPr/>
                  </w:pPr>
                  <w:r>
                    <w:rPr/>
                    <w:t>Acquisition cost (</w:t>
                  </w:r>
                  <w:r>
                    <w:rPr/>
                  </w:r>
                  <m:oMath xmlns:m="http://schemas.openxmlformats.org/officeDocument/2006/math">
                    <m:sSup>
                      <m:e>
                        <m:r>
                          <w:rPr>
                            <w:rFonts w:ascii="Cambria Math" w:hAnsi="Cambria Math"/>
                          </w:rPr>
                          <m:t xml:space="preserve">c</m:t>
                        </m:r>
                      </m:e>
                      <m:sup>
                        <m:r>
                          <w:rPr>
                            <w:rFonts w:ascii="Cambria Math" w:hAnsi="Cambria Math"/>
                          </w:rPr>
                          <m:t xml:space="preserve">′</m:t>
                        </m:r>
                      </m:sup>
                    </m:sSup>
                  </m:oMath>
                  <w:r>
                    <w:rPr/>
                    <w:t>)</w:t>
                  </w:r>
                </w:p>
              </w:tc>
              <w:tc>
                <w:tcPr>
                  <w:tcW w:w="2035" w:type="dxa"/>
                  <w:tcBorders>
                    <w:top w:val="nil"/>
                    <w:bottom w:val="nil"/>
                  </w:tcBorders>
                  <w:vAlign w:val="center"/>
                </w:tcPr>
                <w:p>
                  <w:pPr>
                    <w:pStyle w:val="Compact"/>
                    <w:spacing w:before="36" w:after="36"/>
                    <w:jc w:val="center"/>
                    <w:rPr/>
                  </w:pPr>
                  <w:r>
                    <w:rPr/>
                    <w:t>-0.100</w:t>
                  </w:r>
                </w:p>
              </w:tc>
              <w:tc>
                <w:tcPr>
                  <w:tcW w:w="1219" w:type="dxa"/>
                  <w:tcBorders>
                    <w:top w:val="nil"/>
                    <w:bottom w:val="nil"/>
                  </w:tcBorders>
                  <w:vAlign w:val="center"/>
                </w:tcPr>
                <w:p>
                  <w:pPr>
                    <w:pStyle w:val="Compact"/>
                    <w:spacing w:before="36" w:after="36"/>
                    <w:jc w:val="center"/>
                    <w:rPr/>
                  </w:pPr>
                  <w:r>
                    <w:rPr/>
                    <w:t>0.076</w:t>
                  </w:r>
                </w:p>
              </w:tc>
              <w:tc>
                <w:tcPr>
                  <w:tcW w:w="1626" w:type="dxa"/>
                  <w:tcBorders>
                    <w:top w:val="nil"/>
                    <w:bottom w:val="nil"/>
                  </w:tcBorders>
                  <w:vAlign w:val="center"/>
                </w:tcPr>
                <w:p>
                  <w:pPr>
                    <w:pStyle w:val="Compact"/>
                    <w:spacing w:before="36" w:after="36"/>
                    <w:jc w:val="center"/>
                    <w:rPr/>
                  </w:pPr>
                  <w:r>
                    <w:rPr/>
                    <w:t>[-0.251, 0.051]</w:t>
                  </w:r>
                </w:p>
              </w:tc>
            </w:tr>
            <w:tr>
              <w:trPr/>
              <w:tc>
                <w:tcPr>
                  <w:tcW w:w="4264" w:type="dxa"/>
                  <w:tcBorders>
                    <w:top w:val="nil"/>
                    <w:bottom w:val="nil"/>
                  </w:tcBorders>
                  <w:vAlign w:val="center"/>
                </w:tcPr>
                <w:p>
                  <w:pPr>
                    <w:pStyle w:val="Compact"/>
                    <w:spacing w:before="36" w:after="36"/>
                    <w:jc w:val="center"/>
                    <w:rPr/>
                  </w:pPr>
                  <w:r>
                    <w:rPr/>
                    <w:t>Vague goal prompt (</w:t>
                  </w:r>
                  <w:r>
                    <w:rPr/>
                  </w:r>
                  <m:oMath xmlns:m="http://schemas.openxmlformats.org/officeDocument/2006/math">
                    <m:sSub>
                      <m:e>
                        <m:r>
                          <w:rPr>
                            <w:rFonts w:ascii="Cambria Math" w:hAnsi="Cambria Math"/>
                          </w:rPr>
                          <m:t xml:space="preserve">c</m:t>
                        </m:r>
                      </m:e>
                      <m:sub>
                        <m:r>
                          <w:rPr>
                            <w:rFonts w:ascii="Cambria Math" w:hAnsi="Cambria Math"/>
                          </w:rPr>
                          <m:t xml:space="preserve">2</m:t>
                        </m:r>
                      </m:sub>
                    </m:sSub>
                  </m:oMath>
                  <w:r>
                    <w:rPr/>
                    <w:t>)</w:t>
                  </w:r>
                </w:p>
              </w:tc>
              <w:tc>
                <w:tcPr>
                  <w:tcW w:w="2035" w:type="dxa"/>
                  <w:tcBorders>
                    <w:top w:val="nil"/>
                    <w:bottom w:val="nil"/>
                  </w:tcBorders>
                  <w:vAlign w:val="center"/>
                </w:tcPr>
                <w:p>
                  <w:pPr>
                    <w:pStyle w:val="Compact"/>
                    <w:spacing w:before="36" w:after="36"/>
                    <w:jc w:val="center"/>
                    <w:rPr/>
                  </w:pPr>
                  <w:r>
                    <w:rPr/>
                    <w:t>-0.056*</w:t>
                  </w:r>
                </w:p>
              </w:tc>
              <w:tc>
                <w:tcPr>
                  <w:tcW w:w="1219" w:type="dxa"/>
                  <w:tcBorders>
                    <w:top w:val="nil"/>
                    <w:bottom w:val="nil"/>
                  </w:tcBorders>
                  <w:vAlign w:val="center"/>
                </w:tcPr>
                <w:p>
                  <w:pPr>
                    <w:pStyle w:val="Compact"/>
                    <w:spacing w:before="36" w:after="36"/>
                    <w:jc w:val="center"/>
                    <w:rPr/>
                  </w:pPr>
                  <w:r>
                    <w:rPr/>
                    <w:t>0.019</w:t>
                  </w:r>
                </w:p>
              </w:tc>
              <w:tc>
                <w:tcPr>
                  <w:tcW w:w="1626" w:type="dxa"/>
                  <w:tcBorders>
                    <w:top w:val="nil"/>
                    <w:bottom w:val="nil"/>
                  </w:tcBorders>
                  <w:vAlign w:val="center"/>
                </w:tcPr>
                <w:p>
                  <w:pPr>
                    <w:pStyle w:val="Compact"/>
                    <w:spacing w:before="36" w:after="36"/>
                    <w:jc w:val="center"/>
                    <w:rPr/>
                  </w:pPr>
                  <w:r>
                    <w:rPr/>
                    <w:t>[-0.094, -0.018]</w:t>
                  </w:r>
                </w:p>
              </w:tc>
            </w:tr>
            <w:tr>
              <w:trPr/>
              <w:tc>
                <w:tcPr>
                  <w:tcW w:w="4264" w:type="dxa"/>
                  <w:tcBorders>
                    <w:top w:val="nil"/>
                    <w:bottom w:val="nil"/>
                  </w:tcBorders>
                  <w:vAlign w:val="center"/>
                </w:tcPr>
                <w:p>
                  <w:pPr>
                    <w:pStyle w:val="Compact"/>
                    <w:spacing w:before="36" w:after="36"/>
                    <w:jc w:val="center"/>
                    <w:rPr/>
                  </w:pPr>
                  <w:r>
                    <w:rPr>
                      <w:b/>
                      <w:bCs/>
                    </w:rPr>
                    <w:t>Conditional indirect effects</w:t>
                  </w:r>
                </w:p>
              </w:tc>
              <w:tc>
                <w:tcPr>
                  <w:tcW w:w="2035" w:type="dxa"/>
                  <w:tcBorders>
                    <w:top w:val="nil"/>
                    <w:bottom w:val="nil"/>
                  </w:tcBorders>
                  <w:vAlign w:val="center"/>
                </w:tcPr>
                <w:p>
                  <w:pPr>
                    <w:pStyle w:val="Compact"/>
                    <w:spacing w:lineRule="auto" w:line="240" w:before="36" w:after="36"/>
                    <w:ind w:hanging="0"/>
                    <w:jc w:val="left"/>
                    <w:rPr/>
                  </w:pPr>
                  <w:r>
                    <w:rPr/>
                  </w:r>
                </w:p>
              </w:tc>
              <w:tc>
                <w:tcPr>
                  <w:tcW w:w="1219" w:type="dxa"/>
                  <w:tcBorders>
                    <w:top w:val="nil"/>
                    <w:bottom w:val="nil"/>
                  </w:tcBorders>
                  <w:vAlign w:val="center"/>
                </w:tcPr>
                <w:p>
                  <w:pPr>
                    <w:pStyle w:val="Compact"/>
                    <w:spacing w:lineRule="auto" w:line="240" w:before="36" w:after="36"/>
                    <w:ind w:hanging="0"/>
                    <w:jc w:val="left"/>
                    <w:rPr/>
                  </w:pPr>
                  <w:r>
                    <w:rPr/>
                  </w:r>
                </w:p>
              </w:tc>
              <w:tc>
                <w:tcPr>
                  <w:tcW w:w="1626" w:type="dxa"/>
                  <w:tcBorders>
                    <w:top w:val="nil"/>
                    <w:bottom w:val="nil"/>
                  </w:tcBorders>
                  <w:vAlign w:val="center"/>
                </w:tcPr>
                <w:p>
                  <w:pPr>
                    <w:pStyle w:val="Compact"/>
                    <w:spacing w:lineRule="auto" w:line="240" w:before="36" w:after="36"/>
                    <w:ind w:hanging="0"/>
                    <w:jc w:val="left"/>
                    <w:rPr/>
                  </w:pPr>
                  <w:r>
                    <w:rPr/>
                  </w:r>
                </w:p>
              </w:tc>
            </w:tr>
            <w:tr>
              <w:trPr/>
              <w:tc>
                <w:tcPr>
                  <w:tcW w:w="4264" w:type="dxa"/>
                  <w:tcBorders>
                    <w:top w:val="nil"/>
                    <w:bottom w:val="nil"/>
                  </w:tcBorders>
                  <w:vAlign w:val="center"/>
                </w:tcPr>
                <w:p>
                  <w:pPr>
                    <w:pStyle w:val="Compact"/>
                    <w:spacing w:before="36" w:after="36"/>
                    <w:jc w:val="center"/>
                    <w:rPr/>
                  </w:pPr>
                  <w:r>
                    <w:rPr/>
                    <w:t>Specific goal prompt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sSub>
                      <m:e>
                        <m:r>
                          <w:rPr>
                            <w:rFonts w:ascii="Cambria Math" w:hAnsi="Cambria Math"/>
                          </w:rPr>
                          <m:t xml:space="preserve">b</m:t>
                        </m:r>
                      </m:e>
                      <m:sub>
                        <m:r>
                          <w:rPr>
                            <w:rFonts w:ascii="Cambria Math" w:hAnsi="Cambria Math"/>
                          </w:rPr>
                          <m:t xml:space="preserve">1</m:t>
                        </m:r>
                      </m:sub>
                    </m:sSub>
                  </m:oMath>
                  <w:r>
                    <w:rPr/>
                    <w:t>)</w:t>
                  </w:r>
                </w:p>
              </w:tc>
              <w:tc>
                <w:tcPr>
                  <w:tcW w:w="2035" w:type="dxa"/>
                  <w:tcBorders>
                    <w:top w:val="nil"/>
                    <w:bottom w:val="nil"/>
                  </w:tcBorders>
                  <w:vAlign w:val="center"/>
                </w:tcPr>
                <w:p>
                  <w:pPr>
                    <w:pStyle w:val="Compact"/>
                    <w:spacing w:before="36" w:after="36"/>
                    <w:jc w:val="center"/>
                    <w:rPr/>
                  </w:pPr>
                  <w:r>
                    <w:rPr/>
                    <w:t>-0.070</w:t>
                  </w:r>
                </w:p>
              </w:tc>
              <w:tc>
                <w:tcPr>
                  <w:tcW w:w="1219" w:type="dxa"/>
                  <w:tcBorders>
                    <w:top w:val="nil"/>
                    <w:bottom w:val="nil"/>
                  </w:tcBorders>
                  <w:vAlign w:val="center"/>
                </w:tcPr>
                <w:p>
                  <w:pPr>
                    <w:pStyle w:val="Compact"/>
                    <w:spacing w:before="36" w:after="36"/>
                    <w:jc w:val="center"/>
                    <w:rPr/>
                  </w:pPr>
                  <w:r>
                    <w:rPr/>
                    <w:t>0.057</w:t>
                  </w:r>
                </w:p>
              </w:tc>
              <w:tc>
                <w:tcPr>
                  <w:tcW w:w="1626" w:type="dxa"/>
                  <w:tcBorders>
                    <w:top w:val="nil"/>
                    <w:bottom w:val="nil"/>
                  </w:tcBorders>
                  <w:vAlign w:val="center"/>
                </w:tcPr>
                <w:p>
                  <w:pPr>
                    <w:pStyle w:val="Compact"/>
                    <w:spacing w:before="36" w:after="36"/>
                    <w:jc w:val="center"/>
                    <w:rPr/>
                  </w:pPr>
                  <w:r>
                    <w:rPr/>
                    <w:t>[-0.184, 0.044]</w:t>
                  </w:r>
                </w:p>
              </w:tc>
            </w:tr>
            <w:tr>
              <w:trPr/>
              <w:tc>
                <w:tcPr>
                  <w:tcW w:w="4264" w:type="dxa"/>
                  <w:tcBorders>
                    <w:top w:val="nil"/>
                    <w:bottom w:val="nil"/>
                  </w:tcBorders>
                  <w:vAlign w:val="center"/>
                </w:tcPr>
                <w:p>
                  <w:pPr>
                    <w:pStyle w:val="Compact"/>
                    <w:spacing w:before="36" w:after="36"/>
                    <w:jc w:val="center"/>
                    <w:rPr/>
                  </w:pPr>
                  <w:r>
                    <w:rPr/>
                    <w:t>Vague goal prompt (</w:t>
                  </w:r>
                  <w:r>
                    <w:rPr/>
                  </w:r>
                  <m:oMath xmlns:m="http://schemas.openxmlformats.org/officeDocument/2006/math">
                    <m:sSub>
                      <m:e>
                        <m:r>
                          <w:rPr>
                            <w:rFonts w:ascii="Cambria Math" w:hAnsi="Cambria Math"/>
                          </w:rPr>
                          <m:t xml:space="preserve">a</m:t>
                        </m:r>
                      </m:e>
                      <m:sub>
                        <m:r>
                          <m:rPr>
                            <m:lit/>
                            <m:nor/>
                          </m:rPr>
                          <w:rPr>
                            <w:rFonts w:ascii="Cambria Math" w:hAnsi="Cambria Math"/>
                          </w:rPr>
                          <m:t xml:space="preserve">Vague</m:t>
                        </m:r>
                      </m:sub>
                    </m:sSub>
                    <m:sSub>
                      <m:e>
                        <m:r>
                          <w:rPr>
                            <w:rFonts w:ascii="Cambria Math" w:hAnsi="Cambria Math"/>
                          </w:rPr>
                          <m:t xml:space="preserve">b</m:t>
                        </m:r>
                      </m:e>
                      <m:sub>
                        <m:r>
                          <w:rPr>
                            <w:rFonts w:ascii="Cambria Math" w:hAnsi="Cambria Math"/>
                          </w:rPr>
                          <m:t xml:space="preserve">1</m:t>
                        </m:r>
                      </m:sub>
                    </m:sSub>
                  </m:oMath>
                  <w:r>
                    <w:rPr/>
                    <w:t>)</w:t>
                  </w:r>
                </w:p>
              </w:tc>
              <w:tc>
                <w:tcPr>
                  <w:tcW w:w="2035" w:type="dxa"/>
                  <w:tcBorders>
                    <w:top w:val="nil"/>
                    <w:bottom w:val="nil"/>
                  </w:tcBorders>
                  <w:vAlign w:val="center"/>
                </w:tcPr>
                <w:p>
                  <w:pPr>
                    <w:pStyle w:val="Compact"/>
                    <w:spacing w:before="36" w:after="36"/>
                    <w:jc w:val="center"/>
                    <w:rPr/>
                  </w:pPr>
                  <w:r>
                    <w:rPr/>
                    <w:t>-0.522*</w:t>
                  </w:r>
                </w:p>
              </w:tc>
              <w:tc>
                <w:tcPr>
                  <w:tcW w:w="1219" w:type="dxa"/>
                  <w:tcBorders>
                    <w:top w:val="nil"/>
                    <w:bottom w:val="nil"/>
                  </w:tcBorders>
                  <w:vAlign w:val="center"/>
                </w:tcPr>
                <w:p>
                  <w:pPr>
                    <w:pStyle w:val="Compact"/>
                    <w:spacing w:before="36" w:after="36"/>
                    <w:jc w:val="center"/>
                    <w:rPr/>
                  </w:pPr>
                  <w:r>
                    <w:rPr/>
                    <w:t>0.132</w:t>
                  </w:r>
                </w:p>
              </w:tc>
              <w:tc>
                <w:tcPr>
                  <w:tcW w:w="1626" w:type="dxa"/>
                  <w:tcBorders>
                    <w:top w:val="nil"/>
                    <w:bottom w:val="nil"/>
                  </w:tcBorders>
                  <w:vAlign w:val="center"/>
                </w:tcPr>
                <w:p>
                  <w:pPr>
                    <w:pStyle w:val="Compact"/>
                    <w:spacing w:before="36" w:after="36"/>
                    <w:jc w:val="center"/>
                    <w:rPr/>
                  </w:pPr>
                  <w:r>
                    <w:rPr/>
                    <w:t>[-0.783, -0.256]</w:t>
                  </w:r>
                </w:p>
              </w:tc>
            </w:tr>
            <w:tr>
              <w:trPr/>
              <w:tc>
                <w:tcPr>
                  <w:tcW w:w="4264" w:type="dxa"/>
                  <w:tcBorders>
                    <w:top w:val="nil"/>
                    <w:bottom w:val="nil"/>
                  </w:tcBorders>
                  <w:vAlign w:val="center"/>
                </w:tcPr>
                <w:p>
                  <w:pPr>
                    <w:pStyle w:val="Compact"/>
                    <w:spacing w:before="36" w:after="36"/>
                    <w:jc w:val="center"/>
                    <w:rPr/>
                  </w:pPr>
                  <w:r>
                    <w:rPr/>
                    <w:t>Index of Moderated Mediation (</w:t>
                  </w:r>
                  <w:r>
                    <w:rPr/>
                  </w:r>
                  <m:oMath xmlns:m="http://schemas.openxmlformats.org/officeDocument/2006/math">
                    <m:r>
                      <m:rPr>
                        <m:lit/>
                        <m:nor/>
                      </m:rPr>
                      <w:rPr>
                        <w:rFonts w:ascii="Cambria Math" w:hAnsi="Cambria Math"/>
                      </w:rPr>
                      <m:t xml:space="preserve">IMM</m:t>
                    </m:r>
                  </m:oMath>
                  <w:r>
                    <w:rPr/>
                    <w:t>)</w:t>
                  </w:r>
                  <w:r>
                    <w:rPr/>
                  </w:r>
                  <m:oMath xmlns:m="http://schemas.openxmlformats.org/officeDocument/2006/math">
                    <m:sSup>
                      <m:e/>
                      <m:sup>
                        <m:r>
                          <w:rPr>
                            <w:rFonts w:ascii="Cambria Math" w:hAnsi="Cambria Math"/>
                          </w:rPr>
                          <m:t xml:space="preserve">c</m:t>
                        </m:r>
                      </m:sup>
                    </m:sSup>
                  </m:oMath>
                </w:p>
              </w:tc>
              <w:tc>
                <w:tcPr>
                  <w:tcW w:w="2035" w:type="dxa"/>
                  <w:tcBorders>
                    <w:top w:val="nil"/>
                    <w:bottom w:val="nil"/>
                  </w:tcBorders>
                  <w:vAlign w:val="center"/>
                </w:tcPr>
                <w:p>
                  <w:pPr>
                    <w:pStyle w:val="Compact"/>
                    <w:spacing w:before="36" w:after="36"/>
                    <w:jc w:val="center"/>
                    <w:rPr/>
                  </w:pPr>
                  <w:r>
                    <w:rPr/>
                    <w:t>-0.451*</w:t>
                  </w:r>
                </w:p>
              </w:tc>
              <w:tc>
                <w:tcPr>
                  <w:tcW w:w="1219" w:type="dxa"/>
                  <w:tcBorders>
                    <w:top w:val="nil"/>
                    <w:bottom w:val="nil"/>
                  </w:tcBorders>
                  <w:vAlign w:val="center"/>
                </w:tcPr>
                <w:p>
                  <w:pPr>
                    <w:pStyle w:val="Compact"/>
                    <w:spacing w:before="36" w:after="36"/>
                    <w:jc w:val="center"/>
                    <w:rPr/>
                  </w:pPr>
                  <w:r>
                    <w:rPr/>
                    <w:t>0.128</w:t>
                  </w:r>
                </w:p>
              </w:tc>
              <w:tc>
                <w:tcPr>
                  <w:tcW w:w="1626" w:type="dxa"/>
                  <w:tcBorders>
                    <w:top w:val="nil"/>
                    <w:bottom w:val="nil"/>
                  </w:tcBorders>
                  <w:vAlign w:val="center"/>
                </w:tcPr>
                <w:p>
                  <w:pPr>
                    <w:pStyle w:val="Compact"/>
                    <w:spacing w:before="36" w:after="36"/>
                    <w:jc w:val="center"/>
                    <w:rPr/>
                  </w:pPr>
                  <w:r>
                    <w:rPr/>
                    <w:t>[-0.704, -0.194]</w:t>
                  </w:r>
                </w:p>
              </w:tc>
            </w:tr>
            <w:tr>
              <w:trPr/>
              <w:tc>
                <w:tcPr>
                  <w:tcW w:w="4264" w:type="dxa"/>
                  <w:tcBorders>
                    <w:top w:val="nil"/>
                    <w:bottom w:val="nil"/>
                  </w:tcBorders>
                  <w:vAlign w:val="center"/>
                </w:tcPr>
                <w:p>
                  <w:pPr>
                    <w:pStyle w:val="Compact"/>
                    <w:spacing w:before="36" w:after="36"/>
                    <w:jc w:val="center"/>
                    <w:rPr/>
                  </w:pPr>
                  <w:r>
                    <w:rPr>
                      <w:b/>
                      <w:bCs/>
                    </w:rPr>
                    <w:t>Total effects</w:t>
                  </w:r>
                </w:p>
              </w:tc>
              <w:tc>
                <w:tcPr>
                  <w:tcW w:w="2035" w:type="dxa"/>
                  <w:tcBorders>
                    <w:top w:val="nil"/>
                    <w:bottom w:val="nil"/>
                  </w:tcBorders>
                  <w:vAlign w:val="center"/>
                </w:tcPr>
                <w:p>
                  <w:pPr>
                    <w:pStyle w:val="Compact"/>
                    <w:spacing w:lineRule="auto" w:line="240" w:before="36" w:after="36"/>
                    <w:ind w:hanging="0"/>
                    <w:jc w:val="left"/>
                    <w:rPr/>
                  </w:pPr>
                  <w:r>
                    <w:rPr/>
                  </w:r>
                </w:p>
              </w:tc>
              <w:tc>
                <w:tcPr>
                  <w:tcW w:w="1219" w:type="dxa"/>
                  <w:tcBorders>
                    <w:top w:val="nil"/>
                    <w:bottom w:val="nil"/>
                  </w:tcBorders>
                  <w:vAlign w:val="center"/>
                </w:tcPr>
                <w:p>
                  <w:pPr>
                    <w:pStyle w:val="Compact"/>
                    <w:spacing w:lineRule="auto" w:line="240" w:before="36" w:after="36"/>
                    <w:ind w:hanging="0"/>
                    <w:jc w:val="left"/>
                    <w:rPr/>
                  </w:pPr>
                  <w:r>
                    <w:rPr/>
                  </w:r>
                </w:p>
              </w:tc>
              <w:tc>
                <w:tcPr>
                  <w:tcW w:w="1626" w:type="dxa"/>
                  <w:tcBorders>
                    <w:top w:val="nil"/>
                    <w:bottom w:val="nil"/>
                  </w:tcBorders>
                  <w:vAlign w:val="center"/>
                </w:tcPr>
                <w:p>
                  <w:pPr>
                    <w:pStyle w:val="Compact"/>
                    <w:spacing w:lineRule="auto" w:line="240" w:before="36" w:after="36"/>
                    <w:ind w:hanging="0"/>
                    <w:jc w:val="left"/>
                    <w:rPr/>
                  </w:pPr>
                  <w:r>
                    <w:rPr/>
                  </w:r>
                </w:p>
              </w:tc>
            </w:tr>
            <w:tr>
              <w:trPr/>
              <w:tc>
                <w:tcPr>
                  <w:tcW w:w="4264" w:type="dxa"/>
                  <w:tcBorders>
                    <w:top w:val="nil"/>
                    <w:bottom w:val="nil"/>
                  </w:tcBorders>
                  <w:vAlign w:val="center"/>
                </w:tcPr>
                <w:p>
                  <w:pPr>
                    <w:pStyle w:val="Compact"/>
                    <w:spacing w:before="36" w:after="36"/>
                    <w:jc w:val="center"/>
                    <w:rPr/>
                  </w:pPr>
                  <w:r>
                    <w:rPr/>
                    <w:t>Specific goal prompt</w:t>
                  </w:r>
                </w:p>
              </w:tc>
              <w:tc>
                <w:tcPr>
                  <w:tcW w:w="2035" w:type="dxa"/>
                  <w:tcBorders>
                    <w:top w:val="nil"/>
                    <w:bottom w:val="nil"/>
                  </w:tcBorders>
                  <w:vAlign w:val="center"/>
                </w:tcPr>
                <w:p>
                  <w:pPr>
                    <w:pStyle w:val="Compact"/>
                    <w:spacing w:before="36" w:after="36"/>
                    <w:jc w:val="center"/>
                    <w:rPr/>
                  </w:pPr>
                  <w:r>
                    <w:rPr/>
                    <w:t>-0.170</w:t>
                  </w:r>
                </w:p>
              </w:tc>
              <w:tc>
                <w:tcPr>
                  <w:tcW w:w="1219" w:type="dxa"/>
                  <w:tcBorders>
                    <w:top w:val="nil"/>
                    <w:bottom w:val="nil"/>
                  </w:tcBorders>
                  <w:vAlign w:val="center"/>
                </w:tcPr>
                <w:p>
                  <w:pPr>
                    <w:pStyle w:val="Compact"/>
                    <w:spacing w:before="36" w:after="36"/>
                    <w:jc w:val="center"/>
                    <w:rPr/>
                  </w:pPr>
                  <w:r>
                    <w:rPr/>
                    <w:t>0.106</w:t>
                  </w:r>
                </w:p>
              </w:tc>
              <w:tc>
                <w:tcPr>
                  <w:tcW w:w="1626" w:type="dxa"/>
                  <w:tcBorders>
                    <w:top w:val="nil"/>
                    <w:bottom w:val="nil"/>
                  </w:tcBorders>
                  <w:vAlign w:val="center"/>
                </w:tcPr>
                <w:p>
                  <w:pPr>
                    <w:pStyle w:val="Compact"/>
                    <w:spacing w:before="36" w:after="36"/>
                    <w:jc w:val="center"/>
                    <w:rPr/>
                  </w:pPr>
                  <w:r>
                    <w:rPr/>
                    <w:t>[-0.377, 0.048]</w:t>
                  </w:r>
                </w:p>
              </w:tc>
            </w:tr>
            <w:tr>
              <w:trPr/>
              <w:tc>
                <w:tcPr>
                  <w:tcW w:w="4264" w:type="dxa"/>
                  <w:tcBorders>
                    <w:top w:val="nil"/>
                    <w:bottom w:val="nil"/>
                  </w:tcBorders>
                  <w:vAlign w:val="center"/>
                </w:tcPr>
                <w:p>
                  <w:pPr>
                    <w:pStyle w:val="Compact"/>
                    <w:spacing w:before="36" w:after="36"/>
                    <w:jc w:val="center"/>
                    <w:rPr/>
                  </w:pPr>
                  <w:r>
                    <w:rPr/>
                    <w:t>Vague goal prompt</w:t>
                  </w:r>
                </w:p>
              </w:tc>
              <w:tc>
                <w:tcPr>
                  <w:tcW w:w="2035" w:type="dxa"/>
                  <w:tcBorders>
                    <w:top w:val="nil"/>
                    <w:bottom w:val="nil"/>
                  </w:tcBorders>
                  <w:vAlign w:val="center"/>
                </w:tcPr>
                <w:p>
                  <w:pPr>
                    <w:pStyle w:val="Compact"/>
                    <w:spacing w:before="36" w:after="36"/>
                    <w:jc w:val="center"/>
                    <w:rPr/>
                  </w:pPr>
                  <w:r>
                    <w:rPr/>
                    <w:t>-0.621*</w:t>
                  </w:r>
                </w:p>
              </w:tc>
              <w:tc>
                <w:tcPr>
                  <w:tcW w:w="1219" w:type="dxa"/>
                  <w:tcBorders>
                    <w:top w:val="nil"/>
                    <w:bottom w:val="nil"/>
                  </w:tcBorders>
                  <w:vAlign w:val="center"/>
                </w:tcPr>
                <w:p>
                  <w:pPr>
                    <w:pStyle w:val="Compact"/>
                    <w:spacing w:before="36" w:after="36"/>
                    <w:jc w:val="center"/>
                    <w:rPr/>
                  </w:pPr>
                  <w:r>
                    <w:rPr/>
                    <w:t>0.155</w:t>
                  </w:r>
                </w:p>
              </w:tc>
              <w:tc>
                <w:tcPr>
                  <w:tcW w:w="1626" w:type="dxa"/>
                  <w:tcBorders>
                    <w:top w:val="nil"/>
                    <w:bottom w:val="nil"/>
                  </w:tcBorders>
                  <w:vAlign w:val="center"/>
                </w:tcPr>
                <w:p>
                  <w:pPr>
                    <w:pStyle w:val="Compact"/>
                    <w:spacing w:before="36" w:after="36"/>
                    <w:jc w:val="center"/>
                    <w:rPr/>
                  </w:pPr>
                  <w:r>
                    <w:rPr/>
                    <w:t>[-0.933, -0.306]</w:t>
                  </w:r>
                </w:p>
              </w:tc>
            </w:tr>
            <w:tr>
              <w:trPr/>
              <w:tc>
                <w:tcPr>
                  <w:tcW w:w="4264" w:type="dxa"/>
                  <w:tcBorders>
                    <w:top w:val="nil"/>
                    <w:bottom w:val="nil"/>
                  </w:tcBorders>
                  <w:vAlign w:val="center"/>
                </w:tcPr>
                <w:p>
                  <w:pPr>
                    <w:pStyle w:val="Compact"/>
                    <w:spacing w:before="36" w:after="36"/>
                    <w:jc w:val="center"/>
                    <w:rPr/>
                  </w:pPr>
                  <w:r>
                    <w:rPr>
                      <w:b/>
                      <w:bCs/>
                    </w:rPr>
                    <w:t>Between-LLM heterogeneity (</w:t>
                  </w:r>
                  <w:r>
                    <w:rPr/>
                  </w:r>
                  <m:oMath xmlns:m="http://schemas.openxmlformats.org/officeDocument/2006/math">
                    <m:r>
                      <w:rPr>
                        <w:rFonts w:ascii="Cambria Math" w:hAnsi="Cambria Math"/>
                      </w:rPr>
                      <m:t xml:space="preserve">τ</m:t>
                    </m:r>
                  </m:oMath>
                  <w:r>
                    <w:rPr>
                      <w:b/>
                      <w:bCs/>
                    </w:rPr>
                    <w:t>)</w:t>
                  </w:r>
                </w:p>
              </w:tc>
              <w:tc>
                <w:tcPr>
                  <w:tcW w:w="2035" w:type="dxa"/>
                  <w:tcBorders>
                    <w:top w:val="nil"/>
                    <w:bottom w:val="nil"/>
                  </w:tcBorders>
                  <w:vAlign w:val="center"/>
                </w:tcPr>
                <w:p>
                  <w:pPr>
                    <w:pStyle w:val="Compact"/>
                    <w:spacing w:lineRule="auto" w:line="240" w:before="36" w:after="36"/>
                    <w:ind w:hanging="0"/>
                    <w:jc w:val="left"/>
                    <w:rPr/>
                  </w:pPr>
                  <w:r>
                    <w:rPr/>
                  </w:r>
                </w:p>
              </w:tc>
              <w:tc>
                <w:tcPr>
                  <w:tcW w:w="1219" w:type="dxa"/>
                  <w:tcBorders>
                    <w:top w:val="nil"/>
                    <w:bottom w:val="nil"/>
                  </w:tcBorders>
                  <w:vAlign w:val="center"/>
                </w:tcPr>
                <w:p>
                  <w:pPr>
                    <w:pStyle w:val="Compact"/>
                    <w:spacing w:lineRule="auto" w:line="240" w:before="36" w:after="36"/>
                    <w:ind w:hanging="0"/>
                    <w:jc w:val="left"/>
                    <w:rPr/>
                  </w:pPr>
                  <w:r>
                    <w:rPr/>
                  </w:r>
                </w:p>
              </w:tc>
              <w:tc>
                <w:tcPr>
                  <w:tcW w:w="1626" w:type="dxa"/>
                  <w:tcBorders>
                    <w:top w:val="nil"/>
                    <w:bottom w:val="nil"/>
                  </w:tcBorders>
                  <w:vAlign w:val="center"/>
                </w:tcPr>
                <w:p>
                  <w:pPr>
                    <w:pStyle w:val="Compact"/>
                    <w:spacing w:lineRule="auto" w:line="240" w:before="36" w:after="36"/>
                    <w:ind w:hanging="0"/>
                    <w:jc w:val="left"/>
                    <w:rPr/>
                  </w:pPr>
                  <w:r>
                    <w:rPr/>
                  </w:r>
                </w:p>
              </w:tc>
            </w:tr>
            <w:tr>
              <w:trPr/>
              <w:tc>
                <w:tcPr>
                  <w:tcW w:w="4264" w:type="dxa"/>
                  <w:tcBorders>
                    <w:top w:val="nil"/>
                    <w:bottom w:val="nil"/>
                  </w:tcBorders>
                  <w:vAlign w:val="center"/>
                </w:tcPr>
                <w:p>
                  <w:pPr>
                    <w:pStyle w:val="Compact"/>
                    <w:spacing w:before="36" w:after="36"/>
                    <w:jc w:val="center"/>
                    <w:rPr/>
                  </w:pPr>
                  <w:r>
                    <w:rPr/>
                  </w:r>
                  <m:oMath xmlns:m="http://schemas.openxmlformats.org/officeDocument/2006/math">
                    <m:sSub>
                      <m:e>
                        <m:r>
                          <w:rPr>
                            <w:rFonts w:ascii="Cambria Math" w:hAnsi="Cambria Math"/>
                          </w:rPr>
                          <m:t xml:space="preserve">τ</m:t>
                        </m:r>
                      </m:e>
                      <m:sub>
                        <m:sSub>
                          <m:e>
                            <m:r>
                              <w:rPr>
                                <w:rFonts w:ascii="Cambria Math" w:hAnsi="Cambria Math"/>
                              </w:rPr>
                              <m:t xml:space="preserve">a</m:t>
                            </m:r>
                          </m:e>
                          <m:sub>
                            <m:r>
                              <w:rPr>
                                <w:rFonts w:ascii="Cambria Math" w:hAnsi="Cambria Math"/>
                              </w:rPr>
                              <m:t xml:space="preserve">1</m:t>
                            </m:r>
                          </m:sub>
                        </m:sSub>
                      </m:sub>
                    </m:sSub>
                  </m:oMath>
                  <w:r>
                    <w:rPr/>
                    <w:t xml:space="preserve"> </w:t>
                  </w:r>
                  <w:r>
                    <w:rPr/>
                    <w:t>(Acquisition cost)</w:t>
                  </w:r>
                </w:p>
              </w:tc>
              <w:tc>
                <w:tcPr>
                  <w:tcW w:w="2035" w:type="dxa"/>
                  <w:tcBorders>
                    <w:top w:val="nil"/>
                    <w:bottom w:val="nil"/>
                  </w:tcBorders>
                  <w:vAlign w:val="center"/>
                </w:tcPr>
                <w:p>
                  <w:pPr>
                    <w:pStyle w:val="Compact"/>
                    <w:spacing w:before="36" w:after="36"/>
                    <w:jc w:val="center"/>
                    <w:rPr/>
                  </w:pPr>
                  <w:r>
                    <w:rPr/>
                    <w:t>0.594*</w:t>
                  </w:r>
                </w:p>
              </w:tc>
              <w:tc>
                <w:tcPr>
                  <w:tcW w:w="1219" w:type="dxa"/>
                  <w:tcBorders>
                    <w:top w:val="nil"/>
                    <w:bottom w:val="nil"/>
                  </w:tcBorders>
                  <w:vAlign w:val="center"/>
                </w:tcPr>
                <w:p>
                  <w:pPr>
                    <w:pStyle w:val="Compact"/>
                    <w:spacing w:before="36" w:after="36"/>
                    <w:jc w:val="center"/>
                    <w:rPr/>
                  </w:pPr>
                  <w:r>
                    <w:rPr/>
                    <w:t>0.182</w:t>
                  </w:r>
                </w:p>
              </w:tc>
              <w:tc>
                <w:tcPr>
                  <w:tcW w:w="1626" w:type="dxa"/>
                  <w:tcBorders>
                    <w:top w:val="nil"/>
                    <w:bottom w:val="nil"/>
                  </w:tcBorders>
                  <w:vAlign w:val="center"/>
                </w:tcPr>
                <w:p>
                  <w:pPr>
                    <w:pStyle w:val="Compact"/>
                    <w:spacing w:before="36" w:after="36"/>
                    <w:jc w:val="center"/>
                    <w:rPr/>
                  </w:pPr>
                  <w:r>
                    <w:rPr/>
                    <w:t>[0.358, 1.048]</w:t>
                  </w:r>
                </w:p>
              </w:tc>
            </w:tr>
            <w:tr>
              <w:trPr/>
              <w:tc>
                <w:tcPr>
                  <w:tcW w:w="4264" w:type="dxa"/>
                  <w:tcBorders>
                    <w:top w:val="nil"/>
                    <w:bottom w:val="nil"/>
                  </w:tcBorders>
                  <w:vAlign w:val="center"/>
                </w:tcPr>
                <w:p>
                  <w:pPr>
                    <w:pStyle w:val="Compact"/>
                    <w:spacing w:before="36" w:after="36"/>
                    <w:jc w:val="center"/>
                    <w:rPr/>
                  </w:pPr>
                  <w:r>
                    <w:rPr/>
                  </w:r>
                  <m:oMath xmlns:m="http://schemas.openxmlformats.org/officeDocument/2006/math">
                    <m:sSub>
                      <m:e>
                        <m:r>
                          <w:rPr>
                            <w:rFonts w:ascii="Cambria Math" w:hAnsi="Cambria Math"/>
                          </w:rPr>
                          <m:t xml:space="preserve">τ</m:t>
                        </m:r>
                      </m:e>
                      <m:sub>
                        <m:sSub>
                          <m:e>
                            <m:r>
                              <w:rPr>
                                <w:rFonts w:ascii="Cambria Math" w:hAnsi="Cambria Math"/>
                              </w:rPr>
                              <m:t xml:space="preserve">a</m:t>
                            </m:r>
                          </m:e>
                          <m:sub>
                            <m:r>
                              <w:rPr>
                                <w:rFonts w:ascii="Cambria Math" w:hAnsi="Cambria Math"/>
                              </w:rPr>
                              <m:t xml:space="preserve">2</m:t>
                            </m:r>
                          </m:sub>
                        </m:sSub>
                      </m:sub>
                    </m:sSub>
                  </m:oMath>
                  <w:r>
                    <w:rPr/>
                    <w:t xml:space="preserve"> </w:t>
                  </w:r>
                  <w:r>
                    <w:rPr/>
                    <w:t>(Vague goal prompt)</w:t>
                  </w:r>
                </w:p>
              </w:tc>
              <w:tc>
                <w:tcPr>
                  <w:tcW w:w="2035" w:type="dxa"/>
                  <w:tcBorders>
                    <w:top w:val="nil"/>
                    <w:bottom w:val="nil"/>
                  </w:tcBorders>
                  <w:vAlign w:val="center"/>
                </w:tcPr>
                <w:p>
                  <w:pPr>
                    <w:pStyle w:val="Compact"/>
                    <w:spacing w:before="36" w:after="36"/>
                    <w:jc w:val="center"/>
                    <w:rPr/>
                  </w:pPr>
                  <w:r>
                    <w:rPr/>
                    <w:t>0.300*</w:t>
                  </w:r>
                </w:p>
              </w:tc>
              <w:tc>
                <w:tcPr>
                  <w:tcW w:w="1219" w:type="dxa"/>
                  <w:tcBorders>
                    <w:top w:val="nil"/>
                    <w:bottom w:val="nil"/>
                  </w:tcBorders>
                  <w:vAlign w:val="center"/>
                </w:tcPr>
                <w:p>
                  <w:pPr>
                    <w:pStyle w:val="Compact"/>
                    <w:spacing w:before="36" w:after="36"/>
                    <w:jc w:val="center"/>
                    <w:rPr/>
                  </w:pPr>
                  <w:r>
                    <w:rPr/>
                    <w:t>0.108</w:t>
                  </w:r>
                </w:p>
              </w:tc>
              <w:tc>
                <w:tcPr>
                  <w:tcW w:w="1626" w:type="dxa"/>
                  <w:tcBorders>
                    <w:top w:val="nil"/>
                    <w:bottom w:val="nil"/>
                  </w:tcBorders>
                  <w:vAlign w:val="center"/>
                </w:tcPr>
                <w:p>
                  <w:pPr>
                    <w:pStyle w:val="Compact"/>
                    <w:spacing w:before="36" w:after="36"/>
                    <w:jc w:val="center"/>
                    <w:rPr/>
                  </w:pPr>
                  <w:r>
                    <w:rPr/>
                    <w:t>[0.157, 0.571]</w:t>
                  </w:r>
                </w:p>
              </w:tc>
            </w:tr>
            <w:tr>
              <w:trPr/>
              <w:tc>
                <w:tcPr>
                  <w:tcW w:w="4264" w:type="dxa"/>
                  <w:tcBorders>
                    <w:top w:val="nil"/>
                    <w:bottom w:val="nil"/>
                  </w:tcBorders>
                  <w:vAlign w:val="center"/>
                </w:tcPr>
                <w:p>
                  <w:pPr>
                    <w:pStyle w:val="Compact"/>
                    <w:spacing w:before="36" w:after="36"/>
                    <w:jc w:val="center"/>
                    <w:rPr/>
                  </w:pPr>
                  <w:r>
                    <w:rPr/>
                  </w:r>
                  <m:oMath xmlns:m="http://schemas.openxmlformats.org/officeDocument/2006/math">
                    <m:sSub>
                      <m:e>
                        <m:r>
                          <w:rPr>
                            <w:rFonts w:ascii="Cambria Math" w:hAnsi="Cambria Math"/>
                          </w:rPr>
                          <m:t xml:space="preserve">τ</m:t>
                        </m:r>
                      </m:e>
                      <m:sub>
                        <m:sSub>
                          <m:e>
                            <m:r>
                              <w:rPr>
                                <w:rFonts w:ascii="Cambria Math" w:hAnsi="Cambria Math"/>
                              </w:rPr>
                              <m:t xml:space="preserve">a</m:t>
                            </m:r>
                          </m:e>
                          <m:sub>
                            <m:r>
                              <w:rPr>
                                <w:rFonts w:ascii="Cambria Math" w:hAnsi="Cambria Math"/>
                              </w:rPr>
                              <m:t xml:space="preserve">3</m:t>
                            </m:r>
                          </m:sub>
                        </m:sSub>
                      </m:sub>
                    </m:sSub>
                  </m:oMath>
                  <w:r>
                    <w:rPr/>
                    <w:t xml:space="preserve"> </w:t>
                  </w:r>
                  <w:r>
                    <w:rPr/>
                    <w:t xml:space="preserve">(Acquisition cost </w:t>
                  </w:r>
                  <w:r>
                    <w:rPr/>
                  </w:r>
                  <m:oMath xmlns:m="http://schemas.openxmlformats.org/officeDocument/2006/math">
                    <m:r>
                      <w:rPr>
                        <w:rFonts w:ascii="Cambria Math" w:hAnsi="Cambria Math"/>
                      </w:rPr>
                      <m:t xml:space="preserve">×</m:t>
                    </m:r>
                  </m:oMath>
                  <w:r>
                    <w:rPr/>
                    <w:t xml:space="preserve"> Vague goal prompt)</w:t>
                  </w:r>
                </w:p>
              </w:tc>
              <w:tc>
                <w:tcPr>
                  <w:tcW w:w="2035" w:type="dxa"/>
                  <w:tcBorders>
                    <w:top w:val="nil"/>
                    <w:bottom w:val="nil"/>
                  </w:tcBorders>
                  <w:vAlign w:val="center"/>
                </w:tcPr>
                <w:p>
                  <w:pPr>
                    <w:pStyle w:val="Compact"/>
                    <w:spacing w:before="36" w:after="36"/>
                    <w:jc w:val="center"/>
                    <w:rPr/>
                  </w:pPr>
                  <w:r>
                    <w:rPr/>
                    <w:t>1.292*</w:t>
                  </w:r>
                </w:p>
              </w:tc>
              <w:tc>
                <w:tcPr>
                  <w:tcW w:w="1219" w:type="dxa"/>
                  <w:tcBorders>
                    <w:top w:val="nil"/>
                    <w:bottom w:val="nil"/>
                  </w:tcBorders>
                  <w:vAlign w:val="center"/>
                </w:tcPr>
                <w:p>
                  <w:pPr>
                    <w:pStyle w:val="Compact"/>
                    <w:spacing w:before="36" w:after="36"/>
                    <w:jc w:val="center"/>
                    <w:rPr/>
                  </w:pPr>
                  <w:r>
                    <w:rPr/>
                    <w:t>0.352</w:t>
                  </w:r>
                </w:p>
              </w:tc>
              <w:tc>
                <w:tcPr>
                  <w:tcW w:w="1626" w:type="dxa"/>
                  <w:tcBorders>
                    <w:top w:val="nil"/>
                    <w:bottom w:val="nil"/>
                  </w:tcBorders>
                  <w:vAlign w:val="center"/>
                </w:tcPr>
                <w:p>
                  <w:pPr>
                    <w:pStyle w:val="Compact"/>
                    <w:spacing w:before="36" w:after="36"/>
                    <w:jc w:val="center"/>
                    <w:rPr/>
                  </w:pPr>
                  <w:r>
                    <w:rPr/>
                    <w:t>[0.800, 2.165]</w:t>
                  </w:r>
                </w:p>
              </w:tc>
            </w:tr>
            <w:tr>
              <w:trPr/>
              <w:tc>
                <w:tcPr>
                  <w:tcW w:w="4264" w:type="dxa"/>
                  <w:tcBorders>
                    <w:top w:val="nil"/>
                    <w:bottom w:val="nil"/>
                  </w:tcBorders>
                  <w:vAlign w:val="center"/>
                </w:tcPr>
                <w:p>
                  <w:pPr>
                    <w:pStyle w:val="Compact"/>
                    <w:spacing w:before="36" w:after="36"/>
                    <w:jc w:val="center"/>
                    <w:rPr/>
                  </w:pPr>
                  <w:r>
                    <w:rPr/>
                  </w:r>
                  <m:oMath xmlns:m="http://schemas.openxmlformats.org/officeDocument/2006/math">
                    <m:sSub>
                      <m:e>
                        <m:r>
                          <w:rPr>
                            <w:rFonts w:ascii="Cambria Math" w:hAnsi="Cambria Math"/>
                          </w:rPr>
                          <m:t xml:space="preserve">τ</m:t>
                        </m:r>
                      </m:e>
                      <m:sub>
                        <m:sSub>
                          <m:e>
                            <m:r>
                              <w:rPr>
                                <w:rFonts w:ascii="Cambria Math" w:hAnsi="Cambria Math"/>
                              </w:rPr>
                              <m:t xml:space="preserve">b</m:t>
                            </m:r>
                          </m:e>
                          <m:sub>
                            <m:r>
                              <w:rPr>
                                <w:rFonts w:ascii="Cambria Math" w:hAnsi="Cambria Math"/>
                              </w:rPr>
                              <m:t xml:space="preserve">1</m:t>
                            </m:r>
                          </m:sub>
                        </m:sSub>
                      </m:sub>
                    </m:sSub>
                  </m:oMath>
                  <w:r>
                    <w:rPr/>
                    <w:t xml:space="preserve"> </w:t>
                  </w:r>
                  <w:r>
                    <w:rPr/>
                    <w:t>(Diagnostic acquisition)</w:t>
                  </w:r>
                </w:p>
              </w:tc>
              <w:tc>
                <w:tcPr>
                  <w:tcW w:w="2035" w:type="dxa"/>
                  <w:tcBorders>
                    <w:top w:val="nil"/>
                    <w:bottom w:val="nil"/>
                  </w:tcBorders>
                  <w:vAlign w:val="center"/>
                </w:tcPr>
                <w:p>
                  <w:pPr>
                    <w:pStyle w:val="Compact"/>
                    <w:spacing w:before="36" w:after="36"/>
                    <w:jc w:val="center"/>
                    <w:rPr/>
                  </w:pPr>
                  <w:r>
                    <w:rPr/>
                    <w:t>0.089*</w:t>
                  </w:r>
                </w:p>
              </w:tc>
              <w:tc>
                <w:tcPr>
                  <w:tcW w:w="1219" w:type="dxa"/>
                  <w:tcBorders>
                    <w:top w:val="nil"/>
                    <w:bottom w:val="nil"/>
                  </w:tcBorders>
                  <w:vAlign w:val="center"/>
                </w:tcPr>
                <w:p>
                  <w:pPr>
                    <w:pStyle w:val="Compact"/>
                    <w:spacing w:before="36" w:after="36"/>
                    <w:jc w:val="center"/>
                    <w:rPr/>
                  </w:pPr>
                  <w:r>
                    <w:rPr/>
                    <w:t>0.030</w:t>
                  </w:r>
                </w:p>
              </w:tc>
              <w:tc>
                <w:tcPr>
                  <w:tcW w:w="1626" w:type="dxa"/>
                  <w:tcBorders>
                    <w:top w:val="nil"/>
                    <w:bottom w:val="nil"/>
                  </w:tcBorders>
                  <w:vAlign w:val="center"/>
                </w:tcPr>
                <w:p>
                  <w:pPr>
                    <w:pStyle w:val="Compact"/>
                    <w:spacing w:before="36" w:after="36"/>
                    <w:jc w:val="center"/>
                    <w:rPr/>
                  </w:pPr>
                  <w:r>
                    <w:rPr/>
                    <w:t>[0.050, 0.164]</w:t>
                  </w:r>
                </w:p>
              </w:tc>
            </w:tr>
            <w:tr>
              <w:trPr/>
              <w:tc>
                <w:tcPr>
                  <w:tcW w:w="4264" w:type="dxa"/>
                  <w:tcBorders>
                    <w:top w:val="nil"/>
                    <w:bottom w:val="nil"/>
                  </w:tcBorders>
                  <w:vAlign w:val="center"/>
                </w:tcPr>
                <w:p>
                  <w:pPr>
                    <w:pStyle w:val="Compact"/>
                    <w:spacing w:before="36" w:after="36"/>
                    <w:jc w:val="center"/>
                    <w:rPr/>
                  </w:pPr>
                  <w:r>
                    <w:rPr/>
                  </w:r>
                  <m:oMath xmlns:m="http://schemas.openxmlformats.org/officeDocument/2006/math">
                    <m:sSub>
                      <m:e>
                        <m:r>
                          <w:rPr>
                            <w:rFonts w:ascii="Cambria Math" w:hAnsi="Cambria Math"/>
                          </w:rPr>
                          <m:t xml:space="preserve">τ</m:t>
                        </m:r>
                      </m:e>
                      <m:sub>
                        <m:sSup>
                          <m:e>
                            <m:r>
                              <w:rPr>
                                <w:rFonts w:ascii="Cambria Math" w:hAnsi="Cambria Math"/>
                              </w:rPr>
                              <m:t xml:space="preserve">c</m:t>
                            </m:r>
                          </m:e>
                          <m:sup>
                            <m:r>
                              <w:rPr>
                                <w:rFonts w:ascii="Cambria Math" w:hAnsi="Cambria Math"/>
                              </w:rPr>
                              <m:t xml:space="preserve">′</m:t>
                            </m:r>
                          </m:sup>
                        </m:sSup>
                      </m:sub>
                    </m:sSub>
                  </m:oMath>
                  <w:r>
                    <w:rPr/>
                    <w:t xml:space="preserve"> </w:t>
                  </w:r>
                  <w:r>
                    <w:rPr/>
                    <w:t>(Acquisition cost)</w:t>
                  </w:r>
                </w:p>
              </w:tc>
              <w:tc>
                <w:tcPr>
                  <w:tcW w:w="2035" w:type="dxa"/>
                  <w:tcBorders>
                    <w:top w:val="nil"/>
                    <w:bottom w:val="nil"/>
                  </w:tcBorders>
                  <w:vAlign w:val="center"/>
                </w:tcPr>
                <w:p>
                  <w:pPr>
                    <w:pStyle w:val="Compact"/>
                    <w:spacing w:before="36" w:after="36"/>
                    <w:jc w:val="center"/>
                    <w:rPr/>
                  </w:pPr>
                  <w:r>
                    <w:rPr/>
                    <w:t>0.203*</w:t>
                  </w:r>
                </w:p>
              </w:tc>
              <w:tc>
                <w:tcPr>
                  <w:tcW w:w="1219" w:type="dxa"/>
                  <w:tcBorders>
                    <w:top w:val="nil"/>
                    <w:bottom w:val="nil"/>
                  </w:tcBorders>
                  <w:vAlign w:val="center"/>
                </w:tcPr>
                <w:p>
                  <w:pPr>
                    <w:pStyle w:val="Compact"/>
                    <w:spacing w:before="36" w:after="36"/>
                    <w:jc w:val="center"/>
                    <w:rPr/>
                  </w:pPr>
                  <w:r>
                    <w:rPr/>
                    <w:t>0.067</w:t>
                  </w:r>
                </w:p>
              </w:tc>
              <w:tc>
                <w:tcPr>
                  <w:tcW w:w="1626" w:type="dxa"/>
                  <w:tcBorders>
                    <w:top w:val="nil"/>
                    <w:bottom w:val="nil"/>
                  </w:tcBorders>
                  <w:vAlign w:val="center"/>
                </w:tcPr>
                <w:p>
                  <w:pPr>
                    <w:pStyle w:val="Compact"/>
                    <w:spacing w:before="36" w:after="36"/>
                    <w:jc w:val="center"/>
                    <w:rPr/>
                  </w:pPr>
                  <w:r>
                    <w:rPr/>
                    <w:t>[0.119, 0.374]</w:t>
                  </w:r>
                </w:p>
              </w:tc>
            </w:tr>
            <w:tr>
              <w:trPr/>
              <w:tc>
                <w:tcPr>
                  <w:tcW w:w="4264" w:type="dxa"/>
                  <w:tcBorders>
                    <w:top w:val="nil"/>
                  </w:tcBorders>
                  <w:vAlign w:val="center"/>
                </w:tcPr>
                <w:p>
                  <w:pPr>
                    <w:pStyle w:val="Compact"/>
                    <w:spacing w:before="36" w:after="36"/>
                    <w:jc w:val="center"/>
                    <w:rPr/>
                  </w:pPr>
                  <w:r>
                    <w:rPr/>
                  </w:r>
                  <m:oMath xmlns:m="http://schemas.openxmlformats.org/officeDocument/2006/math">
                    <m:sSub>
                      <m:e>
                        <m:r>
                          <w:rPr>
                            <w:rFonts w:ascii="Cambria Math" w:hAnsi="Cambria Math"/>
                          </w:rPr>
                          <m:t xml:space="preserve">τ</m:t>
                        </m:r>
                      </m:e>
                      <m:sub>
                        <m:sSub>
                          <m:e>
                            <m:r>
                              <w:rPr>
                                <w:rFonts w:ascii="Cambria Math" w:hAnsi="Cambria Math"/>
                              </w:rPr>
                              <m:t xml:space="preserve">c</m:t>
                            </m:r>
                          </m:e>
                          <m:sub>
                            <m:r>
                              <w:rPr>
                                <w:rFonts w:ascii="Cambria Math" w:hAnsi="Cambria Math"/>
                              </w:rPr>
                              <m:t xml:space="preserve">2</m:t>
                            </m:r>
                          </m:sub>
                        </m:sSub>
                      </m:sub>
                    </m:sSub>
                  </m:oMath>
                  <w:r>
                    <w:rPr/>
                    <w:t xml:space="preserve"> </w:t>
                  </w:r>
                  <w:r>
                    <w:rPr/>
                    <w:t>(Vague goal prompt)</w:t>
                  </w:r>
                </w:p>
              </w:tc>
              <w:tc>
                <w:tcPr>
                  <w:tcW w:w="2035" w:type="dxa"/>
                  <w:tcBorders>
                    <w:top w:val="nil"/>
                  </w:tcBorders>
                  <w:vAlign w:val="center"/>
                </w:tcPr>
                <w:p>
                  <w:pPr>
                    <w:pStyle w:val="Compact"/>
                    <w:spacing w:before="36" w:after="36"/>
                    <w:jc w:val="center"/>
                    <w:rPr/>
                  </w:pPr>
                  <w:r>
                    <w:rPr/>
                    <w:t>0.042*</w:t>
                  </w:r>
                </w:p>
              </w:tc>
              <w:tc>
                <w:tcPr>
                  <w:tcW w:w="1219" w:type="dxa"/>
                  <w:tcBorders>
                    <w:top w:val="nil"/>
                  </w:tcBorders>
                  <w:vAlign w:val="center"/>
                </w:tcPr>
                <w:p>
                  <w:pPr>
                    <w:pStyle w:val="Compact"/>
                    <w:spacing w:before="36" w:after="36"/>
                    <w:jc w:val="center"/>
                    <w:rPr/>
                  </w:pPr>
                  <w:r>
                    <w:rPr/>
                    <w:t>0.020</w:t>
                  </w:r>
                </w:p>
              </w:tc>
              <w:tc>
                <w:tcPr>
                  <w:tcW w:w="1626" w:type="dxa"/>
                  <w:tcBorders>
                    <w:top w:val="nil"/>
                  </w:tcBorders>
                  <w:vAlign w:val="center"/>
                </w:tcPr>
                <w:p>
                  <w:pPr>
                    <w:pStyle w:val="Compact"/>
                    <w:spacing w:before="36" w:after="36"/>
                    <w:jc w:val="center"/>
                    <w:rPr/>
                  </w:pPr>
                  <w:r>
                    <w:rPr/>
                    <w:t>[0.012, 0.091]</w:t>
                  </w:r>
                  <w:bookmarkStart w:id="15" w:name="tbl-s1b-modmed"/>
                  <w:bookmarkEnd w:id="15"/>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200</m:t>
        </m:r>
      </m:oMath>
      <w:r>
        <w:rPr/>
        <w:t xml:space="preserve"> sessions across eight LLMs from three providers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100</m:t>
        </m:r>
      </m:oMath>
      <w:r>
        <w:rPr/>
        <w:t xml:space="preserve"> per cell). Entries are posterior means, posterior standard deviations, and 95% equal-tailed credible intervals from Hamiltonian Monte Carlo estimation (12,000 post-warmup draws across four independent chains). First-stage paths are in cell counts (maximum 6). Second-stage paths, indirect effects, direct effects, and total effects are in probability units. Group-level standard deviations (</w:t>
      </w:r>
      <w:r>
        <w:rPr/>
      </w:r>
      <m:oMath xmlns:m="http://schemas.openxmlformats.org/officeDocument/2006/math">
        <m:r>
          <w:rPr>
            <w:rFonts w:ascii="Cambria Math" w:hAnsi="Cambria Math"/>
          </w:rPr>
          <m:t xml:space="preserve">τ</m:t>
        </m:r>
      </m:oMath>
      <w:r>
        <w:rPr/>
        <w:t>) estimate cross-architecture heterogeneity.</w:t>
        <w:br/>
      </w:r>
      <w:r>
        <w:rPr/>
      </w:r>
      <m:oMath xmlns:m="http://schemas.openxmlformats.org/officeDocument/2006/math">
        <m:sSup>
          <m:e/>
          <m:sup>
            <m:r>
              <w:rPr>
                <w:rFonts w:ascii="Cambria Math" w:hAnsi="Cambria Math"/>
              </w:rPr>
              <m:t xml:space="preserve">a</m:t>
            </m:r>
          </m:sup>
        </m:sSup>
      </m:oMath>
      <w:r>
        <w:rPr/>
        <w:t xml:space="preserve"> Evaluated under the baseline specific goal prompt.</w:t>
        <w:br/>
      </w:r>
      <w:r>
        <w:rPr/>
      </w:r>
      <m:oMath xmlns:m="http://schemas.openxmlformats.org/officeDocument/2006/math">
        <m:sSup>
          <m:e/>
          <m:sup>
            <m:r>
              <w:rPr>
                <w:rFonts w:ascii="Cambria Math" w:hAnsi="Cambria Math"/>
              </w:rPr>
              <m:t xml:space="preserve">b</m:t>
            </m:r>
          </m:sup>
        </m:sSup>
      </m:oMath>
      <w:r>
        <w:rPr/>
        <w:t xml:space="preserve"> Computed as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oMath>
      <w:r>
        <w:rPr/>
        <w:t>.</w:t>
        <w:br/>
      </w:r>
      <w:r>
        <w:rPr/>
      </w:r>
      <m:oMath xmlns:m="http://schemas.openxmlformats.org/officeDocument/2006/math">
        <m:sSup>
          <m:e/>
          <m:sup>
            <m:r>
              <w:rPr>
                <w:rFonts w:ascii="Cambria Math" w:hAnsi="Cambria Math"/>
              </w:rPr>
              <m:t xml:space="preserve">c</m:t>
            </m:r>
          </m:sup>
        </m:sSup>
      </m:oMath>
      <w:r>
        <w:rPr/>
        <w:t xml:space="preserve"> Computed as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w:t>
        <w:br/>
        <w:t>* 95% credible interval excludes zero.</w:t>
      </w:r>
      <w:bookmarkEnd w:id="14"/>
    </w:p>
    <w:p>
      <w:pPr>
        <w:pStyle w:val="Heading3"/>
        <w:rPr/>
      </w:pPr>
      <w:bookmarkStart w:id="16" w:name="prompt-variation"/>
      <w:r>
        <w:rPr/>
        <w:t>Prompt variation</w:t>
      </w:r>
    </w:p>
    <w:p>
      <w:pPr>
        <w:pStyle w:val="FirstParagraph"/>
        <w:rPr/>
      </w:pPr>
      <w:r>
        <w:rPr/>
        <w:t>A natural concern with LLM evaluations is that observed decisions may reflect idiosyncratic prompt wording rather than a stable response to acquisition costs and goal specificity. If our findings depend on prompt phrasing or ordering, the mechanism we showed would represent prompt sensitivity rather than a genuine economic trade-off. Because testing the full design of Study 1 Tool-Lab for all eight LLMs across prompt variations would be combinatorially prohibitive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9</m:t>
        </m:r>
        <m:r>
          <w:rPr>
            <w:rFonts w:ascii="Cambria Math" w:hAnsi="Cambria Math"/>
          </w:rPr>
          <m:t xml:space="preserve">,</m:t>
        </m:r>
        <m:r>
          <w:rPr>
            <w:rFonts w:ascii="Cambria Math" w:hAnsi="Cambria Math"/>
          </w:rPr>
          <m:t xml:space="preserve">600</m:t>
        </m:r>
      </m:oMath>
      <w:r>
        <w:rPr/>
        <w:t>), we focus on the Google Gemini family. Gemini LLMs exhibited wide behavioral variance in Study 1 Tool Lab, from a small cost-induced truncation in Gemini 3.5 Flash Lite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0.48</m:t>
        </m:r>
      </m:oMath>
      <w:r>
        <w:rPr/>
        <w:t>) to a pronounced truncation in Gemini 3.1 Pro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3.23</m:t>
        </m:r>
      </m:oMath>
      <w:r>
        <w:rPr/>
        <w:t xml:space="preserve">; </w:t>
      </w:r>
      <w:hyperlink w:anchor="apptbl-s1b-permodel-paths">
        <w:r>
          <w:rPr>
            <w:rStyle w:val="Hyperlink"/>
          </w:rPr>
          <w:t>Table W11</w:t>
        </w:r>
      </w:hyperlink>
      <w:r>
        <w:rPr/>
        <w:t>).</w:t>
      </w:r>
    </w:p>
    <w:p>
      <w:pPr>
        <w:pStyle w:val="BodyText"/>
        <w:rPr/>
      </w:pPr>
      <w:r>
        <w:rPr/>
        <w:t>Holding choice stimuli and tool mechanics invariant, we test three prompt variations (</w:t>
      </w:r>
      <w:hyperlink w:anchor="apptbl-s1b-prompt-variants">
        <w:r>
          <w:rPr>
            <w:rStyle w:val="Hyperlink"/>
          </w:rPr>
          <w:t>Table W13</w:t>
        </w:r>
      </w:hyperlink>
      <w:r>
        <w:rPr/>
        <w:t xml:space="preserve">): the </w:t>
      </w:r>
      <w:r>
        <w:rPr>
          <w:i/>
          <w:iCs/>
        </w:rPr>
        <w:t>Original</w:t>
      </w:r>
      <w:r>
        <w:rPr/>
        <w:t xml:space="preserve"> baseline; </w:t>
      </w:r>
      <w:r>
        <w:rPr>
          <w:i/>
          <w:iCs/>
        </w:rPr>
        <w:t>Sentence reorder</w:t>
      </w:r>
      <w:r>
        <w:rPr/>
        <w:t xml:space="preserve">, which moves the goal instruction earlier in the prompt to test for recency effects; and </w:t>
      </w:r>
      <w:r>
        <w:rPr>
          <w:i/>
          <w:iCs/>
        </w:rPr>
        <w:t>Cost paraphrase</w:t>
      </w:r>
      <w:r>
        <w:rPr/>
        <w:t>, which replaces the loss framing with fee framing to test for lexical loss confounds. Crossing these 3 prompt variations with 2 acquisition costs ($0 vs. $10) and 2 prompt specificities (vague vs. specific goal prompt) across the 3 Gemini LLMs yields 36 cells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100</m:t>
        </m:r>
      </m:oMath>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600</m:t>
        </m:r>
      </m:oMath>
      <w:r>
        <w:rPr/>
        <w:t xml:space="preserve"> sessions total, including 2,400 new sessions).</w:t>
      </w:r>
    </w:p>
    <w:p>
      <w:pPr>
        <w:pStyle w:val="BodyText"/>
        <w:rPr/>
      </w:pPr>
      <w:r>
        <w:rPr/>
        <w:t>Across prompt variations, the structural estimates replicate the primary findings for two of the three LLMs tested (</w:t>
      </w:r>
      <w:hyperlink w:anchor="apptbl-s1b-robust-results">
        <w:r>
          <w:rPr>
            <w:rStyle w:val="Hyperlink"/>
          </w:rPr>
          <w:t>Table W14</w:t>
        </w:r>
      </w:hyperlink>
      <w:r>
        <w:rPr/>
        <w:t xml:space="preserve">). For Gemini 3.1 Pro and Gemini 3.8 Flash, prompt specificity credibly moderates the relationship between acquisition cost and diagnostic acquisition across all three phrasing variations (H1), with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oMath>
      <w:r>
        <w:rPr/>
        <w:t xml:space="preserve"> ranging from </w:t>
      </w:r>
      <w:r>
        <w:rPr/>
      </w:r>
      <m:oMath xmlns:m="http://schemas.openxmlformats.org/officeDocument/2006/math">
        <m:r>
          <w:rPr>
            <w:rFonts w:ascii="Cambria Math" w:hAnsi="Cambria Math"/>
          </w:rPr>
          <m:t xml:space="preserve">−</m:t>
        </m:r>
        <m:r>
          <w:rPr>
            <w:rFonts w:ascii="Cambria Math" w:hAnsi="Cambria Math"/>
          </w:rPr>
          <m:t xml:space="preserve">2.63</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3.20</m:t>
        </m:r>
      </m:oMath>
      <w:r>
        <w:rPr/>
        <w:t xml:space="preserve"> for Pro and from </w:t>
      </w:r>
      <w:r>
        <w:rPr/>
      </w:r>
      <m:oMath xmlns:m="http://schemas.openxmlformats.org/officeDocument/2006/math">
        <m:r>
          <w:rPr>
            <w:rFonts w:ascii="Cambria Math" w:hAnsi="Cambria Math"/>
          </w:rPr>
          <m:t xml:space="preserve">−</m:t>
        </m:r>
        <m:r>
          <w:rPr>
            <w:rFonts w:ascii="Cambria Math" w:hAnsi="Cambria Math"/>
          </w:rPr>
          <m:t xml:space="preserve">2.06</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2.56</m:t>
        </m:r>
      </m:oMath>
      <w:r>
        <w:rPr/>
        <w:t xml:space="preserve"> for Flash (all 95% CIs exclude zero). Diagnostic acquisition remains positively associated with choice optimality in every condition (H2), with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oMath>
      <w:r>
        <w:rPr/>
        <w:t xml:space="preserve"> estimates ranging from </w:t>
      </w:r>
      <w:r>
        <w:rPr/>
      </w:r>
      <m:oMath xmlns:m="http://schemas.openxmlformats.org/officeDocument/2006/math">
        <m:r>
          <w:rPr>
            <w:rFonts w:ascii="Cambria Math" w:hAnsi="Cambria Math"/>
          </w:rPr>
          <m:t xml:space="preserve">0.180</m:t>
        </m:r>
      </m:oMath>
      <w:r>
        <w:rPr/>
        <w:t xml:space="preserve"> to </w:t>
      </w:r>
      <w:r>
        <w:rPr/>
      </w:r>
      <m:oMath xmlns:m="http://schemas.openxmlformats.org/officeDocument/2006/math">
        <m:r>
          <w:rPr>
            <w:rFonts w:ascii="Cambria Math" w:hAnsi="Cambria Math"/>
          </w:rPr>
          <m:t xml:space="preserve">0.278</m:t>
        </m:r>
      </m:oMath>
      <w:r>
        <w:rPr/>
        <w:t xml:space="preserve"> (all 95% CIs exclude zero). The Index of Moderated Mediation remains credibly negative across all phrasing variations for both LLMs (H3), ranging from </w:t>
      </w:r>
      <w:r>
        <w:rPr/>
      </w:r>
      <m:oMath xmlns:m="http://schemas.openxmlformats.org/officeDocument/2006/math">
        <m:r>
          <w:rPr>
            <w:rFonts w:ascii="Cambria Math" w:hAnsi="Cambria Math"/>
          </w:rPr>
          <m:t xml:space="preserve">−</m:t>
        </m:r>
        <m:r>
          <w:rPr>
            <w:rFonts w:ascii="Cambria Math" w:hAnsi="Cambria Math"/>
          </w:rPr>
          <m:t xml:space="preserve">0.474</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0.706</m:t>
        </m:r>
      </m:oMath>
      <w:r>
        <w:rPr/>
        <w:t xml:space="preserve"> for Pro and from </w:t>
      </w:r>
      <w:r>
        <w:rPr/>
      </w:r>
      <m:oMath xmlns:m="http://schemas.openxmlformats.org/officeDocument/2006/math">
        <m:r>
          <w:rPr>
            <w:rFonts w:ascii="Cambria Math" w:hAnsi="Cambria Math"/>
          </w:rPr>
          <m:t xml:space="preserve">−</m:t>
        </m:r>
        <m:r>
          <w:rPr>
            <w:rFonts w:ascii="Cambria Math" w:hAnsi="Cambria Math"/>
          </w:rPr>
          <m:t xml:space="preserve">0.488</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0.572</m:t>
        </m:r>
      </m:oMath>
      <w:r>
        <w:rPr/>
        <w:t xml:space="preserve"> for Flash.</w:t>
      </w:r>
    </w:p>
    <w:p>
      <w:pPr>
        <w:pStyle w:val="BodyText"/>
        <w:rPr/>
      </w:pPr>
      <w:r>
        <w:rPr/>
        <w:t>For Gemini 3.5 Flash Lite, the interaction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oMath>
      <w:r>
        <w:rPr/>
        <w:t>) and the Index of Moderated Mediation (</w:t>
      </w:r>
      <w:r>
        <w:rPr/>
      </w:r>
      <m:oMath xmlns:m="http://schemas.openxmlformats.org/officeDocument/2006/math">
        <m:r>
          <m:rPr>
            <m:lit/>
            <m:nor/>
          </m:rPr>
          <w:rPr>
            <w:rFonts w:ascii="Cambria Math" w:hAnsi="Cambria Math"/>
          </w:rPr>
          <m:t xml:space="preserve">IMM</m:t>
        </m:r>
      </m:oMath>
      <w:r>
        <w:rPr/>
        <w:t>) are credibly negative under the original prompt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0.441</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0.698</m:t>
        </m:r>
        <m:r>
          <w:rPr>
            <w:rFonts w:ascii="Cambria Math" w:hAnsi="Cambria Math"/>
          </w:rPr>
          <m:t xml:space="preserve">,</m:t>
        </m:r>
        <m:r>
          <w:rPr>
            <w:rFonts w:ascii="Cambria Math" w:hAnsi="Cambria Math"/>
          </w:rPr>
          <m:t xml:space="preserve">−</m:t>
        </m:r>
        <m:r>
          <w:rPr>
            <w:rFonts w:ascii="Cambria Math" w:hAnsi="Cambria Math"/>
          </w:rPr>
          <m:t xml:space="preserve">0.186</m:t>
        </m:r>
        <m:r>
          <w:rPr>
            <w:rFonts w:ascii="Cambria Math" w:hAnsi="Cambria Math"/>
          </w:rPr>
          <m:t xml:space="preserve">]</m:t>
        </m:r>
      </m:oMath>
      <w:r>
        <w:rPr/>
        <w:t xml:space="preserve">;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0.133</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0.219</m:t>
        </m:r>
        <m:r>
          <w:rPr>
            <w:rFonts w:ascii="Cambria Math" w:hAnsi="Cambria Math"/>
          </w:rPr>
          <m:t xml:space="preserve">,</m:t>
        </m:r>
        <m:r>
          <w:rPr>
            <w:rFonts w:ascii="Cambria Math" w:hAnsi="Cambria Math"/>
          </w:rPr>
          <m:t xml:space="preserve">−</m:t>
        </m:r>
        <m:r>
          <w:rPr>
            <w:rFonts w:ascii="Cambria Math" w:hAnsi="Cambria Math"/>
          </w:rPr>
          <m:t xml:space="preserve">0.054</m:t>
        </m:r>
        <m:r>
          <w:rPr>
            <w:rFonts w:ascii="Cambria Math" w:hAnsi="Cambria Math"/>
          </w:rPr>
          <m:t xml:space="preserve">]</m:t>
        </m:r>
      </m:oMath>
      <w:r>
        <w:rPr/>
        <w:t>) and the cost paraphrase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0.519</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0.750</m:t>
        </m:r>
        <m:r>
          <w:rPr>
            <w:rFonts w:ascii="Cambria Math" w:hAnsi="Cambria Math"/>
          </w:rPr>
          <m:t xml:space="preserve">,</m:t>
        </m:r>
        <m:r>
          <w:rPr>
            <w:rFonts w:ascii="Cambria Math" w:hAnsi="Cambria Math"/>
          </w:rPr>
          <m:t xml:space="preserve">−</m:t>
        </m:r>
        <m:r>
          <w:rPr>
            <w:rFonts w:ascii="Cambria Math" w:hAnsi="Cambria Math"/>
          </w:rPr>
          <m:t xml:space="preserve">0.289</m:t>
        </m:r>
        <m:r>
          <w:rPr>
            <w:rFonts w:ascii="Cambria Math" w:hAnsi="Cambria Math"/>
          </w:rPr>
          <m:t xml:space="preserve">]</m:t>
        </m:r>
      </m:oMath>
      <w:r>
        <w:rPr/>
        <w:t xml:space="preserve">;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0.140</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0.218</m:t>
        </m:r>
        <m:r>
          <w:rPr>
            <w:rFonts w:ascii="Cambria Math" w:hAnsi="Cambria Math"/>
          </w:rPr>
          <m:t xml:space="preserve">,</m:t>
        </m:r>
        <m:r>
          <w:rPr>
            <w:rFonts w:ascii="Cambria Math" w:hAnsi="Cambria Math"/>
          </w:rPr>
          <m:t xml:space="preserve">−</m:t>
        </m:r>
        <m:r>
          <w:rPr>
            <w:rFonts w:ascii="Cambria Math" w:hAnsi="Cambria Math"/>
          </w:rPr>
          <m:t xml:space="preserve">0.072</m:t>
        </m:r>
        <m:r>
          <w:rPr>
            <w:rFonts w:ascii="Cambria Math" w:hAnsi="Cambria Math"/>
          </w:rPr>
          <m:t xml:space="preserve">]</m:t>
        </m:r>
      </m:oMath>
      <w:r>
        <w:rPr/>
        <w:t>), but overlap zero under sentence reordering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0.120</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0.375</m:t>
        </m:r>
        <m:r>
          <w:rPr>
            <w:rFonts w:ascii="Cambria Math" w:hAnsi="Cambria Math"/>
          </w:rPr>
          <m:t xml:space="preserve">,</m:t>
        </m:r>
        <m:r>
          <w:rPr>
            <w:rFonts w:ascii="Cambria Math" w:hAnsi="Cambria Math"/>
          </w:rPr>
          <m:t xml:space="preserve">0.140</m:t>
        </m:r>
        <m:r>
          <w:rPr>
            <w:rFonts w:ascii="Cambria Math" w:hAnsi="Cambria Math"/>
          </w:rPr>
          <m:t xml:space="preserve">]</m:t>
        </m:r>
      </m:oMath>
      <w:r>
        <w:rPr/>
        <w:t xml:space="preserve">;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0.029</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0.093</m:t>
        </m:r>
        <m:r>
          <w:rPr>
            <w:rFonts w:ascii="Cambria Math" w:hAnsi="Cambria Math"/>
          </w:rPr>
          <m:t xml:space="preserve">,</m:t>
        </m:r>
        <m:r>
          <w:rPr>
            <w:rFonts w:ascii="Cambria Math" w:hAnsi="Cambria Math"/>
          </w:rPr>
          <m:t xml:space="preserve">0.034</m:t>
        </m:r>
        <m:r>
          <w:rPr>
            <w:rFonts w:ascii="Cambria Math" w:hAnsi="Cambria Math"/>
          </w:rPr>
          <m:t xml:space="preserve">]</m:t>
        </m:r>
      </m:oMath>
      <w:r>
        <w:rPr/>
        <w:t>). Diagnostic acquisition continues to positively predict choice optimality for Flash Lite across all three variations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r>
          <w:rPr>
            <w:rFonts w:ascii="Cambria Math" w:hAnsi="Cambria Math"/>
          </w:rPr>
          <m:t xml:space="preserve">0.241</m:t>
        </m:r>
      </m:oMath>
      <w:r>
        <w:rPr/>
        <w:t xml:space="preserve"> to </w:t>
      </w:r>
      <w:r>
        <w:rPr/>
      </w:r>
      <m:oMath xmlns:m="http://schemas.openxmlformats.org/officeDocument/2006/math">
        <m:r>
          <w:rPr>
            <w:rFonts w:ascii="Cambria Math" w:hAnsi="Cambria Math"/>
          </w:rPr>
          <m:t xml:space="preserve">0.302</m:t>
        </m:r>
      </m:oMath>
      <w:r>
        <w:rPr/>
        <w:t>, all 95% CIs exclude zero).</w:t>
      </w:r>
    </w:p>
    <w:p>
      <w:pPr>
        <w:pStyle w:val="BodyText"/>
        <w:rPr/>
      </w:pPr>
      <w:r>
        <w:rPr/>
        <w:t>The results show that the hypothesized pathways are robust across phrasings for two LLMs with pronounced baseline truncation (Gemini 3.1 Pro and Gemini 3.8 Flash). For Gemini 3.5 Flash Lite, sentence reordering acts as a boundary condition. Placing the objective earlier in the prompt reduced the first-stage acquisition truncation to non-significance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0.120</m:t>
        </m:r>
      </m:oMath>
      <w:r>
        <w:rPr/>
        <w:t>), and accordingly attenuated the indirect effect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0.029</m:t>
        </m:r>
      </m:oMath>
      <w:r>
        <w:rPr/>
        <w:t>). Diagnostic acquisition continued to credibly predict choice optimality in every cell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&gt;</m:t>
        </m:r>
        <m:r>
          <w:rPr>
            <w:rFonts w:ascii="Cambria Math" w:hAnsi="Cambria Math"/>
          </w:rPr>
          <m:t xml:space="preserve">0</m:t>
        </m:r>
      </m:oMath>
      <w:r>
        <w:rPr/>
        <w:t>).</w:t>
      </w:r>
      <w:bookmarkEnd w:id="16"/>
    </w:p>
    <w:p>
      <w:pPr>
        <w:pStyle w:val="Heading3"/>
        <w:rPr/>
      </w:pPr>
      <w:r>
        <w:rPr/>
        <w:t>Price partitioning</w:t>
      </w:r>
    </w:p>
    <w:p>
      <w:pPr>
        <w:pStyle w:val="FirstParagraph"/>
        <w:rPr/>
      </w:pPr>
      <w:r>
        <w:rPr/>
        <w:t>A potential concern with the Tool-Lab environment in Study 1 is that the effect of acquisition cost on choice optimality might be an artifact of partitioning the price into two separate fields (</w:t>
      </w:r>
      <w:r>
        <w:rPr>
          <w:i/>
          <w:iCs/>
        </w:rPr>
        <w:t>price_dollars</w:t>
      </w:r>
      <w:r>
        <w:rPr/>
        <w:t xml:space="preserve"> and </w:t>
      </w:r>
      <w:r>
        <w:rPr>
          <w:i/>
          <w:iCs/>
        </w:rPr>
        <w:t>price_cents</w:t>
      </w:r>
      <w:r>
        <w:rPr/>
        <w:t>), which is not how prices are naturally represented retail environments.</w:t>
      </w:r>
    </w:p>
    <w:p>
      <w:pPr>
        <w:pStyle w:val="BodyText"/>
        <w:rPr/>
      </w:pPr>
      <w:r>
        <w:rPr/>
        <w:t>If the observed vulnerability to just-below pricing was merely a byproduct of this artificial separation, the heuristic choices would reflect the effect of the Tool-Lab framework rather than a fundamental trade-off in constrained information acquisition.</w:t>
      </w:r>
    </w:p>
    <w:p>
      <w:pPr>
        <w:pStyle w:val="BodyText"/>
        <w:rPr/>
      </w:pPr>
      <w:r>
        <w:rPr/>
        <w:t xml:space="preserve">To test this, we conducted an experiment where price is acquired as a single unified </w:t>
      </w:r>
      <w:r>
        <w:rPr>
          <w:i/>
          <w:iCs/>
        </w:rPr>
        <w:t>price</w:t>
      </w:r>
      <w:r>
        <w:rPr/>
        <w:t xml:space="preserve"> attribute. We implemented a 2 (Acquisition cost: $0.00 vs. $10.00 per </w:t>
      </w:r>
      <w:r>
        <w:rPr>
          <w:i/>
          <w:iCs/>
        </w:rPr>
        <w:t>inspect_cell</w:t>
      </w:r>
      <w:r>
        <w:rPr/>
        <w:t xml:space="preserve"> invocation) </w:t>
      </w:r>
      <w:r>
        <w:rPr/>
      </w:r>
      <m:oMath xmlns:m="http://schemas.openxmlformats.org/officeDocument/2006/math">
        <m:r>
          <w:rPr>
            <w:rFonts w:ascii="Cambria Math" w:hAnsi="Cambria Math"/>
          </w:rPr>
          <m:t xml:space="preserve">×</m:t>
        </m:r>
      </m:oMath>
      <w:r>
        <w:rPr/>
        <w:t xml:space="preserve"> 2 (Goal specificity: vague vs. specific goal prompt) between-sessions design. We evaluated three LLMs from Google: Gemini 3.5 Flash Lite, Gemini 3.8 Flash, and Gemini 3.1 Pro. Each cell was evaluated across 100 independent sessions, yielding 1,200 unique sessions in total. All other stimulus characteristics, non-diagnostic attributes (four cells per alternative; eight cells total), and Tool-Lab interaction mechanics were identical to Study 1 Tool-Lab.</w:t>
      </w:r>
    </w:p>
    <w:p>
      <w:pPr>
        <w:pStyle w:val="BodyText"/>
        <w:rPr/>
      </w:pPr>
      <w:r>
        <w:rPr/>
        <w:t xml:space="preserve">The results confirm that the findings of Study 1 Tool-Lab are not an artifact of price partitioning. Rather, consolidating price components shifts the locus of search truncation from the cent component to product weight, replicating the hypothesized structural pathways (H1–H3). As reported in </w:t>
      </w:r>
      <w:hyperlink w:anchor="tbl-s1-price-partitioning-descriptives">
        <w:r>
          <w:rPr>
            <w:rStyle w:val="Hyperlink"/>
          </w:rPr>
          <w:t>Table 2</w:t>
        </w:r>
      </w:hyperlink>
      <w:r>
        <w:rPr/>
        <w:t xml:space="preserve"> and </w:t>
      </w:r>
      <w:hyperlink w:anchor="apptbl-s1-price-partitioning-difference">
        <w:r>
          <w:rPr>
            <w:rStyle w:val="Hyperlink"/>
          </w:rPr>
          <w:t>Table W15</w:t>
        </w:r>
      </w:hyperlink>
      <w:r>
        <w:rPr/>
        <w:t xml:space="preserve">, providing a specific goal prompt (“lowest price per ounce”) insulated the LLMs against acquisition costs. Under the specific goal prompt, all three Google LLMs inspected all four diagnostic cells, retrieving both unified </w:t>
      </w:r>
      <w:r>
        <w:rPr>
          <w:i/>
          <w:iCs/>
        </w:rPr>
        <w:t>price</w:t>
      </w:r>
      <w:r>
        <w:rPr/>
        <w:t xml:space="preserve"> cells and both </w:t>
      </w:r>
      <w:r>
        <w:rPr>
          <w:i/>
          <w:iCs/>
        </w:rPr>
        <w:t>weight</w:t>
      </w:r>
      <w:r>
        <w:rPr/>
        <w:t xml:space="preserve"> cells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2.00</m:t>
        </m:r>
      </m:oMath>
      <w:r>
        <w:rPr/>
        <w:t xml:space="preserve"> for price,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2.00</m:t>
        </m:r>
      </m:oMath>
      <w:r>
        <w:rPr/>
        <w:t xml:space="preserve"> for weight;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4.00</m:t>
        </m:r>
        <m:r>
          <w:rPr>
            <w:rFonts w:ascii="Cambria Math" w:hAnsi="Cambria Math"/>
          </w:rPr>
          <m:t xml:space="preserve">,</m:t>
        </m:r>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0.00</m:t>
        </m:r>
      </m:oMath>
      <w:r>
        <w:rPr/>
        <w:t xml:space="preserve"> diagnostic cells), and selected the optimal alternative in 100% of sessions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0.00</m:t>
        </m:r>
      </m:oMath>
      <w:r>
        <w:rPr/>
        <w:t>). Imposing the $10.00 acquisition cost produced zero reduction in search depth and zero drop in choice optimality across all three LLMs (</w:t>
      </w:r>
      <w:r>
        <w:rPr/>
      </w:r>
      <m:oMath xmlns:m="http://schemas.openxmlformats.org/officeDocument/2006/math">
        <m:r>
          <w:rPr>
            <w:rFonts w:ascii="Cambria Math" w:hAnsi="Cambria Math"/>
          </w:rPr>
          <m:t xml:space="preserve">Δ</m:t>
        </m:r>
        <m:r>
          <w:rPr>
            <w:rFonts w:ascii="Cambria Math" w:hAnsi="Cambria Math"/>
          </w:rPr>
          <m:t xml:space="preserve">=</m:t>
        </m:r>
        <m:r>
          <w:rPr>
            <w:rFonts w:ascii="Cambria Math" w:hAnsi="Cambria Math"/>
          </w:rPr>
          <m:t xml:space="preserve">0.00</m:t>
        </m:r>
      </m:oMath>
      <w:r>
        <w:rPr/>
        <w:t xml:space="preserve"> across all metrics; </w:t>
      </w:r>
      <w:hyperlink w:anchor="apptbl-s1-price-partitioning-difference">
        <w:r>
          <w:rPr>
            <w:rStyle w:val="Hyperlink"/>
          </w:rPr>
          <w:t>Table W15</w:t>
        </w:r>
      </w:hyperlink>
      <w:r>
        <w:rPr/>
        <w:t>).</w:t>
      </w:r>
    </w:p>
    <w:p>
      <w:pPr>
        <w:pStyle w:val="BodyText"/>
        <w:rPr/>
      </w:pPr>
      <w:r>
        <w:rPr/>
        <w:t xml:space="preserve">In contrast, under the vague goal prompt, imposing acquisition costs induced pronounced search truncation and choice degradation. Because whole dollars and fractional cents were unified into a single cell, the LLMs inspected the high-value </w:t>
      </w:r>
      <w:r>
        <w:rPr>
          <w:i/>
          <w:iCs/>
        </w:rPr>
        <w:t>price</w:t>
      </w:r>
      <w:r>
        <w:rPr/>
        <w:t xml:space="preserve"> cells for both alternatives in most session under cost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1.96</m:t>
        </m:r>
      </m:oMath>
      <w:r>
        <w:rPr/>
        <w:t xml:space="preserve"> to </w:t>
      </w:r>
      <w:r>
        <w:rPr/>
      </w:r>
      <m:oMath xmlns:m="http://schemas.openxmlformats.org/officeDocument/2006/math">
        <m:r>
          <w:rPr>
            <w:rFonts w:ascii="Cambria Math" w:hAnsi="Cambria Math"/>
          </w:rPr>
          <m:t xml:space="preserve">2.00</m:t>
        </m:r>
      </m:oMath>
      <w:r>
        <w:rPr/>
        <w:t xml:space="preserve">; </w:t>
      </w:r>
      <w:r>
        <w:rPr/>
      </w:r>
      <m:oMath xmlns:m="http://schemas.openxmlformats.org/officeDocument/2006/math">
        <m:r>
          <w:rPr>
            <w:rFonts w:ascii="Cambria Math" w:hAnsi="Cambria Math"/>
          </w:rPr>
          <m:t xml:space="preserve">Δ</m:t>
        </m:r>
        <m:r>
          <w:rPr>
            <w:rFonts w:ascii="Cambria Math" w:hAnsi="Cambria Math"/>
          </w:rPr>
          <m:t xml:space="preserve">=</m:t>
        </m:r>
        <m:r>
          <w:rPr>
            <w:rFonts w:ascii="Cambria Math" w:hAnsi="Cambria Math"/>
          </w:rPr>
          <m:t xml:space="preserve">0.00</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0.04</m:t>
        </m:r>
      </m:oMath>
      <w:r>
        <w:rPr/>
        <w:t>). However, cost constraints led the LLMs to truncate product weight (</w:t>
      </w:r>
      <w:hyperlink w:anchor="tbl-s1-price-partitioning-descriptives">
        <w:r>
          <w:rPr>
            <w:rStyle w:val="Hyperlink"/>
          </w:rPr>
          <w:t>Table 2</w:t>
        </w:r>
      </w:hyperlink>
      <w:r>
        <w:rPr/>
        <w:t>).</w:t>
      </w:r>
    </w:p>
    <w:p>
      <w:pPr>
        <w:pStyle w:val="BodyText"/>
        <w:rPr/>
      </w:pPr>
      <w:r>
        <w:rPr/>
        <w:t>Bayesian simultaneous equations estimation confirms that this choice degradation is driven by diagnostic acquisition truncation (</w:t>
      </w:r>
      <w:hyperlink w:anchor="apptbl-s1b-unpartitioned-modmed">
        <w:r>
          <w:rPr>
            <w:rStyle w:val="Hyperlink"/>
          </w:rPr>
          <w:t>Table W16</w:t>
        </w:r>
      </w:hyperlink>
      <w:r>
        <w:rPr/>
        <w:t>). In the first stage, prompt specificity credibly moderated the effect of acquisition cost on diagnostic acquisition across all three LLMs, supporting H1. The interaction parameter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oMath>
      <w:r>
        <w:rPr/>
        <w:t>) was negative for Gemini 3.5 Flash Lite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0.721</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0.981</m:t>
        </m:r>
        <m:r>
          <w:rPr>
            <w:rFonts w:ascii="Cambria Math" w:hAnsi="Cambria Math"/>
          </w:rPr>
          <m:t xml:space="preserve">,</m:t>
        </m:r>
        <m:r>
          <w:rPr>
            <w:rFonts w:ascii="Cambria Math" w:hAnsi="Cambria Math"/>
          </w:rPr>
          <m:t xml:space="preserve">−</m:t>
        </m:r>
        <m:r>
          <w:rPr>
            <w:rFonts w:ascii="Cambria Math" w:hAnsi="Cambria Math"/>
          </w:rPr>
          <m:t xml:space="preserve">0.462</m:t>
        </m:r>
        <m:r>
          <w:rPr>
            <w:rFonts w:ascii="Cambria Math" w:hAnsi="Cambria Math"/>
          </w:rPr>
          <m:t xml:space="preserve">]</m:t>
        </m:r>
      </m:oMath>
      <w:r>
        <w:rPr/>
        <w:t>), Gemini 3.8 Flash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0.332</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0.489</m:t>
        </m:r>
        <m:r>
          <w:rPr>
            <w:rFonts w:ascii="Cambria Math" w:hAnsi="Cambria Math"/>
          </w:rPr>
          <m:t xml:space="preserve">,</m:t>
        </m:r>
        <m:r>
          <w:rPr>
            <w:rFonts w:ascii="Cambria Math" w:hAnsi="Cambria Math"/>
          </w:rPr>
          <m:t xml:space="preserve">−</m:t>
        </m:r>
        <m:r>
          <w:rPr>
            <w:rFonts w:ascii="Cambria Math" w:hAnsi="Cambria Math"/>
          </w:rPr>
          <m:t xml:space="preserve">0.175</m:t>
        </m:r>
        <m:r>
          <w:rPr>
            <w:rFonts w:ascii="Cambria Math" w:hAnsi="Cambria Math"/>
          </w:rPr>
          <m:t xml:space="preserve">]</m:t>
        </m:r>
      </m:oMath>
      <w:r>
        <w:rPr/>
        <w:t>), and Gemini 3.1 Pro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1.320</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1.510</m:t>
        </m:r>
        <m:r>
          <w:rPr>
            <w:rFonts w:ascii="Cambria Math" w:hAnsi="Cambria Math"/>
          </w:rPr>
          <m:t xml:space="preserve">,</m:t>
        </m:r>
        <m:r>
          <w:rPr>
            <w:rFonts w:ascii="Cambria Math" w:hAnsi="Cambria Math"/>
          </w:rPr>
          <m:t xml:space="preserve">−</m:t>
        </m:r>
        <m:r>
          <w:rPr>
            <w:rFonts w:ascii="Cambria Math" w:hAnsi="Cambria Math"/>
          </w:rPr>
          <m:t xml:space="preserve">1.120</m:t>
        </m:r>
        <m:r>
          <w:rPr>
            <w:rFonts w:ascii="Cambria Math" w:hAnsi="Cambria Math"/>
          </w:rPr>
          <m:t xml:space="preserve">]</m:t>
        </m:r>
      </m:oMath>
      <w:r>
        <w:rPr/>
        <w:t>).</w:t>
      </w:r>
    </w:p>
    <w:p>
      <w:pPr>
        <w:pStyle w:val="BodyText"/>
        <w:rPr/>
      </w:pPr>
      <w:r>
        <w:rPr/>
        <w:t>In the second stage, diagnostic acquisition strongly and positively predicted choice optimality for all three LLMs, supporting H2. The marginal effect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oMath>
      <w:r>
        <w:rPr/>
        <w:t xml:space="preserve">) ranged from </w:t>
      </w:r>
      <w:r>
        <w:rPr/>
      </w:r>
      <m:oMath xmlns:m="http://schemas.openxmlformats.org/officeDocument/2006/math">
        <m:r>
          <w:rPr>
            <w:rFonts w:ascii="Cambria Math" w:hAnsi="Cambria Math"/>
          </w:rPr>
          <m:t xml:space="preserve">0.448</m:t>
        </m:r>
      </m:oMath>
      <w:r>
        <w:rPr/>
        <w:t xml:space="preserve"> to </w:t>
      </w:r>
      <w:r>
        <w:rPr/>
      </w:r>
      <m:oMath xmlns:m="http://schemas.openxmlformats.org/officeDocument/2006/math">
        <m:r>
          <w:rPr>
            <w:rFonts w:ascii="Cambria Math" w:hAnsi="Cambria Math"/>
          </w:rPr>
          <m:t xml:space="preserve">0.495</m:t>
        </m:r>
      </m:oMath>
      <w:r>
        <w:rPr/>
        <w:t xml:space="preserve"> (all 95% CIs exclude zero), indicating that each additional diagnostic cell acquired increased the probability of selecting the optimal alternative by approximately 45 to 50 percentage points.</w:t>
      </w:r>
    </w:p>
    <w:p>
      <w:pPr>
        <w:pStyle w:val="BodyText"/>
        <w:rPr/>
      </w:pPr>
      <w:r>
        <w:rPr/>
        <w:t>Supporting H3, the Index of Moderated Mediation (</w:t>
      </w:r>
      <w:r>
        <w:rPr/>
      </w:r>
      <m:oMath xmlns:m="http://schemas.openxmlformats.org/officeDocument/2006/math">
        <m:r>
          <m:rPr>
            <m:lit/>
            <m:nor/>
          </m:rPr>
          <w:rPr>
            <w:rFonts w:ascii="Cambria Math" w:hAnsi="Cambria Math"/>
          </w:rPr>
          <m:t xml:space="preserve">IMM</m:t>
        </m:r>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 was credibly negative for all three LLMs: Gemini 3.5 Flash Lite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0.357</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0.486</m:t>
        </m:r>
        <m:r>
          <w:rPr>
            <w:rFonts w:ascii="Cambria Math" w:hAnsi="Cambria Math"/>
          </w:rPr>
          <m:t xml:space="preserve">,</m:t>
        </m:r>
        <m:r>
          <w:rPr>
            <w:rFonts w:ascii="Cambria Math" w:hAnsi="Cambria Math"/>
          </w:rPr>
          <m:t xml:space="preserve">−</m:t>
        </m:r>
        <m:r>
          <w:rPr>
            <w:rFonts w:ascii="Cambria Math" w:hAnsi="Cambria Math"/>
          </w:rPr>
          <m:t xml:space="preserve">0.228</m:t>
        </m:r>
        <m:r>
          <w:rPr>
            <w:rFonts w:ascii="Cambria Math" w:hAnsi="Cambria Math"/>
          </w:rPr>
          <m:t xml:space="preserve">]</m:t>
        </m:r>
      </m:oMath>
      <w:r>
        <w:rPr/>
        <w:t>), Gemini 3.8 Flash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0.149</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0.219</m:t>
        </m:r>
        <m:r>
          <w:rPr>
            <w:rFonts w:ascii="Cambria Math" w:hAnsi="Cambria Math"/>
          </w:rPr>
          <m:t xml:space="preserve">,</m:t>
        </m:r>
        <m:r>
          <w:rPr>
            <w:rFonts w:ascii="Cambria Math" w:hAnsi="Cambria Math"/>
          </w:rPr>
          <m:t xml:space="preserve">−</m:t>
        </m:r>
        <m:r>
          <w:rPr>
            <w:rFonts w:ascii="Cambria Math" w:hAnsi="Cambria Math"/>
          </w:rPr>
          <m:t xml:space="preserve">0.078</m:t>
        </m:r>
        <m:r>
          <w:rPr>
            <w:rFonts w:ascii="Cambria Math" w:hAnsi="Cambria Math"/>
          </w:rPr>
          <m:t xml:space="preserve">]</m:t>
        </m:r>
      </m:oMath>
      <w:r>
        <w:rPr/>
        <w:t>), and Gemini 3.1 Pro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0.622</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0.716</m:t>
        </m:r>
        <m:r>
          <w:rPr>
            <w:rFonts w:ascii="Cambria Math" w:hAnsi="Cambria Math"/>
          </w:rPr>
          <m:t xml:space="preserve">,</m:t>
        </m:r>
        <m:r>
          <w:rPr>
            <w:rFonts w:ascii="Cambria Math" w:hAnsi="Cambria Math"/>
          </w:rPr>
          <m:t xml:space="preserve">−</m:t>
        </m:r>
        <m:r>
          <w:rPr>
            <w:rFonts w:ascii="Cambria Math" w:hAnsi="Cambria Math"/>
          </w:rPr>
          <m:t xml:space="preserve">0.526</m:t>
        </m:r>
        <m:r>
          <w:rPr>
            <w:rFonts w:ascii="Cambria Math" w:hAnsi="Cambria Math"/>
          </w:rPr>
          <m:t xml:space="preserve">]</m:t>
        </m:r>
      </m:oMath>
      <w:r>
        <w:rPr/>
        <w:t>).</w:t>
      </w:r>
    </w:p>
    <w:p>
      <w:pPr>
        <w:pStyle w:val="BodyText"/>
        <w:rPr/>
      </w:pPr>
      <w:r>
        <w:rPr/>
        <w:t>These results demonstrate that the failure to optimize under constraint does not depend on partitioning prices into separate whole-dollar and cent fields. When price components are unified, whole dollars and cents are acquired together, but environmental friction under vague goal prompts leads the LLMs to truncate product weight inspections instead. Without the product weight, the AI agents fall back on nominal price minimization. Specifying the normative evaluative formula in the prompt eliminates this vulnerability, preserves diagnostic acquisition and decision optimality across all evaluated LLMs.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2: Inspecting Price and Weight, Diagnostic information acquisition and choice optimality (Study 1, Price partitioning)</w:t>
            </w:r>
          </w:p>
          <w:tbl>
            <w:tblPr>
              <w:tblStyle w:val="APATable"/>
              <w:tblW w:w="47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843"/>
              <w:gridCol w:w="459"/>
              <w:gridCol w:w="911"/>
              <w:gridCol w:w="912"/>
              <w:gridCol w:w="911"/>
              <w:gridCol w:w="912"/>
              <w:gridCol w:w="911"/>
              <w:gridCol w:w="912"/>
              <w:gridCol w:w="911"/>
              <w:gridCol w:w="913"/>
            </w:tblGrid>
            <w:tr>
              <w:trPr>
                <w:tblHeader w:val="true"/>
              </w:trPr>
              <w:tc>
                <w:tcPr>
                  <w:tcW w:w="843" w:type="dxa"/>
                  <w:tcBorders/>
                  <w:vAlign w:val="center"/>
                </w:tcPr>
                <w:p>
                  <w:pPr>
                    <w:pStyle w:val="Compact"/>
                    <w:spacing w:before="36" w:after="36"/>
                    <w:jc w:val="center"/>
                    <w:rPr>
                      <w:b w:val="false"/>
                    </w:rPr>
                  </w:pPr>
                  <w:r>
                    <w:rPr>
                      <w:b w:val="false"/>
                    </w:rPr>
                    <w:t>LLM</w:t>
                  </w:r>
                </w:p>
              </w:tc>
              <w:tc>
                <w:tcPr>
                  <w:tcW w:w="459" w:type="dxa"/>
                  <w:tcBorders/>
                  <w:vAlign w:val="center"/>
                </w:tcPr>
                <w:p>
                  <w:pPr>
                    <w:pStyle w:val="Compact"/>
                    <w:spacing w:before="36" w:after="36"/>
                    <w:jc w:val="center"/>
                    <w:rPr>
                      <w:b w:val="false"/>
                    </w:rPr>
                  </w:pPr>
                  <w:r>
                    <w:rPr>
                      <w:b w:val="false"/>
                    </w:rPr>
                    <w:t>Cost</w:t>
                  </w:r>
                </w:p>
              </w:tc>
              <w:tc>
                <w:tcPr>
                  <w:tcW w:w="3646" w:type="dxa"/>
                  <w:gridSpan w:val="4"/>
                  <w:tcBorders/>
                  <w:vAlign w:val="center"/>
                </w:tcPr>
                <w:p>
                  <w:pPr>
                    <w:pStyle w:val="Compact"/>
                    <w:spacing w:before="36" w:after="36"/>
                    <w:jc w:val="center"/>
                    <w:rPr>
                      <w:b w:val="false"/>
                    </w:rPr>
                  </w:pPr>
                  <w:r>
                    <w:rPr>
                      <w:b w:val="false"/>
                    </w:rPr>
                    <w:t>Specific</w:t>
                  </w:r>
                </w:p>
              </w:tc>
              <w:tc>
                <w:tcPr>
                  <w:tcW w:w="3647" w:type="dxa"/>
                  <w:gridSpan w:val="4"/>
                  <w:tcBorders/>
                  <w:vAlign w:val="center"/>
                </w:tcPr>
                <w:p>
                  <w:pPr>
                    <w:pStyle w:val="Compact"/>
                    <w:spacing w:before="36" w:after="36"/>
                    <w:jc w:val="center"/>
                    <w:rPr>
                      <w:b w:val="false"/>
                    </w:rPr>
                  </w:pPr>
                  <w:r>
                    <w:rPr>
                      <w:b w:val="false"/>
                    </w:rPr>
                    <w:t>Vague</w:t>
                  </w:r>
                </w:p>
              </w:tc>
            </w:tr>
            <w:tr>
              <w:trPr>
                <w:tblHeader w:val="true"/>
              </w:trPr>
              <w:tc>
                <w:tcPr>
                  <w:tcW w:w="843" w:type="dxa"/>
                  <w:tcBorders/>
                  <w:vAlign w:val="center"/>
                </w:tcPr>
                <w:p>
                  <w:pPr>
                    <w:pStyle w:val="Compact"/>
                    <w:spacing w:before="36" w:after="36"/>
                    <w:rPr>
                      <w:b w:val="false"/>
                    </w:rPr>
                  </w:pPr>
                  <w:r>
                    <w:rPr>
                      <w:b w:val="false"/>
                    </w:rPr>
                  </w:r>
                </w:p>
              </w:tc>
              <w:tc>
                <w:tcPr>
                  <w:tcW w:w="459" w:type="dxa"/>
                  <w:tcBorders/>
                  <w:vAlign w:val="center"/>
                </w:tcPr>
                <w:p>
                  <w:pPr>
                    <w:pStyle w:val="Compact"/>
                    <w:spacing w:before="36" w:after="36"/>
                    <w:rPr>
                      <w:b w:val="false"/>
                    </w:rPr>
                  </w:pPr>
                  <w:r>
                    <w:rPr>
                      <w:b w:val="false"/>
                    </w:rPr>
                  </w:r>
                </w:p>
              </w:tc>
              <w:tc>
                <w:tcPr>
                  <w:tcW w:w="911" w:type="dxa"/>
                  <w:tcBorders/>
                  <w:vAlign w:val="center"/>
                </w:tcPr>
                <w:p>
                  <w:pPr>
                    <w:pStyle w:val="Compact"/>
                    <w:spacing w:before="36" w:after="36"/>
                    <w:jc w:val="center"/>
                    <w:rPr>
                      <w:b w:val="false"/>
                    </w:rPr>
                  </w:pPr>
                  <w:r>
                    <w:rPr>
                      <w:b w:val="false"/>
                    </w:rPr>
                    <w:t>Price</w:t>
                  </w:r>
                </w:p>
              </w:tc>
              <w:tc>
                <w:tcPr>
                  <w:tcW w:w="912" w:type="dxa"/>
                  <w:tcBorders/>
                  <w:vAlign w:val="center"/>
                </w:tcPr>
                <w:p>
                  <w:pPr>
                    <w:pStyle w:val="Compact"/>
                    <w:spacing w:before="36" w:after="36"/>
                    <w:jc w:val="center"/>
                    <w:rPr>
                      <w:b w:val="false"/>
                    </w:rPr>
                  </w:pPr>
                  <w:r>
                    <w:rPr>
                      <w:b w:val="false"/>
                    </w:rPr>
                    <w:t>Weight</w:t>
                  </w:r>
                </w:p>
              </w:tc>
              <w:tc>
                <w:tcPr>
                  <w:tcW w:w="911" w:type="dxa"/>
                  <w:tcBorders/>
                  <w:vAlign w:val="center"/>
                </w:tcPr>
                <w:p>
                  <w:pPr>
                    <w:pStyle w:val="Compact"/>
                    <w:spacing w:before="36" w:after="36"/>
                    <w:jc w:val="center"/>
                    <w:rPr>
                      <w:b w:val="false"/>
                    </w:rPr>
                  </w:pPr>
                  <w:r>
                    <w:rPr>
                      <w:b w:val="false"/>
                    </w:rPr>
                    <w:t>Diagnostic</w:t>
                  </w:r>
                </w:p>
              </w:tc>
              <w:tc>
                <w:tcPr>
                  <w:tcW w:w="912" w:type="dxa"/>
                  <w:tcBorders/>
                  <w:vAlign w:val="center"/>
                </w:tcPr>
                <w:p>
                  <w:pPr>
                    <w:pStyle w:val="Compact"/>
                    <w:spacing w:before="36" w:after="36"/>
                    <w:jc w:val="center"/>
                    <w:rPr>
                      <w:b w:val="false"/>
                    </w:rPr>
                  </w:pPr>
                  <w:r>
                    <w:rPr>
                      <w:b w:val="false"/>
                    </w:rPr>
                    <w:t>Optimality</w:t>
                  </w:r>
                </w:p>
              </w:tc>
              <w:tc>
                <w:tcPr>
                  <w:tcW w:w="911" w:type="dxa"/>
                  <w:tcBorders/>
                  <w:vAlign w:val="center"/>
                </w:tcPr>
                <w:p>
                  <w:pPr>
                    <w:pStyle w:val="Compact"/>
                    <w:spacing w:before="36" w:after="36"/>
                    <w:jc w:val="center"/>
                    <w:rPr>
                      <w:b w:val="false"/>
                    </w:rPr>
                  </w:pPr>
                  <w:r>
                    <w:rPr>
                      <w:b w:val="false"/>
                    </w:rPr>
                    <w:t>Price</w:t>
                  </w:r>
                </w:p>
              </w:tc>
              <w:tc>
                <w:tcPr>
                  <w:tcW w:w="912" w:type="dxa"/>
                  <w:tcBorders/>
                  <w:vAlign w:val="center"/>
                </w:tcPr>
                <w:p>
                  <w:pPr>
                    <w:pStyle w:val="Compact"/>
                    <w:spacing w:before="36" w:after="36"/>
                    <w:jc w:val="center"/>
                    <w:rPr>
                      <w:b w:val="false"/>
                    </w:rPr>
                  </w:pPr>
                  <w:r>
                    <w:rPr>
                      <w:b w:val="false"/>
                    </w:rPr>
                    <w:t>Weight</w:t>
                  </w:r>
                </w:p>
              </w:tc>
              <w:tc>
                <w:tcPr>
                  <w:tcW w:w="911" w:type="dxa"/>
                  <w:tcBorders/>
                  <w:vAlign w:val="center"/>
                </w:tcPr>
                <w:p>
                  <w:pPr>
                    <w:pStyle w:val="Compact"/>
                    <w:spacing w:before="36" w:after="36"/>
                    <w:jc w:val="center"/>
                    <w:rPr>
                      <w:b w:val="false"/>
                    </w:rPr>
                  </w:pPr>
                  <w:r>
                    <w:rPr>
                      <w:b w:val="false"/>
                    </w:rPr>
                    <w:t>Diagnostic</w:t>
                  </w:r>
                </w:p>
              </w:tc>
              <w:tc>
                <w:tcPr>
                  <w:tcW w:w="913" w:type="dxa"/>
                  <w:tcBorders/>
                  <w:vAlign w:val="center"/>
                </w:tcPr>
                <w:p>
                  <w:pPr>
                    <w:pStyle w:val="Compact"/>
                    <w:spacing w:before="36" w:after="36"/>
                    <w:jc w:val="center"/>
                    <w:rPr>
                      <w:b w:val="false"/>
                    </w:rPr>
                  </w:pPr>
                  <w:r>
                    <w:rPr>
                      <w:b w:val="false"/>
                    </w:rPr>
                    <w:t>Optimality</w:t>
                  </w:r>
                </w:p>
              </w:tc>
            </w:tr>
            <w:tr>
              <w:trPr/>
              <w:tc>
                <w:tcPr>
                  <w:tcW w:w="843" w:type="dxa"/>
                  <w:tcBorders>
                    <w:top w:val="nil"/>
                    <w:bottom w:val="nil"/>
                  </w:tcBorders>
                  <w:vAlign w:val="center"/>
                </w:tcPr>
                <w:p>
                  <w:pPr>
                    <w:pStyle w:val="Compact"/>
                    <w:spacing w:before="36" w:after="36"/>
                    <w:jc w:val="center"/>
                    <w:rPr/>
                  </w:pPr>
                  <w:r>
                    <w:rPr/>
                    <w:t>Flash Lite</w:t>
                  </w:r>
                </w:p>
              </w:tc>
              <w:tc>
                <w:tcPr>
                  <w:tcW w:w="459" w:type="dxa"/>
                  <w:tcBorders>
                    <w:top w:val="nil"/>
                    <w:bottom w:val="nil"/>
                  </w:tcBorders>
                  <w:vAlign w:val="center"/>
                </w:tcPr>
                <w:p>
                  <w:pPr>
                    <w:pStyle w:val="Compact"/>
                    <w:spacing w:before="36" w:after="36"/>
                    <w:jc w:val="center"/>
                    <w:rPr/>
                  </w:pPr>
                  <w:r>
                    <w:rPr/>
                    <w:t>$0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4.00 (0.00)</w:t>
                  </w:r>
                </w:p>
              </w:tc>
              <w:tc>
                <w:tcPr>
                  <w:tcW w:w="912" w:type="dxa"/>
                  <w:tcBorders>
                    <w:top w:val="nil"/>
                    <w:bottom w:val="nil"/>
                  </w:tcBorders>
                  <w:vAlign w:val="center"/>
                </w:tcPr>
                <w:p>
                  <w:pPr>
                    <w:pStyle w:val="Compact"/>
                    <w:spacing w:before="36" w:after="36"/>
                    <w:jc w:val="center"/>
                    <w:rPr/>
                  </w:pPr>
                  <w:r>
                    <w:rPr/>
                    <w:t>1.00 (0.00)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1.28 (0.96)</w:t>
                  </w:r>
                </w:p>
              </w:tc>
              <w:tc>
                <w:tcPr>
                  <w:tcW w:w="911" w:type="dxa"/>
                  <w:tcBorders>
                    <w:top w:val="nil"/>
                    <w:bottom w:val="nil"/>
                  </w:tcBorders>
                  <w:vAlign w:val="center"/>
                </w:tcPr>
                <w:p>
                  <w:pPr>
                    <w:pStyle w:val="Compact"/>
                    <w:spacing w:before="36" w:after="36"/>
                    <w:jc w:val="center"/>
                    <w:rPr/>
                  </w:pPr>
                  <w:r>
                    <w:rPr/>
                    <w:t>3.28 (0.96)</w:t>
                  </w:r>
                </w:p>
              </w:tc>
              <w:tc>
                <w:tcPr>
                  <w:tcW w:w="913" w:type="dxa"/>
                  <w:tcBorders>
                    <w:top w:val="nil"/>
                    <w:bottom w:val="nil"/>
                  </w:tcBorders>
                  <w:vAlign w:val="center"/>
                </w:tcPr>
                <w:p>
                  <w:pPr>
                    <w:pStyle w:val="Compact"/>
                    <w:spacing w:before="36" w:after="36"/>
                    <w:jc w:val="center"/>
                    <w:rPr/>
                  </w:pPr>
                  <w:r>
                    <w:rPr/>
                    <w:t>0.63 (0.49)</w:t>
                  </w:r>
                </w:p>
              </w:tc>
            </w:tr>
            <w:tr>
              <w:trPr/>
              <w:tc>
                <w:tcPr>
                  <w:tcW w:w="843" w:type="dxa"/>
                  <w:tcBorders>
                    <w:top w:val="nil"/>
                    <w:bottom w:val="nil"/>
                  </w:tcBorders>
                  <w:vAlign w:val="center"/>
                </w:tcPr>
                <w:p>
                  <w:pPr>
                    <w:pStyle w:val="Compact"/>
                    <w:spacing w:before="36" w:after="36"/>
                    <w:jc w:val="center"/>
                    <w:rPr/>
                  </w:pPr>
                  <w:r>
                    <w:rPr/>
                    <w:t>Flash Lite</w:t>
                  </w:r>
                </w:p>
              </w:tc>
              <w:tc>
                <w:tcPr>
                  <w:tcW w:w="459" w:type="dxa"/>
                  <w:tcBorders>
                    <w:top w:val="nil"/>
                    <w:bottom w:val="nil"/>
                  </w:tcBorders>
                  <w:vAlign w:val="center"/>
                </w:tcPr>
                <w:p>
                  <w:pPr>
                    <w:pStyle w:val="Compact"/>
                    <w:spacing w:before="36" w:after="36"/>
                    <w:jc w:val="center"/>
                    <w:rPr/>
                  </w:pPr>
                  <w:r>
                    <w:rPr/>
                    <w:t>$10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4.00 (0.00)</w:t>
                  </w:r>
                </w:p>
              </w:tc>
              <w:tc>
                <w:tcPr>
                  <w:tcW w:w="912" w:type="dxa"/>
                  <w:tcBorders>
                    <w:top w:val="nil"/>
                    <w:bottom w:val="nil"/>
                  </w:tcBorders>
                  <w:vAlign w:val="center"/>
                </w:tcPr>
                <w:p>
                  <w:pPr>
                    <w:pStyle w:val="Compact"/>
                    <w:spacing w:before="36" w:after="36"/>
                    <w:jc w:val="center"/>
                    <w:rPr/>
                  </w:pPr>
                  <w:r>
                    <w:rPr/>
                    <w:t>1.00 (0.00)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0.56 (0.90)</w:t>
                  </w:r>
                </w:p>
              </w:tc>
              <w:tc>
                <w:tcPr>
                  <w:tcW w:w="911" w:type="dxa"/>
                  <w:tcBorders>
                    <w:top w:val="nil"/>
                    <w:bottom w:val="nil"/>
                  </w:tcBorders>
                  <w:vAlign w:val="center"/>
                </w:tcPr>
                <w:p>
                  <w:pPr>
                    <w:pStyle w:val="Compact"/>
                    <w:spacing w:before="36" w:after="36"/>
                    <w:jc w:val="center"/>
                    <w:rPr/>
                  </w:pPr>
                  <w:r>
                    <w:rPr/>
                    <w:t>2.56 (0.90)</w:t>
                  </w:r>
                </w:p>
              </w:tc>
              <w:tc>
                <w:tcPr>
                  <w:tcW w:w="913" w:type="dxa"/>
                  <w:tcBorders>
                    <w:top w:val="nil"/>
                    <w:bottom w:val="nil"/>
                  </w:tcBorders>
                  <w:vAlign w:val="center"/>
                </w:tcPr>
                <w:p>
                  <w:pPr>
                    <w:pStyle w:val="Compact"/>
                    <w:spacing w:before="36" w:after="36"/>
                    <w:jc w:val="center"/>
                    <w:rPr/>
                  </w:pPr>
                  <w:r>
                    <w:rPr/>
                    <w:t>0.28 (0.45)</w:t>
                  </w:r>
                </w:p>
              </w:tc>
            </w:tr>
            <w:tr>
              <w:trPr/>
              <w:tc>
                <w:tcPr>
                  <w:tcW w:w="843" w:type="dxa"/>
                  <w:tcBorders>
                    <w:top w:val="nil"/>
                    <w:bottom w:val="nil"/>
                  </w:tcBorders>
                  <w:vAlign w:val="center"/>
                </w:tcPr>
                <w:p>
                  <w:pPr>
                    <w:pStyle w:val="Compact"/>
                    <w:spacing w:before="36" w:after="36"/>
                    <w:jc w:val="center"/>
                    <w:rPr/>
                  </w:pPr>
                  <w:r>
                    <w:rPr/>
                    <w:t>Flash</w:t>
                  </w:r>
                </w:p>
              </w:tc>
              <w:tc>
                <w:tcPr>
                  <w:tcW w:w="459" w:type="dxa"/>
                  <w:tcBorders>
                    <w:top w:val="nil"/>
                    <w:bottom w:val="nil"/>
                  </w:tcBorders>
                  <w:vAlign w:val="center"/>
                </w:tcPr>
                <w:p>
                  <w:pPr>
                    <w:pStyle w:val="Compact"/>
                    <w:spacing w:before="36" w:after="36"/>
                    <w:jc w:val="center"/>
                    <w:rPr/>
                  </w:pPr>
                  <w:r>
                    <w:rPr/>
                    <w:t>$0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4.00 (0.00)</w:t>
                  </w:r>
                </w:p>
              </w:tc>
              <w:tc>
                <w:tcPr>
                  <w:tcW w:w="912" w:type="dxa"/>
                  <w:tcBorders>
                    <w:top w:val="nil"/>
                    <w:bottom w:val="nil"/>
                  </w:tcBorders>
                  <w:vAlign w:val="center"/>
                </w:tcPr>
                <w:p>
                  <w:pPr>
                    <w:pStyle w:val="Compact"/>
                    <w:spacing w:before="36" w:after="36"/>
                    <w:jc w:val="center"/>
                    <w:rPr/>
                  </w:pPr>
                  <w:r>
                    <w:rPr/>
                    <w:t>1.00 (0.00)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4.00 (0.00)</w:t>
                  </w:r>
                </w:p>
              </w:tc>
              <w:tc>
                <w:tcPr>
                  <w:tcW w:w="913" w:type="dxa"/>
                  <w:tcBorders>
                    <w:top w:val="nil"/>
                    <w:bottom w:val="nil"/>
                  </w:tcBorders>
                  <w:vAlign w:val="center"/>
                </w:tcPr>
                <w:p>
                  <w:pPr>
                    <w:pStyle w:val="Compact"/>
                    <w:spacing w:before="36" w:after="36"/>
                    <w:jc w:val="center"/>
                    <w:rPr/>
                  </w:pPr>
                  <w:r>
                    <w:rPr/>
                    <w:t>1.00 (0.00)</w:t>
                  </w:r>
                </w:p>
              </w:tc>
            </w:tr>
            <w:tr>
              <w:trPr/>
              <w:tc>
                <w:tcPr>
                  <w:tcW w:w="843" w:type="dxa"/>
                  <w:tcBorders>
                    <w:top w:val="nil"/>
                    <w:bottom w:val="nil"/>
                  </w:tcBorders>
                  <w:vAlign w:val="center"/>
                </w:tcPr>
                <w:p>
                  <w:pPr>
                    <w:pStyle w:val="Compact"/>
                    <w:spacing w:before="36" w:after="36"/>
                    <w:jc w:val="center"/>
                    <w:rPr/>
                  </w:pPr>
                  <w:r>
                    <w:rPr/>
                    <w:t>Flash</w:t>
                  </w:r>
                </w:p>
              </w:tc>
              <w:tc>
                <w:tcPr>
                  <w:tcW w:w="459" w:type="dxa"/>
                  <w:tcBorders>
                    <w:top w:val="nil"/>
                    <w:bottom w:val="nil"/>
                  </w:tcBorders>
                  <w:vAlign w:val="center"/>
                </w:tcPr>
                <w:p>
                  <w:pPr>
                    <w:pStyle w:val="Compact"/>
                    <w:spacing w:before="36" w:after="36"/>
                    <w:jc w:val="center"/>
                    <w:rPr/>
                  </w:pPr>
                  <w:r>
                    <w:rPr/>
                    <w:t>$10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4.00 (0.00)</w:t>
                  </w:r>
                </w:p>
              </w:tc>
              <w:tc>
                <w:tcPr>
                  <w:tcW w:w="912" w:type="dxa"/>
                  <w:tcBorders>
                    <w:top w:val="nil"/>
                    <w:bottom w:val="nil"/>
                  </w:tcBorders>
                  <w:vAlign w:val="center"/>
                </w:tcPr>
                <w:p>
                  <w:pPr>
                    <w:pStyle w:val="Compact"/>
                    <w:spacing w:before="36" w:after="36"/>
                    <w:jc w:val="center"/>
                    <w:rPr/>
                  </w:pPr>
                  <w:r>
                    <w:rPr/>
                    <w:t>1.00 (0.00)</w:t>
                  </w:r>
                </w:p>
              </w:tc>
              <w:tc>
                <w:tcPr>
                  <w:tcW w:w="911" w:type="dxa"/>
                  <w:tcBorders>
                    <w:top w:val="nil"/>
                    <w:bottom w:val="nil"/>
                  </w:tcBorders>
                  <w:vAlign w:val="center"/>
                </w:tcPr>
                <w:p>
                  <w:pPr>
                    <w:pStyle w:val="Compact"/>
                    <w:spacing w:before="36" w:after="36"/>
                    <w:jc w:val="center"/>
                    <w:rPr/>
                  </w:pPr>
                  <w:r>
                    <w:rPr/>
                    <w:t>1.96 (0.20)</w:t>
                  </w:r>
                </w:p>
              </w:tc>
              <w:tc>
                <w:tcPr>
                  <w:tcW w:w="912" w:type="dxa"/>
                  <w:tcBorders>
                    <w:top w:val="nil"/>
                    <w:bottom w:val="nil"/>
                  </w:tcBorders>
                  <w:vAlign w:val="center"/>
                </w:tcPr>
                <w:p>
                  <w:pPr>
                    <w:pStyle w:val="Compact"/>
                    <w:spacing w:before="36" w:after="36"/>
                    <w:jc w:val="center"/>
                    <w:rPr/>
                  </w:pPr>
                  <w:r>
                    <w:rPr/>
                    <w:t>1.71 (0.69)</w:t>
                  </w:r>
                </w:p>
              </w:tc>
              <w:tc>
                <w:tcPr>
                  <w:tcW w:w="911" w:type="dxa"/>
                  <w:tcBorders>
                    <w:top w:val="nil"/>
                    <w:bottom w:val="nil"/>
                  </w:tcBorders>
                  <w:vAlign w:val="center"/>
                </w:tcPr>
                <w:p>
                  <w:pPr>
                    <w:pStyle w:val="Compact"/>
                    <w:spacing w:before="36" w:after="36"/>
                    <w:jc w:val="center"/>
                    <w:rPr/>
                  </w:pPr>
                  <w:r>
                    <w:rPr/>
                    <w:t>3.67 (0.79)</w:t>
                  </w:r>
                </w:p>
              </w:tc>
              <w:tc>
                <w:tcPr>
                  <w:tcW w:w="913" w:type="dxa"/>
                  <w:tcBorders>
                    <w:top w:val="nil"/>
                    <w:bottom w:val="nil"/>
                  </w:tcBorders>
                  <w:vAlign w:val="center"/>
                </w:tcPr>
                <w:p>
                  <w:pPr>
                    <w:pStyle w:val="Compact"/>
                    <w:spacing w:before="36" w:after="36"/>
                    <w:jc w:val="center"/>
                    <w:rPr/>
                  </w:pPr>
                  <w:r>
                    <w:rPr/>
                    <w:t>0.84 (0.37)</w:t>
                  </w:r>
                </w:p>
              </w:tc>
            </w:tr>
            <w:tr>
              <w:trPr/>
              <w:tc>
                <w:tcPr>
                  <w:tcW w:w="843" w:type="dxa"/>
                  <w:tcBorders>
                    <w:top w:val="nil"/>
                    <w:bottom w:val="nil"/>
                  </w:tcBorders>
                  <w:vAlign w:val="center"/>
                </w:tcPr>
                <w:p>
                  <w:pPr>
                    <w:pStyle w:val="Compact"/>
                    <w:spacing w:before="36" w:after="36"/>
                    <w:jc w:val="center"/>
                    <w:rPr/>
                  </w:pPr>
                  <w:r>
                    <w:rPr/>
                    <w:t>Pro</w:t>
                  </w:r>
                </w:p>
              </w:tc>
              <w:tc>
                <w:tcPr>
                  <w:tcW w:w="459" w:type="dxa"/>
                  <w:tcBorders>
                    <w:top w:val="nil"/>
                    <w:bottom w:val="nil"/>
                  </w:tcBorders>
                  <w:vAlign w:val="center"/>
                </w:tcPr>
                <w:p>
                  <w:pPr>
                    <w:pStyle w:val="Compact"/>
                    <w:spacing w:before="36" w:after="36"/>
                    <w:jc w:val="center"/>
                    <w:rPr/>
                  </w:pPr>
                  <w:r>
                    <w:rPr/>
                    <w:t>$0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4.00 (0.00)</w:t>
                  </w:r>
                </w:p>
              </w:tc>
              <w:tc>
                <w:tcPr>
                  <w:tcW w:w="912" w:type="dxa"/>
                  <w:tcBorders>
                    <w:top w:val="nil"/>
                    <w:bottom w:val="nil"/>
                  </w:tcBorders>
                  <w:vAlign w:val="center"/>
                </w:tcPr>
                <w:p>
                  <w:pPr>
                    <w:pStyle w:val="Compact"/>
                    <w:spacing w:before="36" w:after="36"/>
                    <w:jc w:val="center"/>
                    <w:rPr/>
                  </w:pPr>
                  <w:r>
                    <w:rPr/>
                    <w:t>1.00 (0.00)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1.98 (0.20)</w:t>
                  </w:r>
                </w:p>
              </w:tc>
              <w:tc>
                <w:tcPr>
                  <w:tcW w:w="911" w:type="dxa"/>
                  <w:tcBorders>
                    <w:top w:val="nil"/>
                    <w:bottom w:val="nil"/>
                  </w:tcBorders>
                  <w:vAlign w:val="center"/>
                </w:tcPr>
                <w:p>
                  <w:pPr>
                    <w:pStyle w:val="Compact"/>
                    <w:spacing w:before="36" w:after="36"/>
                    <w:jc w:val="center"/>
                    <w:rPr/>
                  </w:pPr>
                  <w:r>
                    <w:rPr/>
                    <w:t>3.98 (0.20)</w:t>
                  </w:r>
                </w:p>
              </w:tc>
              <w:tc>
                <w:tcPr>
                  <w:tcW w:w="913" w:type="dxa"/>
                  <w:tcBorders>
                    <w:top w:val="nil"/>
                    <w:bottom w:val="nil"/>
                  </w:tcBorders>
                  <w:vAlign w:val="center"/>
                </w:tcPr>
                <w:p>
                  <w:pPr>
                    <w:pStyle w:val="Compact"/>
                    <w:spacing w:before="36" w:after="36"/>
                    <w:jc w:val="center"/>
                    <w:rPr/>
                  </w:pPr>
                  <w:r>
                    <w:rPr/>
                    <w:t>0.99 (0.10)</w:t>
                  </w:r>
                </w:p>
              </w:tc>
            </w:tr>
            <w:tr>
              <w:trPr/>
              <w:tc>
                <w:tcPr>
                  <w:tcW w:w="843" w:type="dxa"/>
                  <w:tcBorders>
                    <w:top w:val="nil"/>
                  </w:tcBorders>
                  <w:vAlign w:val="center"/>
                </w:tcPr>
                <w:p>
                  <w:pPr>
                    <w:pStyle w:val="Compact"/>
                    <w:spacing w:before="36" w:after="36"/>
                    <w:jc w:val="center"/>
                    <w:rPr/>
                  </w:pPr>
                  <w:r>
                    <w:rPr/>
                    <w:t>Pro</w:t>
                  </w:r>
                </w:p>
              </w:tc>
              <w:tc>
                <w:tcPr>
                  <w:tcW w:w="459" w:type="dxa"/>
                  <w:tcBorders>
                    <w:top w:val="nil"/>
                  </w:tcBorders>
                  <w:vAlign w:val="center"/>
                </w:tcPr>
                <w:p>
                  <w:pPr>
                    <w:pStyle w:val="Compact"/>
                    <w:spacing w:before="36" w:after="36"/>
                    <w:jc w:val="center"/>
                    <w:rPr/>
                  </w:pPr>
                  <w:r>
                    <w:rPr/>
                    <w:t>$10</w:t>
                  </w:r>
                </w:p>
              </w:tc>
              <w:tc>
                <w:tcPr>
                  <w:tcW w:w="911" w:type="dxa"/>
                  <w:tcBorders>
                    <w:top w:val="nil"/>
                  </w:tcBorders>
                  <w:vAlign w:val="center"/>
                </w:tcPr>
                <w:p>
                  <w:pPr>
                    <w:pStyle w:val="Compact"/>
                    <w:spacing w:before="36" w:after="36"/>
                    <w:jc w:val="center"/>
                    <w:rPr/>
                  </w:pPr>
                  <w:r>
                    <w:rPr/>
                    <w:t>2.00 (0.00)</w:t>
                  </w:r>
                </w:p>
              </w:tc>
              <w:tc>
                <w:tcPr>
                  <w:tcW w:w="912" w:type="dxa"/>
                  <w:tcBorders>
                    <w:top w:val="nil"/>
                  </w:tcBorders>
                  <w:vAlign w:val="center"/>
                </w:tcPr>
                <w:p>
                  <w:pPr>
                    <w:pStyle w:val="Compact"/>
                    <w:spacing w:before="36" w:after="36"/>
                    <w:jc w:val="center"/>
                    <w:rPr/>
                  </w:pPr>
                  <w:r>
                    <w:rPr/>
                    <w:t>2.00 (0.00)</w:t>
                  </w:r>
                </w:p>
              </w:tc>
              <w:tc>
                <w:tcPr>
                  <w:tcW w:w="911" w:type="dxa"/>
                  <w:tcBorders>
                    <w:top w:val="nil"/>
                  </w:tcBorders>
                  <w:vAlign w:val="center"/>
                </w:tcPr>
                <w:p>
                  <w:pPr>
                    <w:pStyle w:val="Compact"/>
                    <w:spacing w:before="36" w:after="36"/>
                    <w:jc w:val="center"/>
                    <w:rPr/>
                  </w:pPr>
                  <w:r>
                    <w:rPr/>
                    <w:t>4.00 (0.00)</w:t>
                  </w:r>
                </w:p>
              </w:tc>
              <w:tc>
                <w:tcPr>
                  <w:tcW w:w="912" w:type="dxa"/>
                  <w:tcBorders>
                    <w:top w:val="nil"/>
                  </w:tcBorders>
                  <w:vAlign w:val="center"/>
                </w:tcPr>
                <w:p>
                  <w:pPr>
                    <w:pStyle w:val="Compact"/>
                    <w:spacing w:before="36" w:after="36"/>
                    <w:jc w:val="center"/>
                    <w:rPr/>
                  </w:pPr>
                  <w:r>
                    <w:rPr/>
                    <w:t>1.00 (0.00)</w:t>
                  </w:r>
                </w:p>
              </w:tc>
              <w:tc>
                <w:tcPr>
                  <w:tcW w:w="911" w:type="dxa"/>
                  <w:tcBorders>
                    <w:top w:val="nil"/>
                  </w:tcBorders>
                  <w:vAlign w:val="center"/>
                </w:tcPr>
                <w:p>
                  <w:pPr>
                    <w:pStyle w:val="Compact"/>
                    <w:spacing w:before="36" w:after="36"/>
                    <w:jc w:val="center"/>
                    <w:rPr/>
                  </w:pPr>
                  <w:r>
                    <w:rPr/>
                    <w:t>1.98 (0.14)</w:t>
                  </w:r>
                </w:p>
              </w:tc>
              <w:tc>
                <w:tcPr>
                  <w:tcW w:w="912" w:type="dxa"/>
                  <w:tcBorders>
                    <w:top w:val="nil"/>
                  </w:tcBorders>
                  <w:vAlign w:val="center"/>
                </w:tcPr>
                <w:p>
                  <w:pPr>
                    <w:pStyle w:val="Compact"/>
                    <w:spacing w:before="36" w:after="36"/>
                    <w:jc w:val="center"/>
                    <w:rPr/>
                  </w:pPr>
                  <w:r>
                    <w:rPr/>
                    <w:t>0.68 (0.95)</w:t>
                  </w:r>
                </w:p>
              </w:tc>
              <w:tc>
                <w:tcPr>
                  <w:tcW w:w="911" w:type="dxa"/>
                  <w:tcBorders>
                    <w:top w:val="nil"/>
                  </w:tcBorders>
                  <w:vAlign w:val="center"/>
                </w:tcPr>
                <w:p>
                  <w:pPr>
                    <w:pStyle w:val="Compact"/>
                    <w:spacing w:before="36" w:after="36"/>
                    <w:jc w:val="center"/>
                    <w:rPr/>
                  </w:pPr>
                  <w:r>
                    <w:rPr/>
                    <w:t>2.66 (0.98)</w:t>
                  </w:r>
                </w:p>
              </w:tc>
              <w:tc>
                <w:tcPr>
                  <w:tcW w:w="913" w:type="dxa"/>
                  <w:tcBorders>
                    <w:top w:val="nil"/>
                  </w:tcBorders>
                  <w:vAlign w:val="center"/>
                </w:tcPr>
                <w:p>
                  <w:pPr>
                    <w:pStyle w:val="Compact"/>
                    <w:spacing w:before="36" w:after="36"/>
                    <w:jc w:val="center"/>
                    <w:rPr/>
                  </w:pPr>
                  <w:r>
                    <w:rPr/>
                    <w:t>0.35 (0.48)</w:t>
                  </w:r>
                  <w:bookmarkStart w:id="17" w:name="tbl-s1-price-partitioning-descriptives"/>
                  <w:bookmarkEnd w:id="17"/>
                </w:p>
              </w:tc>
            </w:tr>
          </w:tbl>
          <w:p>
            <w:pPr>
              <w:pStyle w:val="Normal"/>
              <w:spacing w:before="0" w:after="200"/>
              <w:jc w:val="left"/>
              <w:rPr>
                <w:sz w:val="24"/>
              </w:rPr>
            </w:pPr>
            <w:r>
              <w:rPr>
                <w:sz w:val="24"/>
              </w:rPr>
            </w:r>
            <w:bookmarkStart w:id="18" w:name="price-partitioning"/>
            <w:bookmarkEnd w:id="18"/>
          </w:p>
        </w:tc>
      </w:tr>
    </w:tbl>
    <w:p>
      <w:pPr>
        <w:pStyle w:val="Heading3"/>
        <w:rPr/>
      </w:pPr>
      <w:r>
        <w:rPr/>
        <w:t>Sensitivity to purchase volume</w:t>
      </w:r>
    </w:p>
    <w:p>
      <w:pPr>
        <w:pStyle w:val="FirstParagraph"/>
        <w:rPr/>
      </w:pPr>
      <w:r>
        <w:rPr/>
        <w:t>A rival explanation for the search patterns observed in Study 1 Tool-Lab is that LLMs operate with an unobserved implicit cost of information acquisition. In Study 1 Tool-Lab, even when attribute inspection was explicitly free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0.00</m:t>
        </m:r>
      </m:oMath>
      <w:r>
        <w:rPr/>
        <w:t>), Gemini 3.1 Pro retrieved the fractional cent cells in only 89% of sessions under the vague goal prompt.</w:t>
      </w:r>
    </w:p>
    <w:p>
      <w:pPr>
        <w:pStyle w:val="BodyText"/>
        <w:rPr/>
      </w:pPr>
      <w:r>
        <w:rPr/>
        <w:t>If acquiring information or processing tokens imposes an internal computational friction, an AI shopping agent might truncate search even when external fees are zero. Because Study 1 Tool-Lab varied only explicit costs, that design cannot distinguish an AI shopping agent that truncates search due to external economic penalties from one that is inherently averse to internal information processing.</w:t>
      </w:r>
    </w:p>
    <w:p>
      <w:pPr>
        <w:pStyle w:val="BodyText"/>
        <w:rPr/>
      </w:pPr>
      <w:r>
        <w:rPr/>
        <w:t xml:space="preserve">To test whether benefit-scaling resolves search truncation or alters goal construal, we implemented a 3 (LLMs: Gemini 3.5 Flash Lite, Gemini 3.8 Flash, and Gemini 3.1 Pro) </w:t>
      </w:r>
      <w:r>
        <w:rPr/>
      </w:r>
      <m:oMath xmlns:m="http://schemas.openxmlformats.org/officeDocument/2006/math">
        <m:r>
          <w:rPr>
            <w:rFonts w:ascii="Cambria Math" w:hAnsi="Cambria Math"/>
          </w:rPr>
          <m:t xml:space="preserve">×</m:t>
        </m:r>
      </m:oMath>
      <w:r>
        <w:rPr/>
        <w:t xml:space="preserve"> 4 (Purchase volume: 1, 5, 50, and 250 bags) between-sessions design under the vague goal prompt at zero explicit acquisition cost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0.00</m:t>
        </m:r>
      </m:oMath>
      <w:r>
        <w:rPr/>
        <w:t>). Each cell was evaluated across 100 independent sessions, yielding 1,200 unique sessions in total. All other stimulus characteristics, attribute structures (six partitioned cells for price components and weight), and Tool-Lab mechanics were identical to Study 1 Tool-Lab.</w:t>
      </w:r>
    </w:p>
    <w:p>
      <w:pPr>
        <w:pStyle w:val="BodyText"/>
        <w:rPr/>
      </w:pPr>
      <w:r>
        <w:rPr/>
        <w:t>If incomplete search at zero cost reflected an implicit acquisition cost, scaling volume should push diagnostic acquisition and choice optimality toward ceiling. Instead, trajectories show that while Gemini 3.8 Flash remained at ceiling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6.00</m:t>
        </m:r>
      </m:oMath>
      <w:r>
        <w:rPr/>
        <w:t>; optimality = 1.00), scaling from 1 to 250 bags reduced diagnostic acquisitions for the other two LLMs (</w:t>
      </w:r>
      <w:hyperlink w:anchor="fig-study1-bags-sensitivity">
        <w:r>
          <w:rPr>
            <w:rStyle w:val="Hyperlink"/>
          </w:rPr>
          <w:t>Figure 1</w:t>
        </w:r>
      </w:hyperlink>
      <w:r>
        <w:rPr/>
        <w:t xml:space="preserve">; </w:t>
      </w:r>
      <w:hyperlink w:anchor="tbl-num-bags-descriptive">
        <w:r>
          <w:rPr>
            <w:rStyle w:val="Hyperlink"/>
          </w:rPr>
          <w:t>Table 3</w:t>
        </w:r>
      </w:hyperlink>
      <w:r>
        <w:rPr/>
        <w:t xml:space="preserve">). Gemini 3.1 Pro reduced diagnostic acquisition from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5.55</m:t>
        </m:r>
      </m:oMath>
      <w:r>
        <w:rPr/>
        <w:t xml:space="preserve"> to </w:t>
      </w:r>
      <w:r>
        <w:rPr/>
      </w:r>
      <m:oMath xmlns:m="http://schemas.openxmlformats.org/officeDocument/2006/math">
        <m:r>
          <w:rPr>
            <w:rFonts w:ascii="Cambria Math" w:hAnsi="Cambria Math"/>
          </w:rPr>
          <m:t xml:space="preserve">4.22</m:t>
        </m:r>
      </m:oMath>
      <w:r>
        <w:rPr/>
        <w:t xml:space="preserve"> (cents: 1.81 to 1.30; weight: 1.74 to 0.92) and optimality from .80 to .35. Gemini 3.5 Flash Lite retained cents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2.00</m:t>
        </m:r>
      </m:oMath>
      <w:r>
        <w:rPr/>
        <w:t>) but reduced weight acquisitions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1.82</m:t>
        </m:r>
      </m:oMath>
      <w:r>
        <w:rPr/>
        <w:t xml:space="preserve"> to </w:t>
      </w:r>
      <w:r>
        <w:rPr/>
      </w:r>
      <m:oMath xmlns:m="http://schemas.openxmlformats.org/officeDocument/2006/math">
        <m:r>
          <w:rPr>
            <w:rFonts w:ascii="Cambria Math" w:hAnsi="Cambria Math"/>
          </w:rPr>
          <m:t xml:space="preserve">1.30</m:t>
        </m:r>
      </m:oMath>
      <w:r>
        <w:rPr/>
        <w:t>), diagnostic acquisition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5.77</m:t>
        </m:r>
      </m:oMath>
      <w:r>
        <w:rPr/>
        <w:t xml:space="preserve"> to </w:t>
      </w:r>
      <w:r>
        <w:rPr/>
      </w:r>
      <m:oMath xmlns:m="http://schemas.openxmlformats.org/officeDocument/2006/math">
        <m:r>
          <w:rPr>
            <w:rFonts w:ascii="Cambria Math" w:hAnsi="Cambria Math"/>
          </w:rPr>
          <m:t xml:space="preserve">5.30</m:t>
        </m:r>
      </m:oMath>
      <w:r>
        <w:rPr/>
        <w:t>) and optimality from .62 to .37. Scaling purchase volume thus exacerbated optimality failures.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3: Count of cents, weight, dollars, diagnostic and non-diagnostic attributes, and choice optimality proportion for different purchase volume (number of bags)</w:t>
            </w:r>
          </w:p>
          <w:tbl>
            <w:tblPr>
              <w:tblStyle w:val="APATable"/>
              <w:tblW w:w="465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226"/>
              <w:gridCol w:w="663"/>
              <w:gridCol w:w="756"/>
              <w:gridCol w:w="847"/>
              <w:gridCol w:w="948"/>
              <w:gridCol w:w="1228"/>
              <w:gridCol w:w="1607"/>
              <w:gridCol w:w="1228"/>
            </w:tblGrid>
            <w:tr>
              <w:trPr>
                <w:tblHeader w:val="true"/>
              </w:trPr>
              <w:tc>
                <w:tcPr>
                  <w:tcW w:w="1226" w:type="dxa"/>
                  <w:tcBorders/>
                  <w:vAlign w:val="center"/>
                </w:tcPr>
                <w:p>
                  <w:pPr>
                    <w:pStyle w:val="Compact"/>
                    <w:spacing w:before="36" w:after="36"/>
                    <w:jc w:val="center"/>
                    <w:rPr>
                      <w:b w:val="false"/>
                    </w:rPr>
                  </w:pPr>
                  <w:r>
                    <w:rPr>
                      <w:b w:val="false"/>
                    </w:rPr>
                    <w:t>LLM</w:t>
                  </w:r>
                </w:p>
              </w:tc>
              <w:tc>
                <w:tcPr>
                  <w:tcW w:w="663" w:type="dxa"/>
                  <w:tcBorders/>
                  <w:vAlign w:val="center"/>
                </w:tcPr>
                <w:p>
                  <w:pPr>
                    <w:pStyle w:val="Compact"/>
                    <w:spacing w:before="36" w:after="36"/>
                    <w:jc w:val="center"/>
                    <w:rPr>
                      <w:b w:val="false"/>
                    </w:rPr>
                  </w:pPr>
                  <w:r>
                    <w:rPr>
                      <w:b w:val="false"/>
                    </w:rPr>
                    <w:t>Bags</w:t>
                  </w:r>
                </w:p>
              </w:tc>
              <w:tc>
                <w:tcPr>
                  <w:tcW w:w="756" w:type="dxa"/>
                  <w:tcBorders/>
                  <w:vAlign w:val="center"/>
                </w:tcPr>
                <w:p>
                  <w:pPr>
                    <w:pStyle w:val="Compact"/>
                    <w:spacing w:before="36" w:after="36"/>
                    <w:jc w:val="center"/>
                    <w:rPr>
                      <w:b w:val="false"/>
                    </w:rPr>
                  </w:pPr>
                  <w:r>
                    <w:rPr>
                      <w:b w:val="false"/>
                    </w:rPr>
                    <w:t>Cents</w:t>
                  </w:r>
                </w:p>
              </w:tc>
              <w:tc>
                <w:tcPr>
                  <w:tcW w:w="847" w:type="dxa"/>
                  <w:tcBorders/>
                  <w:vAlign w:val="center"/>
                </w:tcPr>
                <w:p>
                  <w:pPr>
                    <w:pStyle w:val="Compact"/>
                    <w:spacing w:before="36" w:after="36"/>
                    <w:jc w:val="center"/>
                    <w:rPr>
                      <w:b w:val="false"/>
                    </w:rPr>
                  </w:pPr>
                  <w:r>
                    <w:rPr>
                      <w:b w:val="false"/>
                    </w:rPr>
                    <w:t>Weight</w:t>
                  </w:r>
                </w:p>
              </w:tc>
              <w:tc>
                <w:tcPr>
                  <w:tcW w:w="948" w:type="dxa"/>
                  <w:tcBorders/>
                  <w:vAlign w:val="center"/>
                </w:tcPr>
                <w:p>
                  <w:pPr>
                    <w:pStyle w:val="Compact"/>
                    <w:spacing w:before="36" w:after="36"/>
                    <w:jc w:val="center"/>
                    <w:rPr>
                      <w:b w:val="false"/>
                    </w:rPr>
                  </w:pPr>
                  <w:r>
                    <w:rPr>
                      <w:b w:val="false"/>
                    </w:rPr>
                    <w:t>Dollars</w:t>
                  </w:r>
                </w:p>
              </w:tc>
              <w:tc>
                <w:tcPr>
                  <w:tcW w:w="1228" w:type="dxa"/>
                  <w:tcBorders/>
                  <w:vAlign w:val="center"/>
                </w:tcPr>
                <w:p>
                  <w:pPr>
                    <w:pStyle w:val="Compact"/>
                    <w:spacing w:before="36" w:after="36"/>
                    <w:jc w:val="center"/>
                    <w:rPr>
                      <w:b w:val="false"/>
                    </w:rPr>
                  </w:pPr>
                  <w:r>
                    <w:rPr>
                      <w:b w:val="false"/>
                    </w:rPr>
                    <w:t>Diagnostic</w:t>
                  </w:r>
                </w:p>
              </w:tc>
              <w:tc>
                <w:tcPr>
                  <w:tcW w:w="1607" w:type="dxa"/>
                  <w:tcBorders/>
                  <w:vAlign w:val="center"/>
                </w:tcPr>
                <w:p>
                  <w:pPr>
                    <w:pStyle w:val="Compact"/>
                    <w:spacing w:before="36" w:after="36"/>
                    <w:jc w:val="center"/>
                    <w:rPr>
                      <w:b w:val="false"/>
                    </w:rPr>
                  </w:pPr>
                  <w:r>
                    <w:rPr>
                      <w:b w:val="false"/>
                    </w:rPr>
                    <w:t>Non-diagnostic</w:t>
                  </w:r>
                </w:p>
              </w:tc>
              <w:tc>
                <w:tcPr>
                  <w:tcW w:w="1228" w:type="dxa"/>
                  <w:tcBorders/>
                  <w:vAlign w:val="center"/>
                </w:tcPr>
                <w:p>
                  <w:pPr>
                    <w:pStyle w:val="Compact"/>
                    <w:spacing w:before="36" w:after="36"/>
                    <w:jc w:val="center"/>
                    <w:rPr>
                      <w:b w:val="false"/>
                    </w:rPr>
                  </w:pPr>
                  <w:r>
                    <w:rPr>
                      <w:b w:val="false"/>
                    </w:rPr>
                    <w:t>Optimality</w:t>
                  </w:r>
                </w:p>
              </w:tc>
            </w:tr>
            <w:tr>
              <w:trPr/>
              <w:tc>
                <w:tcPr>
                  <w:tcW w:w="1226" w:type="dxa"/>
                  <w:tcBorders>
                    <w:top w:val="nil"/>
                    <w:bottom w:val="nil"/>
                  </w:tcBorders>
                  <w:vAlign w:val="center"/>
                </w:tcPr>
                <w:p>
                  <w:pPr>
                    <w:pStyle w:val="Compact"/>
                    <w:spacing w:before="36" w:after="36"/>
                    <w:jc w:val="center"/>
                    <w:rPr/>
                  </w:pPr>
                  <w:r>
                    <w:rPr/>
                    <w:t>Flash Lite</w:t>
                  </w:r>
                </w:p>
              </w:tc>
              <w:tc>
                <w:tcPr>
                  <w:tcW w:w="663" w:type="dxa"/>
                  <w:tcBorders>
                    <w:top w:val="nil"/>
                    <w:bottom w:val="nil"/>
                  </w:tcBorders>
                  <w:vAlign w:val="center"/>
                </w:tcPr>
                <w:p>
                  <w:pPr>
                    <w:pStyle w:val="Compact"/>
                    <w:spacing w:before="36" w:after="36"/>
                    <w:jc w:val="center"/>
                    <w:rPr/>
                  </w:pPr>
                  <w:r>
                    <w:rPr/>
                    <w:t>1</w:t>
                  </w:r>
                </w:p>
              </w:tc>
              <w:tc>
                <w:tcPr>
                  <w:tcW w:w="756" w:type="dxa"/>
                  <w:tcBorders>
                    <w:top w:val="nil"/>
                    <w:bottom w:val="nil"/>
                  </w:tcBorders>
                  <w:vAlign w:val="center"/>
                </w:tcPr>
                <w:p>
                  <w:pPr>
                    <w:pStyle w:val="Compact"/>
                    <w:spacing w:before="36" w:after="36"/>
                    <w:jc w:val="center"/>
                    <w:rPr/>
                  </w:pPr>
                  <w:r>
                    <w:rPr/>
                    <w:t>1.95</w:t>
                  </w:r>
                </w:p>
              </w:tc>
              <w:tc>
                <w:tcPr>
                  <w:tcW w:w="847" w:type="dxa"/>
                  <w:tcBorders>
                    <w:top w:val="nil"/>
                    <w:bottom w:val="nil"/>
                  </w:tcBorders>
                  <w:vAlign w:val="center"/>
                </w:tcPr>
                <w:p>
                  <w:pPr>
                    <w:pStyle w:val="Compact"/>
                    <w:spacing w:before="36" w:after="36"/>
                    <w:jc w:val="center"/>
                    <w:rPr/>
                  </w:pPr>
                  <w:r>
                    <w:rPr/>
                    <w:t>1.82</w:t>
                  </w:r>
                </w:p>
              </w:tc>
              <w:tc>
                <w:tcPr>
                  <w:tcW w:w="948" w:type="dxa"/>
                  <w:tcBorders>
                    <w:top w:val="nil"/>
                    <w:bottom w:val="nil"/>
                  </w:tcBorders>
                  <w:vAlign w:val="center"/>
                </w:tcPr>
                <w:p>
                  <w:pPr>
                    <w:pStyle w:val="Compact"/>
                    <w:spacing w:before="36" w:after="36"/>
                    <w:jc w:val="center"/>
                    <w:rPr/>
                  </w:pPr>
                  <w:r>
                    <w:rPr/>
                    <w:t>2.00</w:t>
                  </w:r>
                </w:p>
              </w:tc>
              <w:tc>
                <w:tcPr>
                  <w:tcW w:w="1228" w:type="dxa"/>
                  <w:tcBorders>
                    <w:top w:val="nil"/>
                    <w:bottom w:val="nil"/>
                  </w:tcBorders>
                  <w:vAlign w:val="center"/>
                </w:tcPr>
                <w:p>
                  <w:pPr>
                    <w:pStyle w:val="Compact"/>
                    <w:spacing w:before="36" w:after="36"/>
                    <w:jc w:val="center"/>
                    <w:rPr/>
                  </w:pPr>
                  <w:r>
                    <w:rPr/>
                    <w:t>5.77</w:t>
                  </w:r>
                </w:p>
              </w:tc>
              <w:tc>
                <w:tcPr>
                  <w:tcW w:w="1607" w:type="dxa"/>
                  <w:tcBorders>
                    <w:top w:val="nil"/>
                    <w:bottom w:val="nil"/>
                  </w:tcBorders>
                  <w:vAlign w:val="center"/>
                </w:tcPr>
                <w:p>
                  <w:pPr>
                    <w:pStyle w:val="Compact"/>
                    <w:spacing w:before="36" w:after="36"/>
                    <w:jc w:val="center"/>
                    <w:rPr/>
                  </w:pPr>
                  <w:r>
                    <w:rPr/>
                    <w:t>0.04</w:t>
                  </w:r>
                </w:p>
              </w:tc>
              <w:tc>
                <w:tcPr>
                  <w:tcW w:w="1228" w:type="dxa"/>
                  <w:tcBorders>
                    <w:top w:val="nil"/>
                    <w:bottom w:val="nil"/>
                  </w:tcBorders>
                  <w:vAlign w:val="center"/>
                </w:tcPr>
                <w:p>
                  <w:pPr>
                    <w:pStyle w:val="Compact"/>
                    <w:spacing w:before="36" w:after="36"/>
                    <w:jc w:val="center"/>
                    <w:rPr/>
                  </w:pPr>
                  <w:r>
                    <w:rPr/>
                    <w:t>0.62</w:t>
                  </w:r>
                </w:p>
              </w:tc>
            </w:tr>
            <w:tr>
              <w:trPr/>
              <w:tc>
                <w:tcPr>
                  <w:tcW w:w="1226" w:type="dxa"/>
                  <w:tcBorders>
                    <w:top w:val="nil"/>
                    <w:bottom w:val="nil"/>
                  </w:tcBorders>
                  <w:vAlign w:val="center"/>
                </w:tcPr>
                <w:p>
                  <w:pPr>
                    <w:pStyle w:val="Compact"/>
                    <w:spacing w:before="36" w:after="36"/>
                    <w:jc w:val="center"/>
                    <w:rPr/>
                  </w:pPr>
                  <w:r>
                    <w:rPr/>
                    <w:t>Flash Lite</w:t>
                  </w:r>
                </w:p>
              </w:tc>
              <w:tc>
                <w:tcPr>
                  <w:tcW w:w="663" w:type="dxa"/>
                  <w:tcBorders>
                    <w:top w:val="nil"/>
                    <w:bottom w:val="nil"/>
                  </w:tcBorders>
                  <w:vAlign w:val="center"/>
                </w:tcPr>
                <w:p>
                  <w:pPr>
                    <w:pStyle w:val="Compact"/>
                    <w:spacing w:before="36" w:after="36"/>
                    <w:jc w:val="center"/>
                    <w:rPr/>
                  </w:pPr>
                  <w:r>
                    <w:rPr/>
                    <w:t>5</w:t>
                  </w:r>
                </w:p>
              </w:tc>
              <w:tc>
                <w:tcPr>
                  <w:tcW w:w="756" w:type="dxa"/>
                  <w:tcBorders>
                    <w:top w:val="nil"/>
                    <w:bottom w:val="nil"/>
                  </w:tcBorders>
                  <w:vAlign w:val="center"/>
                </w:tcPr>
                <w:p>
                  <w:pPr>
                    <w:pStyle w:val="Compact"/>
                    <w:spacing w:before="36" w:after="36"/>
                    <w:jc w:val="center"/>
                    <w:rPr/>
                  </w:pPr>
                  <w:r>
                    <w:rPr/>
                    <w:t>2.00</w:t>
                  </w:r>
                </w:p>
              </w:tc>
              <w:tc>
                <w:tcPr>
                  <w:tcW w:w="847" w:type="dxa"/>
                  <w:tcBorders>
                    <w:top w:val="nil"/>
                    <w:bottom w:val="nil"/>
                  </w:tcBorders>
                  <w:vAlign w:val="center"/>
                </w:tcPr>
                <w:p>
                  <w:pPr>
                    <w:pStyle w:val="Compact"/>
                    <w:spacing w:before="36" w:after="36"/>
                    <w:jc w:val="center"/>
                    <w:rPr/>
                  </w:pPr>
                  <w:r>
                    <w:rPr/>
                    <w:t>1.54</w:t>
                  </w:r>
                </w:p>
              </w:tc>
              <w:tc>
                <w:tcPr>
                  <w:tcW w:w="948" w:type="dxa"/>
                  <w:tcBorders>
                    <w:top w:val="nil"/>
                    <w:bottom w:val="nil"/>
                  </w:tcBorders>
                  <w:vAlign w:val="center"/>
                </w:tcPr>
                <w:p>
                  <w:pPr>
                    <w:pStyle w:val="Compact"/>
                    <w:spacing w:before="36" w:after="36"/>
                    <w:jc w:val="center"/>
                    <w:rPr/>
                  </w:pPr>
                  <w:r>
                    <w:rPr/>
                    <w:t>2.00</w:t>
                  </w:r>
                </w:p>
              </w:tc>
              <w:tc>
                <w:tcPr>
                  <w:tcW w:w="1228" w:type="dxa"/>
                  <w:tcBorders>
                    <w:top w:val="nil"/>
                    <w:bottom w:val="nil"/>
                  </w:tcBorders>
                  <w:vAlign w:val="center"/>
                </w:tcPr>
                <w:p>
                  <w:pPr>
                    <w:pStyle w:val="Compact"/>
                    <w:spacing w:before="36" w:after="36"/>
                    <w:jc w:val="center"/>
                    <w:rPr/>
                  </w:pPr>
                  <w:r>
                    <w:rPr/>
                    <w:t>5.54</w:t>
                  </w:r>
                </w:p>
              </w:tc>
              <w:tc>
                <w:tcPr>
                  <w:tcW w:w="1607" w:type="dxa"/>
                  <w:tcBorders>
                    <w:top w:val="nil"/>
                    <w:bottom w:val="nil"/>
                  </w:tcBorders>
                  <w:vAlign w:val="center"/>
                </w:tcPr>
                <w:p>
                  <w:pPr>
                    <w:pStyle w:val="Compact"/>
                    <w:spacing w:before="36" w:after="36"/>
                    <w:jc w:val="center"/>
                    <w:rPr/>
                  </w:pPr>
                  <w:r>
                    <w:rPr/>
                    <w:t>0.06</w:t>
                  </w:r>
                </w:p>
              </w:tc>
              <w:tc>
                <w:tcPr>
                  <w:tcW w:w="1228" w:type="dxa"/>
                  <w:tcBorders>
                    <w:top w:val="nil"/>
                    <w:bottom w:val="nil"/>
                  </w:tcBorders>
                  <w:vAlign w:val="center"/>
                </w:tcPr>
                <w:p>
                  <w:pPr>
                    <w:pStyle w:val="Compact"/>
                    <w:spacing w:before="36" w:after="36"/>
                    <w:jc w:val="center"/>
                    <w:rPr/>
                  </w:pPr>
                  <w:r>
                    <w:rPr/>
                    <w:t>0.47</w:t>
                  </w:r>
                </w:p>
              </w:tc>
            </w:tr>
            <w:tr>
              <w:trPr/>
              <w:tc>
                <w:tcPr>
                  <w:tcW w:w="1226" w:type="dxa"/>
                  <w:tcBorders>
                    <w:top w:val="nil"/>
                    <w:bottom w:val="nil"/>
                  </w:tcBorders>
                  <w:vAlign w:val="center"/>
                </w:tcPr>
                <w:p>
                  <w:pPr>
                    <w:pStyle w:val="Compact"/>
                    <w:spacing w:before="36" w:after="36"/>
                    <w:jc w:val="center"/>
                    <w:rPr/>
                  </w:pPr>
                  <w:r>
                    <w:rPr/>
                    <w:t>Flash Lite</w:t>
                  </w:r>
                </w:p>
              </w:tc>
              <w:tc>
                <w:tcPr>
                  <w:tcW w:w="663" w:type="dxa"/>
                  <w:tcBorders>
                    <w:top w:val="nil"/>
                    <w:bottom w:val="nil"/>
                  </w:tcBorders>
                  <w:vAlign w:val="center"/>
                </w:tcPr>
                <w:p>
                  <w:pPr>
                    <w:pStyle w:val="Compact"/>
                    <w:spacing w:before="36" w:after="36"/>
                    <w:jc w:val="center"/>
                    <w:rPr/>
                  </w:pPr>
                  <w:r>
                    <w:rPr/>
                    <w:t>50</w:t>
                  </w:r>
                </w:p>
              </w:tc>
              <w:tc>
                <w:tcPr>
                  <w:tcW w:w="756" w:type="dxa"/>
                  <w:tcBorders>
                    <w:top w:val="nil"/>
                    <w:bottom w:val="nil"/>
                  </w:tcBorders>
                  <w:vAlign w:val="center"/>
                </w:tcPr>
                <w:p>
                  <w:pPr>
                    <w:pStyle w:val="Compact"/>
                    <w:spacing w:before="36" w:after="36"/>
                    <w:jc w:val="center"/>
                    <w:rPr/>
                  </w:pPr>
                  <w:r>
                    <w:rPr/>
                    <w:t>2.00</w:t>
                  </w:r>
                </w:p>
              </w:tc>
              <w:tc>
                <w:tcPr>
                  <w:tcW w:w="847" w:type="dxa"/>
                  <w:tcBorders>
                    <w:top w:val="nil"/>
                    <w:bottom w:val="nil"/>
                  </w:tcBorders>
                  <w:vAlign w:val="center"/>
                </w:tcPr>
                <w:p>
                  <w:pPr>
                    <w:pStyle w:val="Compact"/>
                    <w:spacing w:before="36" w:after="36"/>
                    <w:jc w:val="center"/>
                    <w:rPr/>
                  </w:pPr>
                  <w:r>
                    <w:rPr/>
                    <w:t>1.42</w:t>
                  </w:r>
                </w:p>
              </w:tc>
              <w:tc>
                <w:tcPr>
                  <w:tcW w:w="948" w:type="dxa"/>
                  <w:tcBorders>
                    <w:top w:val="nil"/>
                    <w:bottom w:val="nil"/>
                  </w:tcBorders>
                  <w:vAlign w:val="center"/>
                </w:tcPr>
                <w:p>
                  <w:pPr>
                    <w:pStyle w:val="Compact"/>
                    <w:spacing w:before="36" w:after="36"/>
                    <w:jc w:val="center"/>
                    <w:rPr/>
                  </w:pPr>
                  <w:r>
                    <w:rPr/>
                    <w:t>2.00</w:t>
                  </w:r>
                </w:p>
              </w:tc>
              <w:tc>
                <w:tcPr>
                  <w:tcW w:w="1228" w:type="dxa"/>
                  <w:tcBorders>
                    <w:top w:val="nil"/>
                    <w:bottom w:val="nil"/>
                  </w:tcBorders>
                  <w:vAlign w:val="center"/>
                </w:tcPr>
                <w:p>
                  <w:pPr>
                    <w:pStyle w:val="Compact"/>
                    <w:spacing w:before="36" w:after="36"/>
                    <w:jc w:val="center"/>
                    <w:rPr/>
                  </w:pPr>
                  <w:r>
                    <w:rPr/>
                    <w:t>5.42</w:t>
                  </w:r>
                </w:p>
              </w:tc>
              <w:tc>
                <w:tcPr>
                  <w:tcW w:w="1607" w:type="dxa"/>
                  <w:tcBorders>
                    <w:top w:val="nil"/>
                    <w:bottom w:val="nil"/>
                  </w:tcBorders>
                  <w:vAlign w:val="center"/>
                </w:tcPr>
                <w:p>
                  <w:pPr>
                    <w:pStyle w:val="Compact"/>
                    <w:spacing w:before="36" w:after="36"/>
                    <w:jc w:val="center"/>
                    <w:rPr/>
                  </w:pPr>
                  <w:r>
                    <w:rPr/>
                    <w:t>0.06</w:t>
                  </w:r>
                </w:p>
              </w:tc>
              <w:tc>
                <w:tcPr>
                  <w:tcW w:w="1228" w:type="dxa"/>
                  <w:tcBorders>
                    <w:top w:val="nil"/>
                    <w:bottom w:val="nil"/>
                  </w:tcBorders>
                  <w:vAlign w:val="center"/>
                </w:tcPr>
                <w:p>
                  <w:pPr>
                    <w:pStyle w:val="Compact"/>
                    <w:spacing w:before="36" w:after="36"/>
                    <w:jc w:val="center"/>
                    <w:rPr/>
                  </w:pPr>
                  <w:r>
                    <w:rPr/>
                    <w:t>0.50</w:t>
                  </w:r>
                </w:p>
              </w:tc>
            </w:tr>
            <w:tr>
              <w:trPr/>
              <w:tc>
                <w:tcPr>
                  <w:tcW w:w="1226" w:type="dxa"/>
                  <w:tcBorders>
                    <w:top w:val="nil"/>
                    <w:bottom w:val="nil"/>
                  </w:tcBorders>
                  <w:vAlign w:val="center"/>
                </w:tcPr>
                <w:p>
                  <w:pPr>
                    <w:pStyle w:val="Compact"/>
                    <w:spacing w:before="36" w:after="36"/>
                    <w:jc w:val="center"/>
                    <w:rPr/>
                  </w:pPr>
                  <w:r>
                    <w:rPr/>
                    <w:t>Flash Lite</w:t>
                  </w:r>
                </w:p>
              </w:tc>
              <w:tc>
                <w:tcPr>
                  <w:tcW w:w="663" w:type="dxa"/>
                  <w:tcBorders>
                    <w:top w:val="nil"/>
                    <w:bottom w:val="nil"/>
                  </w:tcBorders>
                  <w:vAlign w:val="center"/>
                </w:tcPr>
                <w:p>
                  <w:pPr>
                    <w:pStyle w:val="Compact"/>
                    <w:spacing w:before="36" w:after="36"/>
                    <w:jc w:val="center"/>
                    <w:rPr/>
                  </w:pPr>
                  <w:r>
                    <w:rPr/>
                    <w:t>250</w:t>
                  </w:r>
                </w:p>
              </w:tc>
              <w:tc>
                <w:tcPr>
                  <w:tcW w:w="756" w:type="dxa"/>
                  <w:tcBorders>
                    <w:top w:val="nil"/>
                    <w:bottom w:val="nil"/>
                  </w:tcBorders>
                  <w:vAlign w:val="center"/>
                </w:tcPr>
                <w:p>
                  <w:pPr>
                    <w:pStyle w:val="Compact"/>
                    <w:spacing w:before="36" w:after="36"/>
                    <w:jc w:val="center"/>
                    <w:rPr/>
                  </w:pPr>
                  <w:r>
                    <w:rPr/>
                    <w:t>2.00</w:t>
                  </w:r>
                </w:p>
              </w:tc>
              <w:tc>
                <w:tcPr>
                  <w:tcW w:w="847" w:type="dxa"/>
                  <w:tcBorders>
                    <w:top w:val="nil"/>
                    <w:bottom w:val="nil"/>
                  </w:tcBorders>
                  <w:vAlign w:val="center"/>
                </w:tcPr>
                <w:p>
                  <w:pPr>
                    <w:pStyle w:val="Compact"/>
                    <w:spacing w:before="36" w:after="36"/>
                    <w:jc w:val="center"/>
                    <w:rPr/>
                  </w:pPr>
                  <w:r>
                    <w:rPr/>
                    <w:t>1.30</w:t>
                  </w:r>
                </w:p>
              </w:tc>
              <w:tc>
                <w:tcPr>
                  <w:tcW w:w="948" w:type="dxa"/>
                  <w:tcBorders>
                    <w:top w:val="nil"/>
                    <w:bottom w:val="nil"/>
                  </w:tcBorders>
                  <w:vAlign w:val="center"/>
                </w:tcPr>
                <w:p>
                  <w:pPr>
                    <w:pStyle w:val="Compact"/>
                    <w:spacing w:before="36" w:after="36"/>
                    <w:jc w:val="center"/>
                    <w:rPr/>
                  </w:pPr>
                  <w:r>
                    <w:rPr/>
                    <w:t>2.00</w:t>
                  </w:r>
                </w:p>
              </w:tc>
              <w:tc>
                <w:tcPr>
                  <w:tcW w:w="1228" w:type="dxa"/>
                  <w:tcBorders>
                    <w:top w:val="nil"/>
                    <w:bottom w:val="nil"/>
                  </w:tcBorders>
                  <w:vAlign w:val="center"/>
                </w:tcPr>
                <w:p>
                  <w:pPr>
                    <w:pStyle w:val="Compact"/>
                    <w:spacing w:before="36" w:after="36"/>
                    <w:jc w:val="center"/>
                    <w:rPr/>
                  </w:pPr>
                  <w:r>
                    <w:rPr/>
                    <w:t>5.30</w:t>
                  </w:r>
                </w:p>
              </w:tc>
              <w:tc>
                <w:tcPr>
                  <w:tcW w:w="1607" w:type="dxa"/>
                  <w:tcBorders>
                    <w:top w:val="nil"/>
                    <w:bottom w:val="nil"/>
                  </w:tcBorders>
                  <w:vAlign w:val="center"/>
                </w:tcPr>
                <w:p>
                  <w:pPr>
                    <w:pStyle w:val="Compact"/>
                    <w:spacing w:before="36" w:after="36"/>
                    <w:jc w:val="center"/>
                    <w:rPr/>
                  </w:pPr>
                  <w:r>
                    <w:rPr/>
                    <w:t>0.04</w:t>
                  </w:r>
                </w:p>
              </w:tc>
              <w:tc>
                <w:tcPr>
                  <w:tcW w:w="1228" w:type="dxa"/>
                  <w:tcBorders>
                    <w:top w:val="nil"/>
                    <w:bottom w:val="nil"/>
                  </w:tcBorders>
                  <w:vAlign w:val="center"/>
                </w:tcPr>
                <w:p>
                  <w:pPr>
                    <w:pStyle w:val="Compact"/>
                    <w:spacing w:before="36" w:after="36"/>
                    <w:jc w:val="center"/>
                    <w:rPr/>
                  </w:pPr>
                  <w:r>
                    <w:rPr/>
                    <w:t>0.37</w:t>
                  </w:r>
                </w:p>
              </w:tc>
            </w:tr>
            <w:tr>
              <w:trPr/>
              <w:tc>
                <w:tcPr>
                  <w:tcW w:w="1226" w:type="dxa"/>
                  <w:tcBorders>
                    <w:top w:val="nil"/>
                    <w:bottom w:val="nil"/>
                  </w:tcBorders>
                  <w:vAlign w:val="center"/>
                </w:tcPr>
                <w:p>
                  <w:pPr>
                    <w:pStyle w:val="Compact"/>
                    <w:spacing w:before="36" w:after="36"/>
                    <w:jc w:val="center"/>
                    <w:rPr/>
                  </w:pPr>
                  <w:r>
                    <w:rPr/>
                    <w:t>Flash</w:t>
                  </w:r>
                </w:p>
              </w:tc>
              <w:tc>
                <w:tcPr>
                  <w:tcW w:w="663" w:type="dxa"/>
                  <w:tcBorders>
                    <w:top w:val="nil"/>
                    <w:bottom w:val="nil"/>
                  </w:tcBorders>
                  <w:vAlign w:val="center"/>
                </w:tcPr>
                <w:p>
                  <w:pPr>
                    <w:pStyle w:val="Compact"/>
                    <w:spacing w:before="36" w:after="36"/>
                    <w:jc w:val="center"/>
                    <w:rPr/>
                  </w:pPr>
                  <w:r>
                    <w:rPr/>
                    <w:t>1</w:t>
                  </w:r>
                </w:p>
              </w:tc>
              <w:tc>
                <w:tcPr>
                  <w:tcW w:w="756" w:type="dxa"/>
                  <w:tcBorders>
                    <w:top w:val="nil"/>
                    <w:bottom w:val="nil"/>
                  </w:tcBorders>
                  <w:vAlign w:val="center"/>
                </w:tcPr>
                <w:p>
                  <w:pPr>
                    <w:pStyle w:val="Compact"/>
                    <w:spacing w:before="36" w:after="36"/>
                    <w:jc w:val="center"/>
                    <w:rPr/>
                  </w:pPr>
                  <w:r>
                    <w:rPr/>
                    <w:t>2.00</w:t>
                  </w:r>
                </w:p>
              </w:tc>
              <w:tc>
                <w:tcPr>
                  <w:tcW w:w="847" w:type="dxa"/>
                  <w:tcBorders>
                    <w:top w:val="nil"/>
                    <w:bottom w:val="nil"/>
                  </w:tcBorders>
                  <w:vAlign w:val="center"/>
                </w:tcPr>
                <w:p>
                  <w:pPr>
                    <w:pStyle w:val="Compact"/>
                    <w:spacing w:before="36" w:after="36"/>
                    <w:jc w:val="center"/>
                    <w:rPr/>
                  </w:pPr>
                  <w:r>
                    <w:rPr/>
                    <w:t>2.00</w:t>
                  </w:r>
                </w:p>
              </w:tc>
              <w:tc>
                <w:tcPr>
                  <w:tcW w:w="948" w:type="dxa"/>
                  <w:tcBorders>
                    <w:top w:val="nil"/>
                    <w:bottom w:val="nil"/>
                  </w:tcBorders>
                  <w:vAlign w:val="center"/>
                </w:tcPr>
                <w:p>
                  <w:pPr>
                    <w:pStyle w:val="Compact"/>
                    <w:spacing w:before="36" w:after="36"/>
                    <w:jc w:val="center"/>
                    <w:rPr/>
                  </w:pPr>
                  <w:r>
                    <w:rPr/>
                    <w:t>2.00</w:t>
                  </w:r>
                </w:p>
              </w:tc>
              <w:tc>
                <w:tcPr>
                  <w:tcW w:w="1228" w:type="dxa"/>
                  <w:tcBorders>
                    <w:top w:val="nil"/>
                    <w:bottom w:val="nil"/>
                  </w:tcBorders>
                  <w:vAlign w:val="center"/>
                </w:tcPr>
                <w:p>
                  <w:pPr>
                    <w:pStyle w:val="Compact"/>
                    <w:spacing w:before="36" w:after="36"/>
                    <w:jc w:val="center"/>
                    <w:rPr/>
                  </w:pPr>
                  <w:r>
                    <w:rPr/>
                    <w:t>6.00</w:t>
                  </w:r>
                </w:p>
              </w:tc>
              <w:tc>
                <w:tcPr>
                  <w:tcW w:w="1607" w:type="dxa"/>
                  <w:tcBorders>
                    <w:top w:val="nil"/>
                    <w:bottom w:val="nil"/>
                  </w:tcBorders>
                  <w:vAlign w:val="center"/>
                </w:tcPr>
                <w:p>
                  <w:pPr>
                    <w:pStyle w:val="Compact"/>
                    <w:spacing w:before="36" w:after="36"/>
                    <w:jc w:val="center"/>
                    <w:rPr/>
                  </w:pPr>
                  <w:r>
                    <w:rPr/>
                    <w:t>7.68</w:t>
                  </w:r>
                </w:p>
              </w:tc>
              <w:tc>
                <w:tcPr>
                  <w:tcW w:w="1228" w:type="dxa"/>
                  <w:tcBorders>
                    <w:top w:val="nil"/>
                    <w:bottom w:val="nil"/>
                  </w:tcBorders>
                  <w:vAlign w:val="center"/>
                </w:tcPr>
                <w:p>
                  <w:pPr>
                    <w:pStyle w:val="Compact"/>
                    <w:spacing w:before="36" w:after="36"/>
                    <w:jc w:val="center"/>
                    <w:rPr/>
                  </w:pPr>
                  <w:r>
                    <w:rPr/>
                    <w:t>1.00</w:t>
                  </w:r>
                </w:p>
              </w:tc>
            </w:tr>
            <w:tr>
              <w:trPr/>
              <w:tc>
                <w:tcPr>
                  <w:tcW w:w="1226" w:type="dxa"/>
                  <w:tcBorders>
                    <w:top w:val="nil"/>
                    <w:bottom w:val="nil"/>
                  </w:tcBorders>
                  <w:vAlign w:val="center"/>
                </w:tcPr>
                <w:p>
                  <w:pPr>
                    <w:pStyle w:val="Compact"/>
                    <w:spacing w:before="36" w:after="36"/>
                    <w:jc w:val="center"/>
                    <w:rPr/>
                  </w:pPr>
                  <w:r>
                    <w:rPr/>
                    <w:t>Flash</w:t>
                  </w:r>
                </w:p>
              </w:tc>
              <w:tc>
                <w:tcPr>
                  <w:tcW w:w="663" w:type="dxa"/>
                  <w:tcBorders>
                    <w:top w:val="nil"/>
                    <w:bottom w:val="nil"/>
                  </w:tcBorders>
                  <w:vAlign w:val="center"/>
                </w:tcPr>
                <w:p>
                  <w:pPr>
                    <w:pStyle w:val="Compact"/>
                    <w:spacing w:before="36" w:after="36"/>
                    <w:jc w:val="center"/>
                    <w:rPr/>
                  </w:pPr>
                  <w:r>
                    <w:rPr/>
                    <w:t>5</w:t>
                  </w:r>
                </w:p>
              </w:tc>
              <w:tc>
                <w:tcPr>
                  <w:tcW w:w="756" w:type="dxa"/>
                  <w:tcBorders>
                    <w:top w:val="nil"/>
                    <w:bottom w:val="nil"/>
                  </w:tcBorders>
                  <w:vAlign w:val="center"/>
                </w:tcPr>
                <w:p>
                  <w:pPr>
                    <w:pStyle w:val="Compact"/>
                    <w:spacing w:before="36" w:after="36"/>
                    <w:jc w:val="center"/>
                    <w:rPr/>
                  </w:pPr>
                  <w:r>
                    <w:rPr/>
                    <w:t>2.00</w:t>
                  </w:r>
                </w:p>
              </w:tc>
              <w:tc>
                <w:tcPr>
                  <w:tcW w:w="847" w:type="dxa"/>
                  <w:tcBorders>
                    <w:top w:val="nil"/>
                    <w:bottom w:val="nil"/>
                  </w:tcBorders>
                  <w:vAlign w:val="center"/>
                </w:tcPr>
                <w:p>
                  <w:pPr>
                    <w:pStyle w:val="Compact"/>
                    <w:spacing w:before="36" w:after="36"/>
                    <w:jc w:val="center"/>
                    <w:rPr/>
                  </w:pPr>
                  <w:r>
                    <w:rPr/>
                    <w:t>2.00</w:t>
                  </w:r>
                </w:p>
              </w:tc>
              <w:tc>
                <w:tcPr>
                  <w:tcW w:w="948" w:type="dxa"/>
                  <w:tcBorders>
                    <w:top w:val="nil"/>
                    <w:bottom w:val="nil"/>
                  </w:tcBorders>
                  <w:vAlign w:val="center"/>
                </w:tcPr>
                <w:p>
                  <w:pPr>
                    <w:pStyle w:val="Compact"/>
                    <w:spacing w:before="36" w:after="36"/>
                    <w:jc w:val="center"/>
                    <w:rPr/>
                  </w:pPr>
                  <w:r>
                    <w:rPr/>
                    <w:t>2.00</w:t>
                  </w:r>
                </w:p>
              </w:tc>
              <w:tc>
                <w:tcPr>
                  <w:tcW w:w="1228" w:type="dxa"/>
                  <w:tcBorders>
                    <w:top w:val="nil"/>
                    <w:bottom w:val="nil"/>
                  </w:tcBorders>
                  <w:vAlign w:val="center"/>
                </w:tcPr>
                <w:p>
                  <w:pPr>
                    <w:pStyle w:val="Compact"/>
                    <w:spacing w:before="36" w:after="36"/>
                    <w:jc w:val="center"/>
                    <w:rPr/>
                  </w:pPr>
                  <w:r>
                    <w:rPr/>
                    <w:t>6.00</w:t>
                  </w:r>
                </w:p>
              </w:tc>
              <w:tc>
                <w:tcPr>
                  <w:tcW w:w="1607" w:type="dxa"/>
                  <w:tcBorders>
                    <w:top w:val="nil"/>
                    <w:bottom w:val="nil"/>
                  </w:tcBorders>
                  <w:vAlign w:val="center"/>
                </w:tcPr>
                <w:p>
                  <w:pPr>
                    <w:pStyle w:val="Compact"/>
                    <w:spacing w:before="36" w:after="36"/>
                    <w:jc w:val="center"/>
                    <w:rPr/>
                  </w:pPr>
                  <w:r>
                    <w:rPr/>
                    <w:t>7.62</w:t>
                  </w:r>
                </w:p>
              </w:tc>
              <w:tc>
                <w:tcPr>
                  <w:tcW w:w="1228" w:type="dxa"/>
                  <w:tcBorders>
                    <w:top w:val="nil"/>
                    <w:bottom w:val="nil"/>
                  </w:tcBorders>
                  <w:vAlign w:val="center"/>
                </w:tcPr>
                <w:p>
                  <w:pPr>
                    <w:pStyle w:val="Compact"/>
                    <w:spacing w:before="36" w:after="36"/>
                    <w:jc w:val="center"/>
                    <w:rPr/>
                  </w:pPr>
                  <w:r>
                    <w:rPr/>
                    <w:t>1.00</w:t>
                  </w:r>
                </w:p>
              </w:tc>
            </w:tr>
            <w:tr>
              <w:trPr/>
              <w:tc>
                <w:tcPr>
                  <w:tcW w:w="1226" w:type="dxa"/>
                  <w:tcBorders>
                    <w:top w:val="nil"/>
                    <w:bottom w:val="nil"/>
                  </w:tcBorders>
                  <w:vAlign w:val="center"/>
                </w:tcPr>
                <w:p>
                  <w:pPr>
                    <w:pStyle w:val="Compact"/>
                    <w:spacing w:before="36" w:after="36"/>
                    <w:jc w:val="center"/>
                    <w:rPr/>
                  </w:pPr>
                  <w:r>
                    <w:rPr/>
                    <w:t>Flash</w:t>
                  </w:r>
                </w:p>
              </w:tc>
              <w:tc>
                <w:tcPr>
                  <w:tcW w:w="663" w:type="dxa"/>
                  <w:tcBorders>
                    <w:top w:val="nil"/>
                    <w:bottom w:val="nil"/>
                  </w:tcBorders>
                  <w:vAlign w:val="center"/>
                </w:tcPr>
                <w:p>
                  <w:pPr>
                    <w:pStyle w:val="Compact"/>
                    <w:spacing w:before="36" w:after="36"/>
                    <w:jc w:val="center"/>
                    <w:rPr/>
                  </w:pPr>
                  <w:r>
                    <w:rPr/>
                    <w:t>50</w:t>
                  </w:r>
                </w:p>
              </w:tc>
              <w:tc>
                <w:tcPr>
                  <w:tcW w:w="756" w:type="dxa"/>
                  <w:tcBorders>
                    <w:top w:val="nil"/>
                    <w:bottom w:val="nil"/>
                  </w:tcBorders>
                  <w:vAlign w:val="center"/>
                </w:tcPr>
                <w:p>
                  <w:pPr>
                    <w:pStyle w:val="Compact"/>
                    <w:spacing w:before="36" w:after="36"/>
                    <w:jc w:val="center"/>
                    <w:rPr/>
                  </w:pPr>
                  <w:r>
                    <w:rPr/>
                    <w:t>2.00</w:t>
                  </w:r>
                </w:p>
              </w:tc>
              <w:tc>
                <w:tcPr>
                  <w:tcW w:w="847" w:type="dxa"/>
                  <w:tcBorders>
                    <w:top w:val="nil"/>
                    <w:bottom w:val="nil"/>
                  </w:tcBorders>
                  <w:vAlign w:val="center"/>
                </w:tcPr>
                <w:p>
                  <w:pPr>
                    <w:pStyle w:val="Compact"/>
                    <w:spacing w:before="36" w:after="36"/>
                    <w:jc w:val="center"/>
                    <w:rPr/>
                  </w:pPr>
                  <w:r>
                    <w:rPr/>
                    <w:t>2.00</w:t>
                  </w:r>
                </w:p>
              </w:tc>
              <w:tc>
                <w:tcPr>
                  <w:tcW w:w="948" w:type="dxa"/>
                  <w:tcBorders>
                    <w:top w:val="nil"/>
                    <w:bottom w:val="nil"/>
                  </w:tcBorders>
                  <w:vAlign w:val="center"/>
                </w:tcPr>
                <w:p>
                  <w:pPr>
                    <w:pStyle w:val="Compact"/>
                    <w:spacing w:before="36" w:after="36"/>
                    <w:jc w:val="center"/>
                    <w:rPr/>
                  </w:pPr>
                  <w:r>
                    <w:rPr/>
                    <w:t>2.00</w:t>
                  </w:r>
                </w:p>
              </w:tc>
              <w:tc>
                <w:tcPr>
                  <w:tcW w:w="1228" w:type="dxa"/>
                  <w:tcBorders>
                    <w:top w:val="nil"/>
                    <w:bottom w:val="nil"/>
                  </w:tcBorders>
                  <w:vAlign w:val="center"/>
                </w:tcPr>
                <w:p>
                  <w:pPr>
                    <w:pStyle w:val="Compact"/>
                    <w:spacing w:before="36" w:after="36"/>
                    <w:jc w:val="center"/>
                    <w:rPr/>
                  </w:pPr>
                  <w:r>
                    <w:rPr/>
                    <w:t>6.00</w:t>
                  </w:r>
                </w:p>
              </w:tc>
              <w:tc>
                <w:tcPr>
                  <w:tcW w:w="1607" w:type="dxa"/>
                  <w:tcBorders>
                    <w:top w:val="nil"/>
                    <w:bottom w:val="nil"/>
                  </w:tcBorders>
                  <w:vAlign w:val="center"/>
                </w:tcPr>
                <w:p>
                  <w:pPr>
                    <w:pStyle w:val="Compact"/>
                    <w:spacing w:before="36" w:after="36"/>
                    <w:jc w:val="center"/>
                    <w:rPr/>
                  </w:pPr>
                  <w:r>
                    <w:rPr/>
                    <w:t>7.62</w:t>
                  </w:r>
                </w:p>
              </w:tc>
              <w:tc>
                <w:tcPr>
                  <w:tcW w:w="1228" w:type="dxa"/>
                  <w:tcBorders>
                    <w:top w:val="nil"/>
                    <w:bottom w:val="nil"/>
                  </w:tcBorders>
                  <w:vAlign w:val="center"/>
                </w:tcPr>
                <w:p>
                  <w:pPr>
                    <w:pStyle w:val="Compact"/>
                    <w:spacing w:before="36" w:after="36"/>
                    <w:jc w:val="center"/>
                    <w:rPr/>
                  </w:pPr>
                  <w:r>
                    <w:rPr/>
                    <w:t>1.00</w:t>
                  </w:r>
                </w:p>
              </w:tc>
            </w:tr>
            <w:tr>
              <w:trPr/>
              <w:tc>
                <w:tcPr>
                  <w:tcW w:w="1226" w:type="dxa"/>
                  <w:tcBorders>
                    <w:top w:val="nil"/>
                    <w:bottom w:val="nil"/>
                  </w:tcBorders>
                  <w:vAlign w:val="center"/>
                </w:tcPr>
                <w:p>
                  <w:pPr>
                    <w:pStyle w:val="Compact"/>
                    <w:spacing w:before="36" w:after="36"/>
                    <w:jc w:val="center"/>
                    <w:rPr/>
                  </w:pPr>
                  <w:r>
                    <w:rPr/>
                    <w:t>Flash</w:t>
                  </w:r>
                </w:p>
              </w:tc>
              <w:tc>
                <w:tcPr>
                  <w:tcW w:w="663" w:type="dxa"/>
                  <w:tcBorders>
                    <w:top w:val="nil"/>
                    <w:bottom w:val="nil"/>
                  </w:tcBorders>
                  <w:vAlign w:val="center"/>
                </w:tcPr>
                <w:p>
                  <w:pPr>
                    <w:pStyle w:val="Compact"/>
                    <w:spacing w:before="36" w:after="36"/>
                    <w:jc w:val="center"/>
                    <w:rPr/>
                  </w:pPr>
                  <w:r>
                    <w:rPr/>
                    <w:t>250</w:t>
                  </w:r>
                </w:p>
              </w:tc>
              <w:tc>
                <w:tcPr>
                  <w:tcW w:w="756" w:type="dxa"/>
                  <w:tcBorders>
                    <w:top w:val="nil"/>
                    <w:bottom w:val="nil"/>
                  </w:tcBorders>
                  <w:vAlign w:val="center"/>
                </w:tcPr>
                <w:p>
                  <w:pPr>
                    <w:pStyle w:val="Compact"/>
                    <w:spacing w:before="36" w:after="36"/>
                    <w:jc w:val="center"/>
                    <w:rPr/>
                  </w:pPr>
                  <w:r>
                    <w:rPr/>
                    <w:t>2.00</w:t>
                  </w:r>
                </w:p>
              </w:tc>
              <w:tc>
                <w:tcPr>
                  <w:tcW w:w="847" w:type="dxa"/>
                  <w:tcBorders>
                    <w:top w:val="nil"/>
                    <w:bottom w:val="nil"/>
                  </w:tcBorders>
                  <w:vAlign w:val="center"/>
                </w:tcPr>
                <w:p>
                  <w:pPr>
                    <w:pStyle w:val="Compact"/>
                    <w:spacing w:before="36" w:after="36"/>
                    <w:jc w:val="center"/>
                    <w:rPr/>
                  </w:pPr>
                  <w:r>
                    <w:rPr/>
                    <w:t>2.00</w:t>
                  </w:r>
                </w:p>
              </w:tc>
              <w:tc>
                <w:tcPr>
                  <w:tcW w:w="948" w:type="dxa"/>
                  <w:tcBorders>
                    <w:top w:val="nil"/>
                    <w:bottom w:val="nil"/>
                  </w:tcBorders>
                  <w:vAlign w:val="center"/>
                </w:tcPr>
                <w:p>
                  <w:pPr>
                    <w:pStyle w:val="Compact"/>
                    <w:spacing w:before="36" w:after="36"/>
                    <w:jc w:val="center"/>
                    <w:rPr/>
                  </w:pPr>
                  <w:r>
                    <w:rPr/>
                    <w:t>2.00</w:t>
                  </w:r>
                </w:p>
              </w:tc>
              <w:tc>
                <w:tcPr>
                  <w:tcW w:w="1228" w:type="dxa"/>
                  <w:tcBorders>
                    <w:top w:val="nil"/>
                    <w:bottom w:val="nil"/>
                  </w:tcBorders>
                  <w:vAlign w:val="center"/>
                </w:tcPr>
                <w:p>
                  <w:pPr>
                    <w:pStyle w:val="Compact"/>
                    <w:spacing w:before="36" w:after="36"/>
                    <w:jc w:val="center"/>
                    <w:rPr/>
                  </w:pPr>
                  <w:r>
                    <w:rPr/>
                    <w:t>6.00</w:t>
                  </w:r>
                </w:p>
              </w:tc>
              <w:tc>
                <w:tcPr>
                  <w:tcW w:w="1607" w:type="dxa"/>
                  <w:tcBorders>
                    <w:top w:val="nil"/>
                    <w:bottom w:val="nil"/>
                  </w:tcBorders>
                  <w:vAlign w:val="center"/>
                </w:tcPr>
                <w:p>
                  <w:pPr>
                    <w:pStyle w:val="Compact"/>
                    <w:spacing w:before="36" w:after="36"/>
                    <w:jc w:val="center"/>
                    <w:rPr/>
                  </w:pPr>
                  <w:r>
                    <w:rPr/>
                    <w:t>7.70</w:t>
                  </w:r>
                </w:p>
              </w:tc>
              <w:tc>
                <w:tcPr>
                  <w:tcW w:w="1228" w:type="dxa"/>
                  <w:tcBorders>
                    <w:top w:val="nil"/>
                    <w:bottom w:val="nil"/>
                  </w:tcBorders>
                  <w:vAlign w:val="center"/>
                </w:tcPr>
                <w:p>
                  <w:pPr>
                    <w:pStyle w:val="Compact"/>
                    <w:spacing w:before="36" w:after="36"/>
                    <w:jc w:val="center"/>
                    <w:rPr/>
                  </w:pPr>
                  <w:r>
                    <w:rPr/>
                    <w:t>1.00</w:t>
                  </w:r>
                </w:p>
              </w:tc>
            </w:tr>
            <w:tr>
              <w:trPr/>
              <w:tc>
                <w:tcPr>
                  <w:tcW w:w="1226" w:type="dxa"/>
                  <w:tcBorders>
                    <w:top w:val="nil"/>
                    <w:bottom w:val="nil"/>
                  </w:tcBorders>
                  <w:vAlign w:val="center"/>
                </w:tcPr>
                <w:p>
                  <w:pPr>
                    <w:pStyle w:val="Compact"/>
                    <w:spacing w:before="36" w:after="36"/>
                    <w:jc w:val="center"/>
                    <w:rPr/>
                  </w:pPr>
                  <w:r>
                    <w:rPr/>
                    <w:t>Pro</w:t>
                  </w:r>
                </w:p>
              </w:tc>
              <w:tc>
                <w:tcPr>
                  <w:tcW w:w="663" w:type="dxa"/>
                  <w:tcBorders>
                    <w:top w:val="nil"/>
                    <w:bottom w:val="nil"/>
                  </w:tcBorders>
                  <w:vAlign w:val="center"/>
                </w:tcPr>
                <w:p>
                  <w:pPr>
                    <w:pStyle w:val="Compact"/>
                    <w:spacing w:before="36" w:after="36"/>
                    <w:jc w:val="center"/>
                    <w:rPr/>
                  </w:pPr>
                  <w:r>
                    <w:rPr/>
                    <w:t>1</w:t>
                  </w:r>
                </w:p>
              </w:tc>
              <w:tc>
                <w:tcPr>
                  <w:tcW w:w="756" w:type="dxa"/>
                  <w:tcBorders>
                    <w:top w:val="nil"/>
                    <w:bottom w:val="nil"/>
                  </w:tcBorders>
                  <w:vAlign w:val="center"/>
                </w:tcPr>
                <w:p>
                  <w:pPr>
                    <w:pStyle w:val="Compact"/>
                    <w:spacing w:before="36" w:after="36"/>
                    <w:jc w:val="center"/>
                    <w:rPr/>
                  </w:pPr>
                  <w:r>
                    <w:rPr/>
                    <w:t>1.81</w:t>
                  </w:r>
                </w:p>
              </w:tc>
              <w:tc>
                <w:tcPr>
                  <w:tcW w:w="847" w:type="dxa"/>
                  <w:tcBorders>
                    <w:top w:val="nil"/>
                    <w:bottom w:val="nil"/>
                  </w:tcBorders>
                  <w:vAlign w:val="center"/>
                </w:tcPr>
                <w:p>
                  <w:pPr>
                    <w:pStyle w:val="Compact"/>
                    <w:spacing w:before="36" w:after="36"/>
                    <w:jc w:val="center"/>
                    <w:rPr/>
                  </w:pPr>
                  <w:r>
                    <w:rPr/>
                    <w:t>1.74</w:t>
                  </w:r>
                </w:p>
              </w:tc>
              <w:tc>
                <w:tcPr>
                  <w:tcW w:w="948" w:type="dxa"/>
                  <w:tcBorders>
                    <w:top w:val="nil"/>
                    <w:bottom w:val="nil"/>
                  </w:tcBorders>
                  <w:vAlign w:val="center"/>
                </w:tcPr>
                <w:p>
                  <w:pPr>
                    <w:pStyle w:val="Compact"/>
                    <w:spacing w:before="36" w:after="36"/>
                    <w:jc w:val="center"/>
                    <w:rPr/>
                  </w:pPr>
                  <w:r>
                    <w:rPr/>
                    <w:t>2.00</w:t>
                  </w:r>
                </w:p>
              </w:tc>
              <w:tc>
                <w:tcPr>
                  <w:tcW w:w="1228" w:type="dxa"/>
                  <w:tcBorders>
                    <w:top w:val="nil"/>
                    <w:bottom w:val="nil"/>
                  </w:tcBorders>
                  <w:vAlign w:val="center"/>
                </w:tcPr>
                <w:p>
                  <w:pPr>
                    <w:pStyle w:val="Compact"/>
                    <w:spacing w:before="36" w:after="36"/>
                    <w:jc w:val="center"/>
                    <w:rPr/>
                  </w:pPr>
                  <w:r>
                    <w:rPr/>
                    <w:t>5.55</w:t>
                  </w:r>
                </w:p>
              </w:tc>
              <w:tc>
                <w:tcPr>
                  <w:tcW w:w="1607" w:type="dxa"/>
                  <w:tcBorders>
                    <w:top w:val="nil"/>
                    <w:bottom w:val="nil"/>
                  </w:tcBorders>
                  <w:vAlign w:val="center"/>
                </w:tcPr>
                <w:p>
                  <w:pPr>
                    <w:pStyle w:val="Compact"/>
                    <w:spacing w:before="36" w:after="36"/>
                    <w:jc w:val="center"/>
                    <w:rPr/>
                  </w:pPr>
                  <w:r>
                    <w:rPr/>
                    <w:t>0.02</w:t>
                  </w:r>
                </w:p>
              </w:tc>
              <w:tc>
                <w:tcPr>
                  <w:tcW w:w="1228" w:type="dxa"/>
                  <w:tcBorders>
                    <w:top w:val="nil"/>
                    <w:bottom w:val="nil"/>
                  </w:tcBorders>
                  <w:vAlign w:val="center"/>
                </w:tcPr>
                <w:p>
                  <w:pPr>
                    <w:pStyle w:val="Compact"/>
                    <w:spacing w:before="36" w:after="36"/>
                    <w:jc w:val="center"/>
                    <w:rPr/>
                  </w:pPr>
                  <w:r>
                    <w:rPr/>
                    <w:t>0.80</w:t>
                  </w:r>
                </w:p>
              </w:tc>
            </w:tr>
            <w:tr>
              <w:trPr/>
              <w:tc>
                <w:tcPr>
                  <w:tcW w:w="1226" w:type="dxa"/>
                  <w:tcBorders>
                    <w:top w:val="nil"/>
                    <w:bottom w:val="nil"/>
                  </w:tcBorders>
                  <w:vAlign w:val="center"/>
                </w:tcPr>
                <w:p>
                  <w:pPr>
                    <w:pStyle w:val="Compact"/>
                    <w:spacing w:before="36" w:after="36"/>
                    <w:jc w:val="center"/>
                    <w:rPr/>
                  </w:pPr>
                  <w:r>
                    <w:rPr/>
                    <w:t>Pro</w:t>
                  </w:r>
                </w:p>
              </w:tc>
              <w:tc>
                <w:tcPr>
                  <w:tcW w:w="663" w:type="dxa"/>
                  <w:tcBorders>
                    <w:top w:val="nil"/>
                    <w:bottom w:val="nil"/>
                  </w:tcBorders>
                  <w:vAlign w:val="center"/>
                </w:tcPr>
                <w:p>
                  <w:pPr>
                    <w:pStyle w:val="Compact"/>
                    <w:spacing w:before="36" w:after="36"/>
                    <w:jc w:val="center"/>
                    <w:rPr/>
                  </w:pPr>
                  <w:r>
                    <w:rPr/>
                    <w:t>5</w:t>
                  </w:r>
                </w:p>
              </w:tc>
              <w:tc>
                <w:tcPr>
                  <w:tcW w:w="756" w:type="dxa"/>
                  <w:tcBorders>
                    <w:top w:val="nil"/>
                    <w:bottom w:val="nil"/>
                  </w:tcBorders>
                  <w:vAlign w:val="center"/>
                </w:tcPr>
                <w:p>
                  <w:pPr>
                    <w:pStyle w:val="Compact"/>
                    <w:spacing w:before="36" w:after="36"/>
                    <w:jc w:val="center"/>
                    <w:rPr/>
                  </w:pPr>
                  <w:r>
                    <w:rPr/>
                    <w:t>1.75</w:t>
                  </w:r>
                </w:p>
              </w:tc>
              <w:tc>
                <w:tcPr>
                  <w:tcW w:w="847" w:type="dxa"/>
                  <w:tcBorders>
                    <w:top w:val="nil"/>
                    <w:bottom w:val="nil"/>
                  </w:tcBorders>
                  <w:vAlign w:val="center"/>
                </w:tcPr>
                <w:p>
                  <w:pPr>
                    <w:pStyle w:val="Compact"/>
                    <w:spacing w:before="36" w:after="36"/>
                    <w:jc w:val="center"/>
                    <w:rPr/>
                  </w:pPr>
                  <w:r>
                    <w:rPr/>
                    <w:t>1.68</w:t>
                  </w:r>
                </w:p>
              </w:tc>
              <w:tc>
                <w:tcPr>
                  <w:tcW w:w="948" w:type="dxa"/>
                  <w:tcBorders>
                    <w:top w:val="nil"/>
                    <w:bottom w:val="nil"/>
                  </w:tcBorders>
                  <w:vAlign w:val="center"/>
                </w:tcPr>
                <w:p>
                  <w:pPr>
                    <w:pStyle w:val="Compact"/>
                    <w:spacing w:before="36" w:after="36"/>
                    <w:jc w:val="center"/>
                    <w:rPr/>
                  </w:pPr>
                  <w:r>
                    <w:rPr/>
                    <w:t>2.00</w:t>
                  </w:r>
                </w:p>
              </w:tc>
              <w:tc>
                <w:tcPr>
                  <w:tcW w:w="1228" w:type="dxa"/>
                  <w:tcBorders>
                    <w:top w:val="nil"/>
                    <w:bottom w:val="nil"/>
                  </w:tcBorders>
                  <w:vAlign w:val="center"/>
                </w:tcPr>
                <w:p>
                  <w:pPr>
                    <w:pStyle w:val="Compact"/>
                    <w:spacing w:before="36" w:after="36"/>
                    <w:jc w:val="center"/>
                    <w:rPr/>
                  </w:pPr>
                  <w:r>
                    <w:rPr/>
                    <w:t>5.43</w:t>
                  </w:r>
                </w:p>
              </w:tc>
              <w:tc>
                <w:tcPr>
                  <w:tcW w:w="1607" w:type="dxa"/>
                  <w:tcBorders>
                    <w:top w:val="nil"/>
                    <w:bottom w:val="nil"/>
                  </w:tcBorders>
                  <w:vAlign w:val="center"/>
                </w:tcPr>
                <w:p>
                  <w:pPr>
                    <w:pStyle w:val="Compact"/>
                    <w:spacing w:before="36" w:after="36"/>
                    <w:jc w:val="center"/>
                    <w:rPr/>
                  </w:pPr>
                  <w:r>
                    <w:rPr/>
                    <w:t>0.06</w:t>
                  </w:r>
                </w:p>
              </w:tc>
              <w:tc>
                <w:tcPr>
                  <w:tcW w:w="1228" w:type="dxa"/>
                  <w:tcBorders>
                    <w:top w:val="nil"/>
                    <w:bottom w:val="nil"/>
                  </w:tcBorders>
                  <w:vAlign w:val="center"/>
                </w:tcPr>
                <w:p>
                  <w:pPr>
                    <w:pStyle w:val="Compact"/>
                    <w:spacing w:before="36" w:after="36"/>
                    <w:jc w:val="center"/>
                    <w:rPr/>
                  </w:pPr>
                  <w:r>
                    <w:rPr/>
                    <w:t>0.76</w:t>
                  </w:r>
                </w:p>
              </w:tc>
            </w:tr>
            <w:tr>
              <w:trPr/>
              <w:tc>
                <w:tcPr>
                  <w:tcW w:w="1226" w:type="dxa"/>
                  <w:tcBorders>
                    <w:top w:val="nil"/>
                    <w:bottom w:val="nil"/>
                  </w:tcBorders>
                  <w:vAlign w:val="center"/>
                </w:tcPr>
                <w:p>
                  <w:pPr>
                    <w:pStyle w:val="Compact"/>
                    <w:spacing w:before="36" w:after="36"/>
                    <w:jc w:val="center"/>
                    <w:rPr/>
                  </w:pPr>
                  <w:r>
                    <w:rPr/>
                    <w:t>Pro</w:t>
                  </w:r>
                </w:p>
              </w:tc>
              <w:tc>
                <w:tcPr>
                  <w:tcW w:w="663" w:type="dxa"/>
                  <w:tcBorders>
                    <w:top w:val="nil"/>
                    <w:bottom w:val="nil"/>
                  </w:tcBorders>
                  <w:vAlign w:val="center"/>
                </w:tcPr>
                <w:p>
                  <w:pPr>
                    <w:pStyle w:val="Compact"/>
                    <w:spacing w:before="36" w:after="36"/>
                    <w:jc w:val="center"/>
                    <w:rPr/>
                  </w:pPr>
                  <w:r>
                    <w:rPr/>
                    <w:t>50</w:t>
                  </w:r>
                </w:p>
              </w:tc>
              <w:tc>
                <w:tcPr>
                  <w:tcW w:w="756" w:type="dxa"/>
                  <w:tcBorders>
                    <w:top w:val="nil"/>
                    <w:bottom w:val="nil"/>
                  </w:tcBorders>
                  <w:vAlign w:val="center"/>
                </w:tcPr>
                <w:p>
                  <w:pPr>
                    <w:pStyle w:val="Compact"/>
                    <w:spacing w:before="36" w:after="36"/>
                    <w:jc w:val="center"/>
                    <w:rPr/>
                  </w:pPr>
                  <w:r>
                    <w:rPr/>
                    <w:t>1.38</w:t>
                  </w:r>
                </w:p>
              </w:tc>
              <w:tc>
                <w:tcPr>
                  <w:tcW w:w="847" w:type="dxa"/>
                  <w:tcBorders>
                    <w:top w:val="nil"/>
                    <w:bottom w:val="nil"/>
                  </w:tcBorders>
                  <w:vAlign w:val="center"/>
                </w:tcPr>
                <w:p>
                  <w:pPr>
                    <w:pStyle w:val="Compact"/>
                    <w:spacing w:before="36" w:after="36"/>
                    <w:jc w:val="center"/>
                    <w:rPr/>
                  </w:pPr>
                  <w:r>
                    <w:rPr/>
                    <w:t>1.02</w:t>
                  </w:r>
                </w:p>
              </w:tc>
              <w:tc>
                <w:tcPr>
                  <w:tcW w:w="948" w:type="dxa"/>
                  <w:tcBorders>
                    <w:top w:val="nil"/>
                    <w:bottom w:val="nil"/>
                  </w:tcBorders>
                  <w:vAlign w:val="center"/>
                </w:tcPr>
                <w:p>
                  <w:pPr>
                    <w:pStyle w:val="Compact"/>
                    <w:spacing w:before="36" w:after="36"/>
                    <w:jc w:val="center"/>
                    <w:rPr/>
                  </w:pPr>
                  <w:r>
                    <w:rPr/>
                    <w:t>2.00</w:t>
                  </w:r>
                </w:p>
              </w:tc>
              <w:tc>
                <w:tcPr>
                  <w:tcW w:w="1228" w:type="dxa"/>
                  <w:tcBorders>
                    <w:top w:val="nil"/>
                    <w:bottom w:val="nil"/>
                  </w:tcBorders>
                  <w:vAlign w:val="center"/>
                </w:tcPr>
                <w:p>
                  <w:pPr>
                    <w:pStyle w:val="Compact"/>
                    <w:spacing w:before="36" w:after="36"/>
                    <w:jc w:val="center"/>
                    <w:rPr/>
                  </w:pPr>
                  <w:r>
                    <w:rPr/>
                    <w:t>4.40</w:t>
                  </w:r>
                </w:p>
              </w:tc>
              <w:tc>
                <w:tcPr>
                  <w:tcW w:w="1607" w:type="dxa"/>
                  <w:tcBorders>
                    <w:top w:val="nil"/>
                    <w:bottom w:val="nil"/>
                  </w:tcBorders>
                  <w:vAlign w:val="center"/>
                </w:tcPr>
                <w:p>
                  <w:pPr>
                    <w:pStyle w:val="Compact"/>
                    <w:spacing w:before="36" w:after="36"/>
                    <w:jc w:val="center"/>
                    <w:rPr/>
                  </w:pPr>
                  <w:r>
                    <w:rPr/>
                    <w:t>0.32</w:t>
                  </w:r>
                </w:p>
              </w:tc>
              <w:tc>
                <w:tcPr>
                  <w:tcW w:w="1228" w:type="dxa"/>
                  <w:tcBorders>
                    <w:top w:val="nil"/>
                    <w:bottom w:val="nil"/>
                  </w:tcBorders>
                  <w:vAlign w:val="center"/>
                </w:tcPr>
                <w:p>
                  <w:pPr>
                    <w:pStyle w:val="Compact"/>
                    <w:spacing w:before="36" w:after="36"/>
                    <w:jc w:val="center"/>
                    <w:rPr/>
                  </w:pPr>
                  <w:r>
                    <w:rPr/>
                    <w:t>0.39</w:t>
                  </w:r>
                </w:p>
              </w:tc>
            </w:tr>
            <w:tr>
              <w:trPr/>
              <w:tc>
                <w:tcPr>
                  <w:tcW w:w="1226" w:type="dxa"/>
                  <w:tcBorders>
                    <w:top w:val="nil"/>
                  </w:tcBorders>
                  <w:vAlign w:val="center"/>
                </w:tcPr>
                <w:p>
                  <w:pPr>
                    <w:pStyle w:val="Compact"/>
                    <w:spacing w:before="36" w:after="36"/>
                    <w:jc w:val="center"/>
                    <w:rPr/>
                  </w:pPr>
                  <w:r>
                    <w:rPr/>
                    <w:t>Pro</w:t>
                  </w:r>
                </w:p>
              </w:tc>
              <w:tc>
                <w:tcPr>
                  <w:tcW w:w="663" w:type="dxa"/>
                  <w:tcBorders>
                    <w:top w:val="nil"/>
                  </w:tcBorders>
                  <w:vAlign w:val="center"/>
                </w:tcPr>
                <w:p>
                  <w:pPr>
                    <w:pStyle w:val="Compact"/>
                    <w:spacing w:before="36" w:after="36"/>
                    <w:jc w:val="center"/>
                    <w:rPr/>
                  </w:pPr>
                  <w:r>
                    <w:rPr/>
                    <w:t>250</w:t>
                  </w:r>
                </w:p>
              </w:tc>
              <w:tc>
                <w:tcPr>
                  <w:tcW w:w="756" w:type="dxa"/>
                  <w:tcBorders>
                    <w:top w:val="nil"/>
                  </w:tcBorders>
                  <w:vAlign w:val="center"/>
                </w:tcPr>
                <w:p>
                  <w:pPr>
                    <w:pStyle w:val="Compact"/>
                    <w:spacing w:before="36" w:after="36"/>
                    <w:jc w:val="center"/>
                    <w:rPr/>
                  </w:pPr>
                  <w:r>
                    <w:rPr/>
                    <w:t>1.30</w:t>
                  </w:r>
                </w:p>
              </w:tc>
              <w:tc>
                <w:tcPr>
                  <w:tcW w:w="847" w:type="dxa"/>
                  <w:tcBorders>
                    <w:top w:val="nil"/>
                  </w:tcBorders>
                  <w:vAlign w:val="center"/>
                </w:tcPr>
                <w:p>
                  <w:pPr>
                    <w:pStyle w:val="Compact"/>
                    <w:spacing w:before="36" w:after="36"/>
                    <w:jc w:val="center"/>
                    <w:rPr/>
                  </w:pPr>
                  <w:r>
                    <w:rPr/>
                    <w:t>0.92</w:t>
                  </w:r>
                </w:p>
              </w:tc>
              <w:tc>
                <w:tcPr>
                  <w:tcW w:w="948" w:type="dxa"/>
                  <w:tcBorders>
                    <w:top w:val="nil"/>
                  </w:tcBorders>
                  <w:vAlign w:val="center"/>
                </w:tcPr>
                <w:p>
                  <w:pPr>
                    <w:pStyle w:val="Compact"/>
                    <w:spacing w:before="36" w:after="36"/>
                    <w:jc w:val="center"/>
                    <w:rPr/>
                  </w:pPr>
                  <w:r>
                    <w:rPr/>
                    <w:t>2.00</w:t>
                  </w:r>
                </w:p>
              </w:tc>
              <w:tc>
                <w:tcPr>
                  <w:tcW w:w="1228" w:type="dxa"/>
                  <w:tcBorders>
                    <w:top w:val="nil"/>
                  </w:tcBorders>
                  <w:vAlign w:val="center"/>
                </w:tcPr>
                <w:p>
                  <w:pPr>
                    <w:pStyle w:val="Compact"/>
                    <w:spacing w:before="36" w:after="36"/>
                    <w:jc w:val="center"/>
                    <w:rPr/>
                  </w:pPr>
                  <w:r>
                    <w:rPr/>
                    <w:t>4.22</w:t>
                  </w:r>
                </w:p>
              </w:tc>
              <w:tc>
                <w:tcPr>
                  <w:tcW w:w="1607" w:type="dxa"/>
                  <w:tcBorders>
                    <w:top w:val="nil"/>
                  </w:tcBorders>
                  <w:vAlign w:val="center"/>
                </w:tcPr>
                <w:p>
                  <w:pPr>
                    <w:pStyle w:val="Compact"/>
                    <w:spacing w:before="36" w:after="36"/>
                    <w:jc w:val="center"/>
                    <w:rPr/>
                  </w:pPr>
                  <w:r>
                    <w:rPr/>
                    <w:t>0.33</w:t>
                  </w:r>
                </w:p>
              </w:tc>
              <w:tc>
                <w:tcPr>
                  <w:tcW w:w="1228" w:type="dxa"/>
                  <w:tcBorders>
                    <w:top w:val="nil"/>
                  </w:tcBorders>
                  <w:vAlign w:val="center"/>
                </w:tcPr>
                <w:p>
                  <w:pPr>
                    <w:pStyle w:val="Compact"/>
                    <w:spacing w:before="36" w:after="36"/>
                    <w:jc w:val="center"/>
                    <w:rPr/>
                  </w:pPr>
                  <w:r>
                    <w:rPr/>
                    <w:t>0.35</w:t>
                  </w:r>
                  <w:bookmarkStart w:id="19" w:name="tbl-num-bags-descriptive"/>
                  <w:bookmarkEnd w:id="19"/>
                </w:p>
              </w:tc>
            </w:tr>
          </w:tbl>
          <w:p>
            <w:pPr>
              <w:pStyle w:val="Normal"/>
              <w:spacing w:before="0" w:after="200"/>
              <w:jc w:val="left"/>
              <w:rPr>
                <w:sz w:val="24"/>
              </w:rPr>
            </w:pPr>
            <w:r>
              <w:rPr>
                <w:sz w:val="24"/>
              </w:rPr>
            </w:r>
          </w:p>
        </w:tc>
      </w:tr>
    </w:tbl>
    <w:p>
      <w:pPr>
        <w:pStyle w:val="BodyText"/>
        <w:rPr/>
      </w:pPr>
      <w:r>
        <w:rPr/>
        <w:t>To evaluate what objective the LLMs pursued, an independent judge LLM classified the opening line of reasoning emitted before tool execution into unit price (</w:t>
      </w:r>
      <w:r>
        <w:rPr>
          <w:i/>
          <w:iCs/>
        </w:rPr>
        <w:t>price_per_weight</w:t>
      </w:r>
      <w:r>
        <w:rPr/>
        <w:t>), absolute price (</w:t>
      </w:r>
      <w:r>
        <w:rPr>
          <w:i/>
          <w:iCs/>
        </w:rPr>
        <w:t>price</w:t>
      </w:r>
      <w:r>
        <w:rPr/>
        <w:t xml:space="preserve">), or other (Web Appendix H). To validate this automated classification, an independent human evaluator blindly coded a stratified subsample of 120 traces. Agreement between the human rater and the judge LLM was high across all three categories (89.2% agreement, Cohen’s </w:t>
      </w:r>
      <w:r>
        <w:rPr/>
      </w:r>
      <m:oMath xmlns:m="http://schemas.openxmlformats.org/officeDocument/2006/math">
        <m:r>
          <w:rPr>
            <w:rFonts w:ascii="Cambria Math" w:hAnsi="Cambria Math"/>
          </w:rPr>
          <m:t xml:space="preserve">κ</m:t>
        </m:r>
        <m:r>
          <w:rPr>
            <w:rFonts w:ascii="Cambria Math" w:hAnsi="Cambria Math"/>
          </w:rPr>
          <m:t xml:space="preserve">=</m:t>
        </m:r>
        <m:r>
          <w:rPr>
            <w:rFonts w:ascii="Cambria Math" w:hAnsi="Cambria Math"/>
          </w:rPr>
          <m:t xml:space="preserve">.78</m:t>
        </m:r>
      </m:oMath>
      <w:r>
        <w:rPr/>
        <w:t xml:space="preserve">) and when distinguishing unit price from other objectives (93.3% agreement, </w:t>
      </w:r>
      <w:r>
        <w:rPr/>
      </w:r>
      <m:oMath xmlns:m="http://schemas.openxmlformats.org/officeDocument/2006/math">
        <m:r>
          <w:rPr>
            <w:rFonts w:ascii="Cambria Math" w:hAnsi="Cambria Math"/>
          </w:rPr>
          <m:t xml:space="preserve">κ</m:t>
        </m:r>
        <m:r>
          <w:rPr>
            <w:rFonts w:ascii="Cambria Math" w:hAnsi="Cambria Math"/>
          </w:rPr>
          <m:t xml:space="preserve">=</m:t>
        </m:r>
        <m:r>
          <w:rPr>
            <w:rFonts w:ascii="Cambria Math" w:hAnsi="Cambria Math"/>
          </w:rPr>
          <m:t xml:space="preserve">.83</m:t>
        </m:r>
      </m:oMath>
      <w:r>
        <w:rPr/>
        <w:t xml:space="preserve">; </w:t>
      </w:r>
      <w:hyperlink w:anchor="apptbl-judge-human">
        <w:r>
          <w:rPr>
            <w:rStyle w:val="Hyperlink"/>
          </w:rPr>
          <w:t>Table W27</w:t>
        </w:r>
      </w:hyperlink>
      <w:r>
        <w:rPr/>
        <w:t>).</w:t>
      </w:r>
    </w:p>
    <w:p>
      <w:pPr>
        <w:pStyle w:val="BodyText"/>
        <w:rPr/>
      </w:pPr>
      <w:r>
        <w:rPr/>
        <w:t>Based on the classification, Flash adopted a unit-price minimization objective (</w:t>
      </w:r>
      <w:r>
        <w:rPr>
          <w:i/>
          <w:iCs/>
        </w:rPr>
        <w:t>price_per_weight</w:t>
      </w:r>
      <w:r>
        <w:rPr/>
        <w:t>) in 90.8% to 94.0% of sessions and adopted an absolute price minimization objective in at most 4.0% of sessions (</w:t>
      </w:r>
      <w:hyperlink w:anchor="apptbl-bags-objective">
        <w:r>
          <w:rPr>
            <w:rStyle w:val="Hyperlink"/>
          </w:rPr>
          <w:t>Table W17</w:t>
        </w:r>
      </w:hyperlink>
      <w:r>
        <w:rPr/>
        <w:t xml:space="preserve">; </w:t>
      </w:r>
      <w:hyperlink w:anchor="fig-study1-bags-sensitivity">
        <w:r>
          <w:rPr>
            <w:rStyle w:val="Hyperlink"/>
          </w:rPr>
          <w:t>Figure 1</w:t>
        </w:r>
      </w:hyperlink>
      <w:r>
        <w:rPr/>
        <w:t>, Panel A). In contrast, scaling purchase volume triggered an endogenous construal shift in Gemini 3.1 Pro. At one bag, 62.0% of Gemini 3.1 Pro sessions opened by articulating a unit-price objective, with 38.0% articulating an absolute price objective. At 50 and 250 bags, the shift was increased monotonically. 83.0% and 84.0% of sessions adopted an absolute price objective (</w:t>
      </w:r>
      <w:hyperlink w:anchor="apptbl-bags-objective">
        <w:r>
          <w:rPr>
            <w:rStyle w:val="Hyperlink"/>
          </w:rPr>
          <w:t>Table W17</w:t>
        </w:r>
      </w:hyperlink>
      <w:r>
        <w:rPr/>
        <w:t>).</w:t>
      </w:r>
    </w:p>
    <w:p>
      <w:pPr>
        <w:pStyle w:val="BodyText"/>
        <w:rPr/>
      </w:pPr>
      <w:r>
        <w:rPr/>
        <w:t>Under an absolute price objective, cents and product weight become functionally non-diagnostic because Coffee A’s whole-dollar price ($4.xx) is lower than Coffee B’s ($5.00). Therefore, the AI agent prematurely terminates search without inspecting cents or weight.</w:t>
      </w:r>
    </w:p>
    <w:p>
      <w:pPr>
        <w:pStyle w:val="BodyText"/>
        <w:rPr/>
      </w:pPr>
      <w:r>
        <w:rPr/>
        <w:t>To verify that this objective construal, rather than the purchase quantity itself, drives search truncation and suboptimal choice, we evaluated the contrast between sessions adopting an absolute price objective and those adopting a unit-price objective, holding purchase volume fixed (</w:t>
      </w:r>
      <w:hyperlink w:anchor="apptbl-bags-contrast">
        <w:r>
          <w:rPr>
            <w:rStyle w:val="Hyperlink"/>
          </w:rPr>
          <w:t>Table W18</w:t>
        </w:r>
      </w:hyperlink>
      <w:r>
        <w:rPr/>
        <w:t>; Web Appendix H).</w:t>
      </w:r>
    </w:p>
    <w:p>
      <w:pPr>
        <w:pStyle w:val="BodyText"/>
        <w:rPr/>
      </w:pPr>
      <w:r>
        <w:rPr/>
        <w:t xml:space="preserve">Within every volume condition, Gemini 3.1 Pro sessions adopting an absolute price objective acquired significantly fewer diagnostic attributes (differences ranging from </w:t>
      </w:r>
      <w:r>
        <w:rPr/>
      </w:r>
      <m:oMath xmlns:m="http://schemas.openxmlformats.org/officeDocument/2006/math">
        <m:r>
          <w:rPr>
            <w:rFonts w:ascii="Cambria Math" w:hAnsi="Cambria Math"/>
          </w:rPr>
          <m:t xml:space="preserve">−</m:t>
        </m:r>
        <m:r>
          <w:rPr>
            <w:rFonts w:ascii="Cambria Math" w:hAnsi="Cambria Math"/>
          </w:rPr>
          <m:t xml:space="preserve">1.10</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1.95</m:t>
        </m:r>
      </m:oMath>
      <w:r>
        <w:rPr/>
        <w:t xml:space="preserve"> cells; all 95% bootstrap CIs exclude zero) and were 42 to 64 percentage points less likely to select the optimal alternative (</w:t>
      </w:r>
      <w:hyperlink w:anchor="apptbl-bags-contrast">
        <w:r>
          <w:rPr>
            <w:rStyle w:val="Hyperlink"/>
          </w:rPr>
          <w:t>Table W18</w:t>
        </w:r>
      </w:hyperlink>
      <w:r>
        <w:rPr/>
        <w:t>).</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20" w:name="fig-study1-bags-sensitivity"/>
            <w:r>
              <w:rPr/>
              <w:drawing>
                <wp:inline distT="0" distB="0" distL="0" distR="0">
                  <wp:extent cx="5052060" cy="140271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052060" cy="1402715"/>
                          </a:xfrm>
                          <a:prstGeom prst="rect">
                            <a:avLst/>
                          </a:prstGeom>
                          <a:noFill/>
                        </pic:spPr>
                      </pic:pic>
                    </a:graphicData>
                  </a:graphic>
                </wp:inline>
              </w:drawing>
            </w:r>
          </w:p>
          <w:p>
            <w:pPr>
              <w:pStyle w:val="ImageCaption"/>
              <w:spacing w:before="200" w:after="120"/>
              <w:jc w:val="left"/>
              <w:rPr/>
            </w:pPr>
            <w:r>
              <w:rPr/>
              <w:t>Figure 1: Effects of purchase volume manipulation on optimization objective construal, diagnostic information acquisitions, and choice optimality (Study 1 Tool-Lab).</w:t>
            </w:r>
            <w:bookmarkEnd w:id="20"/>
          </w:p>
        </w:tc>
      </w:tr>
    </w:tbl>
    <w:p>
      <w:pPr>
        <w:pStyle w:val="BodyText"/>
        <w:rPr/>
      </w:pPr>
      <w:r>
        <w:rPr>
          <w:i/>
          <w:iCs/>
        </w:rPr>
        <w:t>Note.</w:t>
      </w:r>
      <w:r>
        <w:rPr/>
        <w:t xml:space="preserve"> Left panel: Proportion of sessions in which the LLM initially adopts an absolute price minimization objective (classified from pre-acquisition reasoning traces). Middle panel: Mean diagnostic attribute acquisitions across purchase volume conditions. Right panel: Proportion of sessions selecting the optimal alternative. Tool acquisition cost is $0.00 across all conditions. Error bands represent 95% confidence intervals. The x-axis is plotted on a logarithmic scale.</w:t>
      </w:r>
      <w:bookmarkEnd w:id="9"/>
    </w:p>
    <w:p>
      <w:pPr>
        <w:pStyle w:val="Heading2"/>
        <w:rPr/>
      </w:pPr>
      <w:bookmarkStart w:id="21" w:name="discussion"/>
      <w:r>
        <w:rPr/>
        <w:t>Discussion</w:t>
      </w:r>
    </w:p>
    <w:p>
      <w:pPr>
        <w:pStyle w:val="FirstParagraph"/>
        <w:rPr/>
      </w:pPr>
      <w:r>
        <w:rPr/>
        <w:t>Normative Expectimax benchmarking shows that reduction in diagnostic acquisitions is economically defensible under constraint. Optimal search policies also abandon cents because the expected price variance across alternatives is smaller than the cumulative inspection cost (Web Appendix C). Thus, LLMs relying on whole-dollars under cost reflect an economically sound strategy, even though it exposes them to constructed pricing traps.</w:t>
      </w:r>
      <w:bookmarkEnd w:id="6"/>
      <w:bookmarkEnd w:id="21"/>
    </w:p>
    <w:p>
      <w:pPr>
        <w:pStyle w:val="Heading1"/>
        <w:rPr/>
      </w:pPr>
      <w:bookmarkStart w:id="22" w:name="study-2"/>
      <w:r>
        <w:rPr/>
        <w:t>Study 2</w:t>
      </w:r>
    </w:p>
    <w:p>
      <w:pPr>
        <w:pStyle w:val="FirstParagraph"/>
        <w:rPr/>
      </w:pPr>
      <w:r>
        <w:rPr/>
        <w:t>While Study 1 examined fractional price endings, Study 2 investigates promotional discount framing. Evaluating a promotional offer requires multi-attribute arithmetics. An LLM must apply a percentage discount to a base list price to determine net expenditure, and then divide that net cost by product weight to derive unit value [</w:t>
      </w:r>
      <w:r>
        <w:rPr/>
      </w:r>
      <m:oMath xmlns:m="http://schemas.openxmlformats.org/officeDocument/2006/math">
        <m:f>
          <m:num>
            <m:r>
              <m:rPr>
                <m:lit/>
                <m:nor/>
              </m:rPr>
              <w:rPr>
                <w:rFonts w:ascii="Cambria Math" w:hAnsi="Cambria Math"/>
              </w:rPr>
              <m:t xml:space="preserve">List Price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m:rPr>
                <m:lit/>
                <m:nor/>
              </m:rPr>
              <w:rPr>
                <w:rFonts w:ascii="Cambria Math" w:hAnsi="Cambria Math"/>
              </w:rPr>
              <m:t xml:space="preserve">Discount</m:t>
            </m:r>
            <m:r>
              <w:rPr>
                <w:rFonts w:ascii="Cambria Math" w:hAnsi="Cambria Math"/>
              </w:rPr>
              <m:t xml:space="preserve">)</m:t>
            </m:r>
          </m:num>
          <m:den>
            <m:r>
              <m:rPr>
                <m:lit/>
                <m:nor/>
              </m:rPr>
              <w:rPr>
                <w:rFonts w:ascii="Cambria Math" w:hAnsi="Cambria Math"/>
              </w:rPr>
              <m:t xml:space="preserve">Weight</m:t>
            </m:r>
          </m:den>
        </m:f>
      </m:oMath>
      <w:r>
        <w:rPr/>
        <w:t>].</w:t>
      </w:r>
    </w:p>
    <w:p>
      <w:pPr>
        <w:pStyle w:val="Heading2"/>
        <w:rPr/>
      </w:pPr>
      <w:bookmarkStart w:id="23" w:name="baseline-1"/>
      <w:r>
        <w:rPr/>
        <w:t>Baseline</w:t>
      </w:r>
    </w:p>
    <w:p>
      <w:pPr>
        <w:pStyle w:val="FirstParagraph"/>
        <w:rPr/>
      </w:pPr>
      <w:r>
        <w:rPr/>
        <w:t>To isolate the effect of information acquisition constraints, we first establish how LLMs process promotional framing when all attributes are freely accessible. In this unconstrained baseline, net price is withheld from the prompt. Discounted alternatives display the list price, product weight, and a promotional discount percentage (manipulated from 5% to 40% in 5% increments). Thus, selecting the alternative with the lowest unit price requires the LLM to compute its unit price.</w:t>
      </w:r>
    </w:p>
    <w:p>
      <w:pPr>
        <w:pStyle w:val="BodyText"/>
        <w:rPr/>
      </w:pPr>
      <w:r>
        <w:rPr/>
        <w:t>Following Study 1, we constructed 1,149 Pareto-filtered, non-dominated choice sets of four ground coffee alternatives spanning the same four Amazon brands (</w:t>
      </w:r>
      <w:r>
        <w:rPr>
          <w:i/>
          <w:iCs/>
        </w:rPr>
        <w:t>McCafé, Maxwell House, Starbucks, Folgers</w:t>
      </w:r>
      <w:r>
        <w:rPr/>
        <w:t>). A random 50% of alternatives were assigned a promotional discount. We evaluated the eight LLMs from three providers under the standardized delegating prompt, counterbalancing alternative display positions to eliminate order effects. Full choice set generation algorithms, prompt templates, and econometric specifications are detailed in Web Appendix B.</w:t>
      </w:r>
    </w:p>
    <w:p>
      <w:pPr>
        <w:pStyle w:val="BodyText"/>
        <w:rPr/>
      </w:pPr>
      <w:r>
        <w:rPr/>
        <w:t xml:space="preserve">We estimate an independent conditional logit model for each LLM within the random utility framework detailed in Web Appendix B. An alternative’s net price is </w:t>
      </w:r>
      <w:r>
        <w:rPr/>
      </w:r>
      <m:oMath xmlns:m="http://schemas.openxmlformats.org/officeDocument/2006/math">
        <m:r>
          <m:rPr>
            <m:lit/>
            <m:nor/>
          </m:rPr>
          <w:rPr>
            <w:rFonts w:ascii="Cambria Math" w:hAnsi="Cambria Math"/>
          </w:rPr>
          <m:t xml:space="preserve">List Price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m:rPr>
            <m:lit/>
            <m:nor/>
          </m:rPr>
          <w:rPr>
            <w:rFonts w:ascii="Cambria Math" w:hAnsi="Cambria Math"/>
          </w:rPr>
          <m:t xml:space="preserve">Discount</m:t>
        </m:r>
        <m:r>
          <w:rPr>
            <w:rFonts w:ascii="Cambria Math" w:hAnsi="Cambria Math"/>
          </w:rPr>
          <m:t xml:space="preserve">)</m:t>
        </m:r>
      </m:oMath>
      <w:r>
        <w:rPr/>
        <w:t>. A specification in which the LLM correctly synthesizes the discount implies a negative coefficient on base list price (</w:t>
      </w:r>
      <w:r>
        <w:rPr/>
      </w:r>
      <m:oMath xmlns:m="http://schemas.openxmlformats.org/officeDocument/2006/math">
        <m:sSub>
          <m:e>
            <m:r>
              <w:rPr>
                <w:rFonts w:ascii="Cambria Math" w:hAnsi="Cambria Math"/>
              </w:rPr>
              <m:t xml:space="preserve">β</m:t>
            </m:r>
          </m:e>
          <m:sub>
            <m:r>
              <w:rPr>
                <w:rFonts w:ascii="Cambria Math" w:hAnsi="Cambria Math"/>
              </w:rPr>
              <m:t xml:space="preserve">L</m:t>
            </m:r>
            <m:r>
              <w:rPr>
                <w:rFonts w:ascii="Cambria Math" w:hAnsi="Cambria Math"/>
              </w:rPr>
              <m:t xml:space="preserve">P</m:t>
            </m:r>
          </m:sub>
        </m:sSub>
        <m:r>
          <w:rPr>
            <w:rFonts w:ascii="Cambria Math" w:hAnsi="Cambria Math"/>
          </w:rPr>
          <m:t xml:space="preserve">&lt;</m:t>
        </m:r>
        <m:r>
          <w:rPr>
            <w:rFonts w:ascii="Cambria Math" w:hAnsi="Cambria Math"/>
          </w:rPr>
          <m:t xml:space="preserve">0</m:t>
        </m:r>
      </m:oMath>
      <w:r>
        <w:rPr/>
        <w:t>) and a positive coefficient on the computed promotional savings (</w:t>
      </w:r>
      <w:r>
        <w:rPr/>
      </w:r>
      <m:oMath xmlns:m="http://schemas.openxmlformats.org/officeDocument/2006/math">
        <m:sSub>
          <m:e>
            <m:r>
              <w:rPr>
                <w:rFonts w:ascii="Cambria Math" w:hAnsi="Cambria Math"/>
              </w:rPr>
              <m:t xml:space="preserve">β</m:t>
            </m:r>
          </m:e>
          <m:sub>
            <m:r>
              <w:rPr>
                <w:rFonts w:ascii="Cambria Math" w:hAnsi="Cambria Math"/>
              </w:rPr>
              <m:t xml:space="preserve">D</m:t>
            </m:r>
            <m:r>
              <w:rPr>
                <w:rFonts w:ascii="Cambria Math" w:hAnsi="Cambria Math"/>
              </w:rPr>
              <m:t xml:space="preserve">A</m:t>
            </m:r>
          </m:sub>
        </m:sSub>
        <m:r>
          <w:rPr>
            <w:rFonts w:ascii="Cambria Math" w:hAnsi="Cambria Math"/>
          </w:rPr>
          <m:t xml:space="preserve">&gt;</m:t>
        </m:r>
        <m:r>
          <w:rPr>
            <w:rFonts w:ascii="Cambria Math" w:hAnsi="Cambria Math"/>
          </w:rPr>
          <m:t xml:space="preserve">0</m:t>
        </m:r>
      </m:oMath>
      <w:r>
        <w:rPr/>
        <w:t xml:space="preserve">). The estimation results across all eight LLMs are reported in </w:t>
      </w:r>
      <w:hyperlink w:anchor="apptbl-s2aresults">
        <w:r>
          <w:rPr>
            <w:rStyle w:val="Hyperlink"/>
          </w:rPr>
          <w:t>Table W19</w:t>
        </w:r>
      </w:hyperlink>
      <w:r>
        <w:rPr/>
        <w:t>.</w:t>
      </w:r>
    </w:p>
    <w:p>
      <w:pPr>
        <w:pStyle w:val="BodyText"/>
        <w:rPr/>
      </w:pPr>
      <w:r>
        <w:rPr/>
        <w:t>Across all eight LLMs, base list price enters negatively (</w:t>
      </w:r>
      <w:r>
        <w:rPr/>
      </w:r>
      <m:oMath xmlns:m="http://schemas.openxmlformats.org/officeDocument/2006/math">
        <m:sSub>
          <m:e>
            <m:r>
              <w:rPr>
                <w:rFonts w:ascii="Cambria Math" w:hAnsi="Cambria Math"/>
              </w:rPr>
              <m:t xml:space="preserve">β</m:t>
            </m:r>
          </m:e>
          <m:sub>
            <m:r>
              <w:rPr>
                <w:rFonts w:ascii="Cambria Math" w:hAnsi="Cambria Math"/>
              </w:rPr>
              <m:t xml:space="preserve">L</m:t>
            </m:r>
            <m:r>
              <w:rPr>
                <w:rFonts w:ascii="Cambria Math" w:hAnsi="Cambria Math"/>
              </w:rPr>
              <m:t xml:space="preserve">P</m:t>
            </m:r>
          </m:sub>
        </m:sSub>
        <m:r>
          <w:rPr>
            <w:rFonts w:ascii="Cambria Math" w:hAnsi="Cambria Math"/>
          </w:rPr>
          <m:t xml:space="preserve">=</m:t>
        </m:r>
        <m:r>
          <w:rPr>
            <w:rFonts w:ascii="Cambria Math" w:hAnsi="Cambria Math"/>
          </w:rPr>
          <m:t xml:space="preserve">−</m:t>
        </m:r>
        <m:r>
          <w:rPr>
            <w:rFonts w:ascii="Cambria Math" w:hAnsi="Cambria Math"/>
          </w:rPr>
          <m:t xml:space="preserve">1.06</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3.08</m:t>
        </m:r>
        <m:r>
          <w:rPr>
            <w:rFonts w:ascii="Cambria Math" w:hAnsi="Cambria Math"/>
          </w:rPr>
          <m:t xml:space="preserve">,</m:t>
        </m:r>
        <m:r>
          <w:rPr>
            <w:rFonts w:ascii="Cambria Math" w:hAnsi="Cambria Math"/>
          </w:rPr>
          <m:t xml:space="preserve">p</m:t>
        </m:r>
        <m:r>
          <w:rPr>
            <w:rFonts w:ascii="Cambria Math" w:hAnsi="Cambria Math"/>
          </w:rPr>
          <m:t xml:space="preserve">&lt;</m:t>
        </m:r>
        <m:r>
          <w:rPr>
            <w:rFonts w:ascii="Cambria Math" w:hAnsi="Cambria Math"/>
          </w:rPr>
          <m:t xml:space="preserve">.001</m:t>
        </m:r>
      </m:oMath>
      <w:r>
        <w:rPr/>
        <w:t>) and discount amount enters positively (</w:t>
      </w:r>
      <w:r>
        <w:rPr/>
      </w:r>
      <m:oMath xmlns:m="http://schemas.openxmlformats.org/officeDocument/2006/math">
        <m:sSub>
          <m:e>
            <m:r>
              <w:rPr>
                <w:rFonts w:ascii="Cambria Math" w:hAnsi="Cambria Math"/>
              </w:rPr>
              <m:t xml:space="preserve">β</m:t>
            </m:r>
          </m:e>
          <m:sub>
            <m:r>
              <w:rPr>
                <w:rFonts w:ascii="Cambria Math" w:hAnsi="Cambria Math"/>
              </w:rPr>
              <m:t xml:space="preserve">D</m:t>
            </m:r>
            <m:r>
              <w:rPr>
                <w:rFonts w:ascii="Cambria Math" w:hAnsi="Cambria Math"/>
              </w:rPr>
              <m:t xml:space="preserve">A</m:t>
            </m:r>
          </m:sub>
        </m:sSub>
        <m:r>
          <w:rPr>
            <w:rFonts w:ascii="Cambria Math" w:hAnsi="Cambria Math"/>
          </w:rPr>
          <m:t xml:space="preserve">=</m:t>
        </m:r>
        <m:r>
          <w:rPr>
            <w:rFonts w:ascii="Cambria Math" w:hAnsi="Cambria Math"/>
          </w:rPr>
          <m:t xml:space="preserve">0.76</m:t>
        </m:r>
      </m:oMath>
      <w:r>
        <w:rPr/>
        <w:t xml:space="preserve"> to </w:t>
      </w:r>
      <w:r>
        <w:rPr/>
      </w:r>
      <m:oMath xmlns:m="http://schemas.openxmlformats.org/officeDocument/2006/math">
        <m:r>
          <w:rPr>
            <w:rFonts w:ascii="Cambria Math" w:hAnsi="Cambria Math"/>
          </w:rPr>
          <m:t xml:space="preserve">3.08</m:t>
        </m:r>
        <m:r>
          <w:rPr>
            <w:rFonts w:ascii="Cambria Math" w:hAnsi="Cambria Math"/>
          </w:rPr>
          <m:t xml:space="preserve">,</m:t>
        </m:r>
        <m:r>
          <w:rPr>
            <w:rFonts w:ascii="Cambria Math" w:hAnsi="Cambria Math"/>
          </w:rPr>
          <m:t xml:space="preserve">p</m:t>
        </m:r>
        <m:r>
          <w:rPr>
            <w:rFonts w:ascii="Cambria Math" w:hAnsi="Cambria Math"/>
          </w:rPr>
          <m:t xml:space="preserve">&lt;</m:t>
        </m:r>
        <m:r>
          <w:rPr>
            <w:rFonts w:ascii="Cambria Math" w:hAnsi="Cambria Math"/>
          </w:rPr>
          <m:t xml:space="preserve">.001</m:t>
        </m:r>
      </m:oMath>
      <w:r>
        <w:rPr/>
        <w:t>). Furthermore, product weight is a significant, positive predictor of choice for every LLM (</w:t>
      </w:r>
      <w:r>
        <w:rPr/>
      </w:r>
      <m:oMath xmlns:m="http://schemas.openxmlformats.org/officeDocument/2006/math">
        <m:sSub>
          <m:e>
            <m:r>
              <w:rPr>
                <w:rFonts w:ascii="Cambria Math" w:hAnsi="Cambria Math"/>
              </w:rPr>
              <m:t xml:space="preserve">β</m:t>
            </m:r>
          </m:e>
          <m:sub>
            <m:r>
              <w:rPr>
                <w:rFonts w:ascii="Cambria Math" w:hAnsi="Cambria Math"/>
              </w:rPr>
              <m:t xml:space="preserve">W</m:t>
            </m:r>
          </m:sub>
        </m:sSub>
        <m:r>
          <w:rPr>
            <w:rFonts w:ascii="Cambria Math" w:hAnsi="Cambria Math"/>
          </w:rPr>
          <m:t xml:space="preserve">=</m:t>
        </m:r>
        <m:r>
          <w:rPr>
            <w:rFonts w:ascii="Cambria Math" w:hAnsi="Cambria Math"/>
          </w:rPr>
          <m:t xml:space="preserve">0.78</m:t>
        </m:r>
      </m:oMath>
      <w:r>
        <w:rPr/>
        <w:t xml:space="preserve"> to </w:t>
      </w:r>
      <w:r>
        <w:rPr/>
      </w:r>
      <m:oMath xmlns:m="http://schemas.openxmlformats.org/officeDocument/2006/math">
        <m:r>
          <w:rPr>
            <w:rFonts w:ascii="Cambria Math" w:hAnsi="Cambria Math"/>
          </w:rPr>
          <m:t xml:space="preserve">1.79</m:t>
        </m:r>
        <m:r>
          <w:rPr>
            <w:rFonts w:ascii="Cambria Math" w:hAnsi="Cambria Math"/>
          </w:rPr>
          <m:t xml:space="preserve">,</m:t>
        </m:r>
        <m:r>
          <w:rPr>
            <w:rFonts w:ascii="Cambria Math" w:hAnsi="Cambria Math"/>
          </w:rPr>
          <m:t xml:space="preserve">p</m:t>
        </m:r>
        <m:r>
          <w:rPr>
            <w:rFonts w:ascii="Cambria Math" w:hAnsi="Cambria Math"/>
          </w:rPr>
          <m:t xml:space="preserve">&lt;</m:t>
        </m:r>
        <m:r>
          <w:rPr>
            <w:rFonts w:ascii="Cambria Math" w:hAnsi="Cambria Math"/>
          </w:rPr>
          <m:t xml:space="preserve">.001</m:t>
        </m:r>
      </m:oMath>
      <w:r>
        <w:rPr/>
        <w:t>), indicating that the AI agents incorporate volume into their economic evaluations.</w:t>
      </w:r>
    </w:p>
    <w:p>
      <w:pPr>
        <w:pStyle w:val="BodyText"/>
        <w:rPr/>
      </w:pPr>
      <w:r>
        <w:rPr/>
        <w:t>To evaluate whether the LLMs treat promotional savings as economically equivalent to list prices, we examine the ratio of marginal utility for discount savings relative to list price disutility (</w:t>
      </w:r>
      <w:r>
        <w:rPr/>
      </w:r>
      <m:oMath xmlns:m="http://schemas.openxmlformats.org/officeDocument/2006/math">
        <m:f>
          <m:fPr>
            <m:type m:val="lin"/>
          </m:fPr>
          <m:num>
            <m:sSub>
              <m:e>
                <m:r>
                  <w:rPr>
                    <w:rFonts w:ascii="Cambria Math" w:hAnsi="Cambria Math"/>
                  </w:rPr>
                  <m:t xml:space="preserve">β</m:t>
                </m:r>
              </m:e>
              <m:sub>
                <m:r>
                  <m:rPr>
                    <m:lit/>
                    <m:nor/>
                  </m:rPr>
                  <w:rPr>
                    <w:rFonts w:ascii="Cambria Math" w:hAnsi="Cambria Math"/>
                  </w:rPr>
                  <m:t xml:space="preserve">Discount Amount</m:t>
                </m:r>
              </m:sub>
            </m:sSub>
          </m:num>
          <m:den>
            <m:r>
              <m:rPr>
                <m:lit/>
                <m:nor/>
              </m:rPr>
              <w:rPr>
                <w:rFonts w:ascii="Cambria Math" w:hAnsi="Cambria Math"/>
              </w:rPr>
              <m:t xml:space="preserve">|</m:t>
            </m:r>
          </m:den>
        </m:f>
        <m:sSub>
          <m:e>
            <m:r>
              <w:rPr>
                <w:rFonts w:ascii="Cambria Math" w:hAnsi="Cambria Math"/>
              </w:rPr>
              <m:t xml:space="preserve">β</m:t>
            </m:r>
          </m:e>
          <m:sub>
            <m:r>
              <m:rPr>
                <m:lit/>
                <m:nor/>
              </m:rPr>
              <w:rPr>
                <w:rFonts w:ascii="Cambria Math" w:hAnsi="Cambria Math"/>
              </w:rPr>
              <m:t xml:space="preserve">List Price</m:t>
            </m:r>
          </m:sub>
        </m:sSub>
        <m:r>
          <m:rPr>
            <m:lit/>
            <m:nor/>
          </m:rPr>
          <w:rPr>
            <w:rFonts w:ascii="Cambria Math" w:hAnsi="Cambria Math"/>
          </w:rPr>
          <m:t xml:space="preserve">|</m:t>
        </m:r>
      </m:oMath>
      <w:r>
        <w:rPr/>
        <w:t xml:space="preserve">; </w:t>
      </w:r>
      <w:hyperlink w:anchor="apptbl-s2a-discount-price-ratio">
        <w:r>
          <w:rPr>
            <w:rStyle w:val="Hyperlink"/>
          </w:rPr>
          <w:t>Table W20</w:t>
        </w:r>
      </w:hyperlink>
      <w:r>
        <w:rPr/>
        <w:t>), with exact 95% confidence intervals derived via Fieller’s theorem (Fieller 1954).</w:t>
      </w:r>
    </w:p>
    <w:p>
      <w:pPr>
        <w:pStyle w:val="BodyText"/>
        <w:rPr/>
      </w:pPr>
      <w:r>
        <w:rPr/>
        <w:t>For six of the eight LLMs (Gemini 3.8 Flash, Gemini 3.1 Pro, Claude Sonnet 5, GPT-5.6 Luna, GPT-5.6 Terra, and GPT-5.6 Sol), the ratio ranges between 0.99 and 1.03, and all six 95% confidence intervals include 1.00 (</w:t>
      </w:r>
      <w:hyperlink w:anchor="apptbl-s2a-discount-price-ratio">
        <w:r>
          <w:rPr>
            <w:rStyle w:val="Hyperlink"/>
          </w:rPr>
          <w:t>Table W20</w:t>
        </w:r>
      </w:hyperlink>
      <w:r>
        <w:rPr/>
        <w:t xml:space="preserve">). This shows that under full information, these LLMs evaluate promotional dollar savings as economically equivalent to an equal reduction in list price. Departures from symmetry are confined to two LLMs. Claude Opus 5 exhibits a small discount over-weighting (ratio = 1.15, 95% CI </w:t>
      </w:r>
      <w:r>
        <w:rPr/>
      </w:r>
      <m:oMath xmlns:m="http://schemas.openxmlformats.org/officeDocument/2006/math">
        <m:r>
          <w:rPr>
            <w:rFonts w:ascii="Cambria Math" w:hAnsi="Cambria Math"/>
          </w:rPr>
          <m:t xml:space="preserve">[</m:t>
        </m:r>
        <m:r>
          <w:rPr>
            <w:rFonts w:ascii="Cambria Math" w:hAnsi="Cambria Math"/>
          </w:rPr>
          <m:t xml:space="preserve">1.11</m:t>
        </m:r>
        <m:r>
          <w:rPr>
            <w:rFonts w:ascii="Cambria Math" w:hAnsi="Cambria Math"/>
          </w:rPr>
          <m:t xml:space="preserve">,</m:t>
        </m:r>
        <m:r>
          <w:rPr>
            <w:rFonts w:ascii="Cambria Math" w:hAnsi="Cambria Math"/>
          </w:rPr>
          <m:t xml:space="preserve">1.19</m:t>
        </m:r>
        <m:r>
          <w:rPr>
            <w:rFonts w:ascii="Cambria Math" w:hAnsi="Cambria Math"/>
          </w:rPr>
          <m:t xml:space="preserve">]</m:t>
        </m:r>
      </m:oMath>
      <w:r>
        <w:rPr/>
        <w:t xml:space="preserve">), whereas Gemini 3.5 Flash Lite under-weights discount savings relative to base price reductions (ratio = 0.72, 95% CI </w:t>
      </w:r>
      <w:r>
        <w:rPr/>
      </w:r>
      <m:oMath xmlns:m="http://schemas.openxmlformats.org/officeDocument/2006/math">
        <m:r>
          <w:rPr>
            <w:rFonts w:ascii="Cambria Math" w:hAnsi="Cambria Math"/>
          </w:rPr>
          <m:t xml:space="preserve">[</m:t>
        </m:r>
        <m:r>
          <w:rPr>
            <w:rFonts w:ascii="Cambria Math" w:hAnsi="Cambria Math"/>
          </w:rPr>
          <m:t xml:space="preserve">0.67</m:t>
        </m:r>
        <m:r>
          <w:rPr>
            <w:rFonts w:ascii="Cambria Math" w:hAnsi="Cambria Math"/>
          </w:rPr>
          <m:t xml:space="preserve">,</m:t>
        </m:r>
        <m:r>
          <w:rPr>
            <w:rFonts w:ascii="Cambria Math" w:hAnsi="Cambria Math"/>
          </w:rPr>
          <m:t xml:space="preserve">0.77</m:t>
        </m:r>
        <m:r>
          <w:rPr>
            <w:rFonts w:ascii="Cambria Math" w:hAnsi="Cambria Math"/>
          </w:rPr>
          <m:t xml:space="preserve">]</m:t>
        </m:r>
      </m:oMath>
      <w:r>
        <w:rPr/>
        <w:t>).</w:t>
      </w:r>
    </w:p>
    <w:p>
      <w:pPr>
        <w:pStyle w:val="BodyText"/>
        <w:rPr/>
      </w:pPr>
      <w:r>
        <w:rPr/>
        <w:t>These baseline findings establish that when information acquisition is free, LLMs can synthesize list prices, discounts, and product weight into utility-maximizing decisions, albeit in some cases over- (under-) weighting the value of discounts. Therefore, degradations in choice optimality observed under acquisition costs cannot be attributed to an inherent inability to compute net prices. The subsequent Tool-Lab experiment introduces acquisition cost to examine how resource constraints alter attribute search trajectories and final choices.</w:t>
      </w:r>
      <w:bookmarkEnd w:id="23"/>
    </w:p>
    <w:p>
      <w:pPr>
        <w:pStyle w:val="Heading2"/>
        <w:rPr/>
      </w:pPr>
      <w:bookmarkStart w:id="24" w:name="tool-lab-1"/>
      <w:r>
        <w:rPr/>
        <w:t>Tool-Lab</w:t>
      </w:r>
    </w:p>
    <w:p>
      <w:pPr>
        <w:pStyle w:val="FirstParagraph"/>
        <w:rPr/>
      </w:pPr>
      <w:r>
        <w:rPr/>
        <w:t>Study 2 Tool-Lab tests H1–H3 in the promotional environment, hiding the attributes that Study 2 Baseline made freely visible. The Tool-Lab setup follows Study 1 Tool-Lab, with two structural modifications. First, we expand the choice set from two to three alternatives. The three alternatives represent three decision fallbacks: lowest price, lowest price per weight, or discounted (</w:t>
      </w:r>
      <w:hyperlink w:anchor="tbl-s2b-stimuli">
        <w:r>
          <w:rPr>
            <w:rStyle w:val="Hyperlink"/>
          </w:rPr>
          <w:t>Table 4</w:t>
        </w:r>
      </w:hyperlink>
      <w:r>
        <w:rPr/>
        <w:t>).</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4: Product stimuli and economic value decoupling (Study 2 Tool-Lab)</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306"/>
              <w:gridCol w:w="1306"/>
              <w:gridCol w:w="1307"/>
              <w:gridCol w:w="1306"/>
              <w:gridCol w:w="1306"/>
              <w:gridCol w:w="1306"/>
              <w:gridCol w:w="1307"/>
            </w:tblGrid>
            <w:tr>
              <w:trPr>
                <w:tblHeader w:val="true"/>
              </w:trPr>
              <w:tc>
                <w:tcPr>
                  <w:tcW w:w="1306" w:type="dxa"/>
                  <w:tcBorders/>
                  <w:vAlign w:val="center"/>
                </w:tcPr>
                <w:p>
                  <w:pPr>
                    <w:pStyle w:val="Compact"/>
                    <w:spacing w:before="36" w:after="36"/>
                    <w:jc w:val="center"/>
                    <w:rPr>
                      <w:b w:val="false"/>
                    </w:rPr>
                  </w:pPr>
                  <w:r>
                    <w:rPr>
                      <w:b w:val="false"/>
                    </w:rPr>
                    <w:t>Alternative</w:t>
                  </w:r>
                </w:p>
              </w:tc>
              <w:tc>
                <w:tcPr>
                  <w:tcW w:w="1306" w:type="dxa"/>
                  <w:tcBorders/>
                  <w:vAlign w:val="center"/>
                </w:tcPr>
                <w:p>
                  <w:pPr>
                    <w:pStyle w:val="Compact"/>
                    <w:spacing w:before="36" w:after="36"/>
                    <w:jc w:val="center"/>
                    <w:rPr>
                      <w:b w:val="false"/>
                    </w:rPr>
                  </w:pPr>
                  <w:r>
                    <w:rPr>
                      <w:b w:val="false"/>
                    </w:rPr>
                    <w:t>Decision role</w:t>
                  </w:r>
                </w:p>
              </w:tc>
              <w:tc>
                <w:tcPr>
                  <w:tcW w:w="1307" w:type="dxa"/>
                  <w:tcBorders/>
                  <w:vAlign w:val="center"/>
                </w:tcPr>
                <w:p>
                  <w:pPr>
                    <w:pStyle w:val="Compact"/>
                    <w:spacing w:before="36" w:after="36"/>
                    <w:jc w:val="center"/>
                    <w:rPr>
                      <w:b w:val="false"/>
                    </w:rPr>
                  </w:pPr>
                  <w:r>
                    <w:rPr>
                      <w:b w:val="false"/>
                    </w:rPr>
                    <w:t>List price</w:t>
                  </w:r>
                </w:p>
              </w:tc>
              <w:tc>
                <w:tcPr>
                  <w:tcW w:w="1306" w:type="dxa"/>
                  <w:tcBorders/>
                  <w:vAlign w:val="center"/>
                </w:tcPr>
                <w:p>
                  <w:pPr>
                    <w:pStyle w:val="Compact"/>
                    <w:spacing w:before="36" w:after="36"/>
                    <w:jc w:val="center"/>
                    <w:rPr>
                      <w:b w:val="false"/>
                    </w:rPr>
                  </w:pPr>
                  <w:r>
                    <w:rPr>
                      <w:b w:val="false"/>
                    </w:rPr>
                    <w:t>Discount</w:t>
                  </w:r>
                </w:p>
              </w:tc>
              <w:tc>
                <w:tcPr>
                  <w:tcW w:w="1306" w:type="dxa"/>
                  <w:tcBorders/>
                  <w:vAlign w:val="center"/>
                </w:tcPr>
                <w:p>
                  <w:pPr>
                    <w:pStyle w:val="Compact"/>
                    <w:spacing w:before="36" w:after="36"/>
                    <w:jc w:val="center"/>
                    <w:rPr>
                      <w:b w:val="false"/>
                    </w:rPr>
                  </w:pPr>
                  <w:r>
                    <w:rPr>
                      <w:b w:val="false"/>
                    </w:rPr>
                    <w:t>Net price</w:t>
                  </w:r>
                </w:p>
              </w:tc>
              <w:tc>
                <w:tcPr>
                  <w:tcW w:w="1306" w:type="dxa"/>
                  <w:tcBorders/>
                  <w:vAlign w:val="center"/>
                </w:tcPr>
                <w:p>
                  <w:pPr>
                    <w:pStyle w:val="Compact"/>
                    <w:spacing w:before="36" w:after="36"/>
                    <w:jc w:val="center"/>
                    <w:rPr>
                      <w:b w:val="false"/>
                    </w:rPr>
                  </w:pPr>
                  <w:r>
                    <w:rPr>
                      <w:b w:val="false"/>
                    </w:rPr>
                    <w:t>Weight</w:t>
                  </w:r>
                </w:p>
              </w:tc>
              <w:tc>
                <w:tcPr>
                  <w:tcW w:w="1307" w:type="dxa"/>
                  <w:tcBorders/>
                  <w:vAlign w:val="center"/>
                </w:tcPr>
                <w:p>
                  <w:pPr>
                    <w:pStyle w:val="Compact"/>
                    <w:spacing w:before="36" w:after="36"/>
                    <w:jc w:val="center"/>
                    <w:rPr>
                      <w:b w:val="false"/>
                    </w:rPr>
                  </w:pPr>
                  <w:r>
                    <w:rPr>
                      <w:b w:val="false"/>
                    </w:rPr>
                    <w:t>Price per ounce</w:t>
                  </w:r>
                </w:p>
              </w:tc>
            </w:tr>
            <w:tr>
              <w:trPr/>
              <w:tc>
                <w:tcPr>
                  <w:tcW w:w="1306" w:type="dxa"/>
                  <w:tcBorders>
                    <w:top w:val="nil"/>
                    <w:bottom w:val="nil"/>
                  </w:tcBorders>
                  <w:vAlign w:val="center"/>
                </w:tcPr>
                <w:p>
                  <w:pPr>
                    <w:pStyle w:val="Compact"/>
                    <w:spacing w:before="36" w:after="36"/>
                    <w:jc w:val="center"/>
                    <w:rPr/>
                  </w:pPr>
                  <w:r>
                    <w:rPr/>
                    <w:t>Coffee C</w:t>
                  </w:r>
                </w:p>
              </w:tc>
              <w:tc>
                <w:tcPr>
                  <w:tcW w:w="1306" w:type="dxa"/>
                  <w:tcBorders>
                    <w:top w:val="nil"/>
                    <w:bottom w:val="nil"/>
                  </w:tcBorders>
                  <w:vAlign w:val="center"/>
                </w:tcPr>
                <w:p>
                  <w:pPr>
                    <w:pStyle w:val="Compact"/>
                    <w:spacing w:before="36" w:after="36"/>
                    <w:jc w:val="center"/>
                    <w:rPr/>
                  </w:pPr>
                  <w:r>
                    <w:rPr/>
                    <w:t>Lowest price</w:t>
                  </w:r>
                </w:p>
              </w:tc>
              <w:tc>
                <w:tcPr>
                  <w:tcW w:w="1307" w:type="dxa"/>
                  <w:tcBorders>
                    <w:top w:val="nil"/>
                    <w:bottom w:val="nil"/>
                  </w:tcBorders>
                  <w:vAlign w:val="center"/>
                </w:tcPr>
                <w:p>
                  <w:pPr>
                    <w:pStyle w:val="Compact"/>
                    <w:spacing w:before="36" w:after="36"/>
                    <w:jc w:val="center"/>
                    <w:rPr/>
                  </w:pPr>
                  <w:r>
                    <w:rPr/>
                    <w:t>$8.00</w:t>
                  </w:r>
                </w:p>
              </w:tc>
              <w:tc>
                <w:tcPr>
                  <w:tcW w:w="1306" w:type="dxa"/>
                  <w:tcBorders>
                    <w:top w:val="nil"/>
                    <w:bottom w:val="nil"/>
                  </w:tcBorders>
                  <w:vAlign w:val="center"/>
                </w:tcPr>
                <w:p>
                  <w:pPr>
                    <w:pStyle w:val="Compact"/>
                    <w:spacing w:before="36" w:after="36"/>
                    <w:jc w:val="center"/>
                    <w:rPr/>
                  </w:pPr>
                  <w:r>
                    <w:rPr/>
                    <w:t>0%</w:t>
                  </w:r>
                </w:p>
              </w:tc>
              <w:tc>
                <w:tcPr>
                  <w:tcW w:w="1306" w:type="dxa"/>
                  <w:tcBorders>
                    <w:top w:val="nil"/>
                    <w:bottom w:val="nil"/>
                  </w:tcBorders>
                  <w:vAlign w:val="center"/>
                </w:tcPr>
                <w:p>
                  <w:pPr>
                    <w:pStyle w:val="Compact"/>
                    <w:spacing w:before="36" w:after="36"/>
                    <w:jc w:val="center"/>
                    <w:rPr/>
                  </w:pPr>
                  <w:r>
                    <w:rPr/>
                    <w:t>$8.00</w:t>
                  </w:r>
                </w:p>
              </w:tc>
              <w:tc>
                <w:tcPr>
                  <w:tcW w:w="1306" w:type="dxa"/>
                  <w:tcBorders>
                    <w:top w:val="nil"/>
                    <w:bottom w:val="nil"/>
                  </w:tcBorders>
                  <w:vAlign w:val="center"/>
                </w:tcPr>
                <w:p>
                  <w:pPr>
                    <w:pStyle w:val="Compact"/>
                    <w:spacing w:before="36" w:after="36"/>
                    <w:jc w:val="center"/>
                    <w:rPr/>
                  </w:pPr>
                  <w:r>
                    <w:rPr/>
                    <w:t>8.0 oz</w:t>
                  </w:r>
                </w:p>
              </w:tc>
              <w:tc>
                <w:tcPr>
                  <w:tcW w:w="1307" w:type="dxa"/>
                  <w:tcBorders>
                    <w:top w:val="nil"/>
                    <w:bottom w:val="nil"/>
                  </w:tcBorders>
                  <w:vAlign w:val="center"/>
                </w:tcPr>
                <w:p>
                  <w:pPr>
                    <w:pStyle w:val="Compact"/>
                    <w:spacing w:before="36" w:after="36"/>
                    <w:jc w:val="center"/>
                    <w:rPr/>
                  </w:pPr>
                  <w:r>
                    <w:rPr/>
                    <w:t>$1.000/oz</w:t>
                  </w:r>
                </w:p>
              </w:tc>
            </w:tr>
            <w:tr>
              <w:trPr/>
              <w:tc>
                <w:tcPr>
                  <w:tcW w:w="1306" w:type="dxa"/>
                  <w:tcBorders>
                    <w:top w:val="nil"/>
                    <w:bottom w:val="nil"/>
                  </w:tcBorders>
                  <w:vAlign w:val="center"/>
                </w:tcPr>
                <w:p>
                  <w:pPr>
                    <w:pStyle w:val="Compact"/>
                    <w:spacing w:before="36" w:after="36"/>
                    <w:jc w:val="center"/>
                    <w:rPr/>
                  </w:pPr>
                  <w:r>
                    <w:rPr/>
                    <w:t>Coffee D</w:t>
                  </w:r>
                </w:p>
              </w:tc>
              <w:tc>
                <w:tcPr>
                  <w:tcW w:w="1306" w:type="dxa"/>
                  <w:tcBorders>
                    <w:top w:val="nil"/>
                    <w:bottom w:val="nil"/>
                  </w:tcBorders>
                  <w:vAlign w:val="center"/>
                </w:tcPr>
                <w:p>
                  <w:pPr>
                    <w:pStyle w:val="Compact"/>
                    <w:spacing w:before="36" w:after="36"/>
                    <w:jc w:val="center"/>
                    <w:rPr/>
                  </w:pPr>
                  <w:r>
                    <w:rPr/>
                    <w:t>discount cue</w:t>
                  </w:r>
                </w:p>
              </w:tc>
              <w:tc>
                <w:tcPr>
                  <w:tcW w:w="1307" w:type="dxa"/>
                  <w:tcBorders>
                    <w:top w:val="nil"/>
                    <w:bottom w:val="nil"/>
                  </w:tcBorders>
                  <w:vAlign w:val="center"/>
                </w:tcPr>
                <w:p>
                  <w:pPr>
                    <w:pStyle w:val="Compact"/>
                    <w:spacing w:before="36" w:after="36"/>
                    <w:jc w:val="center"/>
                    <w:rPr/>
                  </w:pPr>
                  <w:r>
                    <w:rPr/>
                    <w:t>$15.00</w:t>
                  </w:r>
                </w:p>
              </w:tc>
              <w:tc>
                <w:tcPr>
                  <w:tcW w:w="1306" w:type="dxa"/>
                  <w:tcBorders>
                    <w:top w:val="nil"/>
                    <w:bottom w:val="nil"/>
                  </w:tcBorders>
                  <w:vAlign w:val="center"/>
                </w:tcPr>
                <w:p>
                  <w:pPr>
                    <w:pStyle w:val="Compact"/>
                    <w:spacing w:before="36" w:after="36"/>
                    <w:jc w:val="center"/>
                    <w:rPr/>
                  </w:pPr>
                  <w:r>
                    <w:rPr/>
                    <w:t>20%</w:t>
                  </w:r>
                </w:p>
              </w:tc>
              <w:tc>
                <w:tcPr>
                  <w:tcW w:w="1306" w:type="dxa"/>
                  <w:tcBorders>
                    <w:top w:val="nil"/>
                    <w:bottom w:val="nil"/>
                  </w:tcBorders>
                  <w:vAlign w:val="center"/>
                </w:tcPr>
                <w:p>
                  <w:pPr>
                    <w:pStyle w:val="Compact"/>
                    <w:spacing w:before="36" w:after="36"/>
                    <w:jc w:val="center"/>
                    <w:rPr/>
                  </w:pPr>
                  <w:r>
                    <w:rPr/>
                    <w:t>$12.00</w:t>
                  </w:r>
                </w:p>
              </w:tc>
              <w:tc>
                <w:tcPr>
                  <w:tcW w:w="1306" w:type="dxa"/>
                  <w:tcBorders>
                    <w:top w:val="nil"/>
                    <w:bottom w:val="nil"/>
                  </w:tcBorders>
                  <w:vAlign w:val="center"/>
                </w:tcPr>
                <w:p>
                  <w:pPr>
                    <w:pStyle w:val="Compact"/>
                    <w:spacing w:before="36" w:after="36"/>
                    <w:jc w:val="center"/>
                    <w:rPr/>
                  </w:pPr>
                  <w:r>
                    <w:rPr/>
                    <w:t>12.0 oz</w:t>
                  </w:r>
                </w:p>
              </w:tc>
              <w:tc>
                <w:tcPr>
                  <w:tcW w:w="1307" w:type="dxa"/>
                  <w:tcBorders>
                    <w:top w:val="nil"/>
                    <w:bottom w:val="nil"/>
                  </w:tcBorders>
                  <w:vAlign w:val="center"/>
                </w:tcPr>
                <w:p>
                  <w:pPr>
                    <w:pStyle w:val="Compact"/>
                    <w:spacing w:before="36" w:after="36"/>
                    <w:jc w:val="center"/>
                    <w:rPr/>
                  </w:pPr>
                  <w:r>
                    <w:rPr/>
                    <w:t>$1.000/oz</w:t>
                  </w:r>
                </w:p>
              </w:tc>
            </w:tr>
            <w:tr>
              <w:trPr/>
              <w:tc>
                <w:tcPr>
                  <w:tcW w:w="1306" w:type="dxa"/>
                  <w:tcBorders>
                    <w:top w:val="nil"/>
                  </w:tcBorders>
                  <w:vAlign w:val="center"/>
                </w:tcPr>
                <w:p>
                  <w:pPr>
                    <w:pStyle w:val="Compact"/>
                    <w:spacing w:before="36" w:after="36"/>
                    <w:jc w:val="center"/>
                    <w:rPr/>
                  </w:pPr>
                  <w:r>
                    <w:rPr/>
                    <w:t>Coffee E</w:t>
                  </w:r>
                </w:p>
              </w:tc>
              <w:tc>
                <w:tcPr>
                  <w:tcW w:w="1306" w:type="dxa"/>
                  <w:tcBorders>
                    <w:top w:val="nil"/>
                  </w:tcBorders>
                  <w:vAlign w:val="center"/>
                </w:tcPr>
                <w:p>
                  <w:pPr>
                    <w:pStyle w:val="Compact"/>
                    <w:spacing w:before="36" w:after="36"/>
                    <w:jc w:val="center"/>
                    <w:rPr/>
                  </w:pPr>
                  <w:r>
                    <w:rPr/>
                    <w:t>Lowest price per weight (Optimal)</w:t>
                  </w:r>
                </w:p>
              </w:tc>
              <w:tc>
                <w:tcPr>
                  <w:tcW w:w="1307" w:type="dxa"/>
                  <w:tcBorders>
                    <w:top w:val="nil"/>
                  </w:tcBorders>
                  <w:vAlign w:val="center"/>
                </w:tcPr>
                <w:p>
                  <w:pPr>
                    <w:pStyle w:val="Compact"/>
                    <w:spacing w:before="36" w:after="36"/>
                    <w:jc w:val="center"/>
                    <w:rPr/>
                  </w:pPr>
                  <w:r>
                    <w:rPr/>
                    <w:t>$10.00</w:t>
                  </w:r>
                </w:p>
              </w:tc>
              <w:tc>
                <w:tcPr>
                  <w:tcW w:w="1306" w:type="dxa"/>
                  <w:tcBorders>
                    <w:top w:val="nil"/>
                  </w:tcBorders>
                  <w:vAlign w:val="center"/>
                </w:tcPr>
                <w:p>
                  <w:pPr>
                    <w:pStyle w:val="Compact"/>
                    <w:spacing w:before="36" w:after="36"/>
                    <w:jc w:val="center"/>
                    <w:rPr/>
                  </w:pPr>
                  <w:r>
                    <w:rPr/>
                    <w:t>0%</w:t>
                  </w:r>
                </w:p>
              </w:tc>
              <w:tc>
                <w:tcPr>
                  <w:tcW w:w="1306" w:type="dxa"/>
                  <w:tcBorders>
                    <w:top w:val="nil"/>
                  </w:tcBorders>
                  <w:vAlign w:val="center"/>
                </w:tcPr>
                <w:p>
                  <w:pPr>
                    <w:pStyle w:val="Compact"/>
                    <w:spacing w:before="36" w:after="36"/>
                    <w:jc w:val="center"/>
                    <w:rPr/>
                  </w:pPr>
                  <w:r>
                    <w:rPr/>
                    <w:t>$10.00</w:t>
                  </w:r>
                </w:p>
              </w:tc>
              <w:tc>
                <w:tcPr>
                  <w:tcW w:w="1306" w:type="dxa"/>
                  <w:tcBorders>
                    <w:top w:val="nil"/>
                  </w:tcBorders>
                  <w:vAlign w:val="center"/>
                </w:tcPr>
                <w:p>
                  <w:pPr>
                    <w:pStyle w:val="Compact"/>
                    <w:spacing w:before="36" w:after="36"/>
                    <w:jc w:val="center"/>
                    <w:rPr/>
                  </w:pPr>
                  <w:r>
                    <w:rPr/>
                    <w:t>10.9 oz</w:t>
                  </w:r>
                </w:p>
              </w:tc>
              <w:tc>
                <w:tcPr>
                  <w:tcW w:w="1307" w:type="dxa"/>
                  <w:tcBorders>
                    <w:top w:val="nil"/>
                  </w:tcBorders>
                  <w:vAlign w:val="center"/>
                </w:tcPr>
                <w:p>
                  <w:pPr>
                    <w:pStyle w:val="Compact"/>
                    <w:spacing w:before="36" w:after="36"/>
                    <w:jc w:val="center"/>
                    <w:rPr/>
                  </w:pPr>
                  <w:r>
                    <w:rPr/>
                    <w:t>$0.917/oz</w:t>
                  </w:r>
                  <w:bookmarkStart w:id="25" w:name="tbl-s2b-stimuli"/>
                  <w:bookmarkEnd w:id="25"/>
                </w:p>
              </w:tc>
            </w:tr>
          </w:tbl>
          <w:p>
            <w:pPr>
              <w:pStyle w:val="Normal"/>
              <w:spacing w:before="0" w:after="200"/>
              <w:jc w:val="left"/>
              <w:rPr>
                <w:sz w:val="24"/>
              </w:rPr>
            </w:pPr>
            <w:r>
              <w:rPr>
                <w:sz w:val="24"/>
              </w:rPr>
            </w:r>
          </w:p>
        </w:tc>
      </w:tr>
    </w:tbl>
    <w:p>
      <w:pPr>
        <w:pStyle w:val="BodyText"/>
        <w:rPr/>
      </w:pPr>
      <w:r>
        <w:rPr/>
        <w:t>Second, the discount cue has higher Expected Value of Information (EVI) than cents. A 20% discount on a $11.87 list price (average instant coffee list price from the Walmart data; Web Appendix C) yields $2.37 in nominal savings per bag ($11.87 total across the 5-bag purchase), compared to cents in Study 1, which can alter the net price by a maximum of $0.99 ($4.95 total across the 5-bag purchase). To establish a commensurate economic trade-off against this higher-stakes attribute across an expanded 21-cell board (9 diagnostic, 12 non-diagnostic cells), we scale the acquisition cost condition to $50.00 per inspection.</w:t>
      </w:r>
    </w:p>
    <w:p>
      <w:pPr>
        <w:pStyle w:val="BodyText"/>
        <w:rPr/>
      </w:pPr>
      <w:r>
        <w:rPr/>
        <w:t xml:space="preserve">We implement a 2 (Acquisition cost: $0.00 vs. $50.00 per </w:t>
      </w:r>
      <w:r>
        <w:rPr>
          <w:i/>
          <w:iCs/>
        </w:rPr>
        <w:t>inspect_cell</w:t>
      </w:r>
      <w:r>
        <w:rPr/>
        <w:t xml:space="preserve"> tool call) </w:t>
      </w:r>
      <w:r>
        <w:rPr/>
      </w:r>
      <m:oMath xmlns:m="http://schemas.openxmlformats.org/officeDocument/2006/math">
        <m:r>
          <w:rPr>
            <w:rFonts w:ascii="Cambria Math" w:hAnsi="Cambria Math"/>
          </w:rPr>
          <m:t xml:space="preserve">×</m:t>
        </m:r>
      </m:oMath>
      <w:r>
        <w:rPr/>
        <w:t xml:space="preserve"> 2 (Goal specificity: vague vs. specific goal prompt) between-sessions design. We test eight LLMs across 100 independent sessions per cell, yielding 3,200 sessions. The procedure and measures follow Study 1 Tool-Lab. </w:t>
      </w:r>
      <w:r>
        <w:rPr>
          <w:i/>
          <w:iCs/>
        </w:rPr>
        <w:t>Choice optimality</w:t>
      </w:r>
      <w:r>
        <w:rPr/>
        <w:t xml:space="preserve"> is coded 1 when the LLM selects Coffee E and 0 otherwise. </w:t>
      </w:r>
      <w:r>
        <w:rPr>
          <w:i/>
          <w:iCs/>
        </w:rPr>
        <w:t>Diagnostic acquisition</w:t>
      </w:r>
      <w:r>
        <w:rPr/>
        <w:t xml:space="preserve"> is the count of the nine diagnostic cells inspected.</w:t>
      </w:r>
    </w:p>
    <w:p>
      <w:pPr>
        <w:pStyle w:val="Heading3"/>
        <w:rPr/>
      </w:pPr>
      <w:bookmarkStart w:id="26" w:name="results-1"/>
      <w:r>
        <w:rPr/>
        <w:t>Results</w:t>
      </w:r>
    </w:p>
    <w:p>
      <w:pPr>
        <w:pStyle w:val="FirstParagraph"/>
        <w:rPr/>
      </w:pPr>
      <w:r>
        <w:rPr/>
        <w:t xml:space="preserve">Statistics for diagnostic acquisitions and choice optimality are reported in </w:t>
      </w:r>
      <w:hyperlink w:anchor="apptbl-s2b-descriptives">
        <w:r>
          <w:rPr>
            <w:rStyle w:val="Hyperlink"/>
          </w:rPr>
          <w:t>Table W21</w:t>
        </w:r>
      </w:hyperlink>
      <w:r>
        <w:rPr/>
        <w:t>. Under the specific goal prompt, diagnostic acquisition remains high across both zero cost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8.91</m:t>
        </m:r>
      </m:oMath>
      <w:r>
        <w:rPr/>
        <w:t xml:space="preserve"> to </w:t>
      </w:r>
      <w:r>
        <w:rPr/>
      </w:r>
      <m:oMath xmlns:m="http://schemas.openxmlformats.org/officeDocument/2006/math">
        <m:r>
          <w:rPr>
            <w:rFonts w:ascii="Cambria Math" w:hAnsi="Cambria Math"/>
          </w:rPr>
          <m:t xml:space="preserve">9.00</m:t>
        </m:r>
      </m:oMath>
      <w:r>
        <w:rPr/>
        <w:t>) and the $50.00 acquisition cost condition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6.03</m:t>
        </m:r>
      </m:oMath>
      <w:r>
        <w:rPr/>
        <w:t xml:space="preserve"> to </w:t>
      </w:r>
      <w:r>
        <w:rPr/>
      </w:r>
      <m:oMath xmlns:m="http://schemas.openxmlformats.org/officeDocument/2006/math">
        <m:r>
          <w:rPr>
            <w:rFonts w:ascii="Cambria Math" w:hAnsi="Cambria Math"/>
          </w:rPr>
          <m:t xml:space="preserve">9.00</m:t>
        </m:r>
      </m:oMath>
      <w:r>
        <w:rPr/>
        <w:t>), and choice optimality is largely maintained across cost levels for most LLMs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0.79</m:t>
        </m:r>
      </m:oMath>
      <w:r>
        <w:rPr/>
        <w:t xml:space="preserve"> to </w:t>
      </w:r>
      <w:r>
        <w:rPr/>
      </w:r>
      <m:oMath xmlns:m="http://schemas.openxmlformats.org/officeDocument/2006/math">
        <m:r>
          <w:rPr>
            <w:rFonts w:ascii="Cambria Math" w:hAnsi="Cambria Math"/>
          </w:rPr>
          <m:t xml:space="preserve">1.00</m:t>
        </m:r>
      </m:oMath>
      <w:r>
        <w:rPr/>
        <w:t xml:space="preserve">, with Gemini 3.5 Flash Lite at </w:t>
      </w:r>
      <w:r>
        <w:rPr/>
      </w:r>
      <m:oMath xmlns:m="http://schemas.openxmlformats.org/officeDocument/2006/math">
        <m:r>
          <w:rPr>
            <w:rFonts w:ascii="Cambria Math" w:hAnsi="Cambria Math"/>
          </w:rPr>
          <m:t xml:space="preserve">0.27</m:t>
        </m:r>
      </m:oMath>
      <w:r>
        <w:rPr/>
        <w:t xml:space="preserve"> to </w:t>
      </w:r>
      <w:r>
        <w:rPr/>
      </w:r>
      <m:oMath xmlns:m="http://schemas.openxmlformats.org/officeDocument/2006/math">
        <m:r>
          <w:rPr>
            <w:rFonts w:ascii="Cambria Math" w:hAnsi="Cambria Math"/>
          </w:rPr>
          <m:t xml:space="preserve">0.35</m:t>
        </m:r>
      </m:oMath>
      <w:r>
        <w:rPr/>
        <w:t>).</w:t>
      </w:r>
    </w:p>
    <w:p>
      <w:pPr>
        <w:pStyle w:val="BodyText"/>
        <w:rPr/>
      </w:pPr>
      <w:r>
        <w:rPr/>
        <w:t>Under the vague goal prompt, diagnostic acquisition is complete at zero cost across LLMs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9.00</m:t>
        </m:r>
      </m:oMath>
      <w:r>
        <w:rPr/>
        <w:t xml:space="preserve">). However, imposing the $50.00 acquisition cost under the vague goal prompt substantially reduces diagnostic acquisition for most LLMs (e.g.,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0.46</m:t>
        </m:r>
      </m:oMath>
      <w:r>
        <w:rPr/>
        <w:t xml:space="preserve"> for GPT-5.6 Sol, </w:t>
      </w:r>
      <w:r>
        <w:rPr/>
      </w:r>
      <m:oMath xmlns:m="http://schemas.openxmlformats.org/officeDocument/2006/math">
        <m:r>
          <w:rPr>
            <w:rFonts w:ascii="Cambria Math" w:hAnsi="Cambria Math"/>
          </w:rPr>
          <m:t xml:space="preserve">1.12</m:t>
        </m:r>
      </m:oMath>
      <w:r>
        <w:rPr/>
        <w:t xml:space="preserve"> for Gemini 3.8 Flash, and </w:t>
      </w:r>
      <w:r>
        <w:rPr/>
      </w:r>
      <m:oMath xmlns:m="http://schemas.openxmlformats.org/officeDocument/2006/math">
        <m:r>
          <w:rPr>
            <w:rFonts w:ascii="Cambria Math" w:hAnsi="Cambria Math"/>
          </w:rPr>
          <m:t xml:space="preserve">1.22</m:t>
        </m:r>
      </m:oMath>
      <w:r>
        <w:rPr/>
        <w:t xml:space="preserve"> for GPT-5.6 Terra), which corresponds with a decrease in choice optimality (</w:t>
      </w:r>
      <w:r>
        <w:rPr/>
      </w:r>
      <m:oMath xmlns:m="http://schemas.openxmlformats.org/officeDocument/2006/math">
        <m:r>
          <w:rPr>
            <w:rFonts w:ascii="Cambria Math" w:hAnsi="Cambria Math"/>
          </w:rPr>
          <m:t xml:space="preserve">0.09</m:t>
        </m:r>
      </m:oMath>
      <w:r>
        <w:rPr/>
        <w:t xml:space="preserve"> to </w:t>
      </w:r>
      <w:r>
        <w:rPr/>
      </w:r>
      <m:oMath xmlns:m="http://schemas.openxmlformats.org/officeDocument/2006/math">
        <m:r>
          <w:rPr>
            <w:rFonts w:ascii="Cambria Math" w:hAnsi="Cambria Math"/>
          </w:rPr>
          <m:t xml:space="preserve">0.57</m:t>
        </m:r>
      </m:oMath>
      <w:r>
        <w:rPr/>
        <w:t>). These patterns suggest that acquisition costs reduce decision quality primarily when delegation goals are vague. To formally evaluate these structural pathways (H1–H3), we estimate the Bayesian multilevel moderated mediation model (Web Appendix J).</w:t>
      </w:r>
    </w:p>
    <w:p>
      <w:pPr>
        <w:pStyle w:val="BodyText"/>
        <w:rPr/>
      </w:pPr>
      <w:r>
        <w:rPr>
          <w:b/>
          <w:bCs/>
        </w:rPr>
        <w:t>Moderated mediation analysis.</w:t>
      </w:r>
      <w:r>
        <w:rPr/>
        <w:t xml:space="preserve"> The empirical estimates support H1 (</w:t>
      </w:r>
      <w:hyperlink w:anchor="tbl-s2b-modmed">
        <w:r>
          <w:rPr>
            <w:rStyle w:val="Hyperlink"/>
          </w:rPr>
          <w:t>Table 5</w:t>
        </w:r>
      </w:hyperlink>
      <w:r>
        <w:rPr/>
        <w:t>). In the first stage, prompt specificity credibly moderates the relationship between acquisition cost and diagnostic acquisition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2.902</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1.121</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5.027</m:t>
        </m:r>
        <m:r>
          <w:rPr>
            <w:rFonts w:ascii="Cambria Math" w:hAnsi="Cambria Math"/>
          </w:rPr>
          <m:t xml:space="preserve">,</m:t>
        </m:r>
        <m:r>
          <w:rPr>
            <w:rFonts w:ascii="Cambria Math" w:hAnsi="Cambria Math"/>
          </w:rPr>
          <m:t xml:space="preserve">−</m:t>
        </m:r>
        <m:r>
          <w:rPr>
            <w:rFonts w:ascii="Cambria Math" w:hAnsi="Cambria Math"/>
          </w:rPr>
          <m:t xml:space="preserve">0.539</m:t>
        </m:r>
        <m:r>
          <w:rPr>
            <w:rFonts w:ascii="Cambria Math" w:hAnsi="Cambria Math"/>
          </w:rPr>
          <m:t xml:space="preserve">]</m:t>
        </m:r>
      </m:oMath>
      <w:r>
        <w:rPr/>
        <w:t>). Specifically, imposing acquisition costs significantly reduces diagnostic acquisition under the vague goal prompt (</w:t>
      </w:r>
      <w:r>
        <w:rPr/>
      </w:r>
      <m:oMath xmlns:m="http://schemas.openxmlformats.org/officeDocument/2006/math">
        <m:sSub>
          <m:e>
            <m:r>
              <w:rPr>
                <w:rFonts w:ascii="Cambria Math" w:hAnsi="Cambria Math"/>
              </w:rPr>
              <m:t xml:space="preserve">a</m:t>
            </m:r>
          </m:e>
          <m:sub>
            <m:r>
              <m:rPr>
                <m:lit/>
                <m:nor/>
              </m:rPr>
              <w:rPr>
                <w:rFonts w:ascii="Cambria Math" w:hAnsi="Cambria Math"/>
              </w:rPr>
              <m:t xml:space="preserve">Vague</m:t>
            </m:r>
          </m:sub>
        </m:sSub>
        <m:r>
          <w:rPr>
            <w:rFonts w:ascii="Cambria Math" w:hAnsi="Cambria Math"/>
          </w:rPr>
          <m:t xml:space="preserve">=</m:t>
        </m:r>
        <m:r>
          <w:rPr>
            <w:rFonts w:ascii="Cambria Math" w:hAnsi="Cambria Math"/>
          </w:rPr>
          <m:t xml:space="preserve">−</m:t>
        </m:r>
        <m:r>
          <w:rPr>
            <w:rFonts w:ascii="Cambria Math" w:hAnsi="Cambria Math"/>
          </w:rPr>
          <m:t xml:space="preserve">3.576</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1.218</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5.925</m:t>
        </m:r>
        <m:r>
          <w:rPr>
            <w:rFonts w:ascii="Cambria Math" w:hAnsi="Cambria Math"/>
          </w:rPr>
          <m:t xml:space="preserve">,</m:t>
        </m:r>
        <m:r>
          <w:rPr>
            <w:rFonts w:ascii="Cambria Math" w:hAnsi="Cambria Math"/>
          </w:rPr>
          <m:t xml:space="preserve">−</m:t>
        </m:r>
        <m:r>
          <w:rPr>
            <w:rFonts w:ascii="Cambria Math" w:hAnsi="Cambria Math"/>
          </w:rPr>
          <m:t xml:space="preserve">1.062</m:t>
        </m:r>
        <m:r>
          <w:rPr>
            <w:rFonts w:ascii="Cambria Math" w:hAnsi="Cambria Math"/>
          </w:rPr>
          <m:t xml:space="preserve">]</m:t>
        </m:r>
      </m:oMath>
      <w:r>
        <w:rPr/>
        <w:t>), whereas under the specific goal prompt, this reduction is attenuated and overlaps zero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0.674</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0.462</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1.582</m:t>
        </m:r>
        <m:r>
          <w:rPr>
            <w:rFonts w:ascii="Cambria Math" w:hAnsi="Cambria Math"/>
          </w:rPr>
          <m:t xml:space="preserve">,</m:t>
        </m:r>
        <m:r>
          <w:rPr>
            <w:rFonts w:ascii="Cambria Math" w:hAnsi="Cambria Math"/>
          </w:rPr>
          <m:t xml:space="preserve">0.260</m:t>
        </m:r>
        <m:r>
          <w:rPr>
            <w:rFonts w:ascii="Cambria Math" w:hAnsi="Cambria Math"/>
          </w:rPr>
          <m:t xml:space="preserve">]</m:t>
        </m:r>
      </m:oMath>
      <w:r>
        <w:rPr/>
        <w:t>). In the second stage, diagnostic acquisition is positively associated with choice optimality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r>
          <w:rPr>
            <w:rFonts w:ascii="Cambria Math" w:hAnsi="Cambria Math"/>
          </w:rPr>
          <m:t xml:space="preserve">0.078</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0.031</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0.016</m:t>
        </m:r>
        <m:r>
          <w:rPr>
            <w:rFonts w:ascii="Cambria Math" w:hAnsi="Cambria Math"/>
          </w:rPr>
          <m:t xml:space="preserve">,</m:t>
        </m:r>
        <m:r>
          <w:rPr>
            <w:rFonts w:ascii="Cambria Math" w:hAnsi="Cambria Math"/>
          </w:rPr>
          <m:t xml:space="preserve">0.141</m:t>
        </m:r>
        <m:r>
          <w:rPr>
            <w:rFonts w:ascii="Cambria Math" w:hAnsi="Cambria Math"/>
          </w:rPr>
          <m:t xml:space="preserve">]</m:t>
        </m:r>
      </m:oMath>
      <w:r>
        <w:rPr/>
        <w:t>), supporting H2.</w:t>
      </w:r>
    </w:p>
    <w:p>
      <w:pPr>
        <w:pStyle w:val="BodyText"/>
        <w:rPr/>
      </w:pPr>
      <w:r>
        <w:rPr/>
        <w:t>Supporting H3, prompt specificity moderates the indirect effect of acquisition cost on choice optimality via diagnostic acquisition, as demonstrated by the credibly negative Index of Moderated Mediation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0.228</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0.132</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0.521</m:t>
        </m:r>
        <m:r>
          <w:rPr>
            <w:rFonts w:ascii="Cambria Math" w:hAnsi="Cambria Math"/>
          </w:rPr>
          <m:t xml:space="preserve">,</m:t>
        </m:r>
        <m:r>
          <w:rPr>
            <w:rFonts w:ascii="Cambria Math" w:hAnsi="Cambria Math"/>
          </w:rPr>
          <m:t xml:space="preserve">−</m:t>
        </m:r>
        <m:r>
          <w:rPr>
            <w:rFonts w:ascii="Cambria Math" w:hAnsi="Cambria Math"/>
          </w:rPr>
          <m:t xml:space="preserve">0.009</m:t>
        </m:r>
        <m:r>
          <w:rPr>
            <w:rFonts w:ascii="Cambria Math" w:hAnsi="Cambria Math"/>
          </w:rPr>
          <m:t xml:space="preserve">]</m:t>
        </m:r>
      </m:oMath>
      <w:r>
        <w:rPr/>
        <w:t xml:space="preserve">). The conditional indirect effect of cost on choice optimality is negative under the vague goal prompt (indirect effect </w:t>
      </w:r>
      <w:r>
        <w:rPr/>
      </w:r>
      <m:oMath xmlns:m="http://schemas.openxmlformats.org/officeDocument/2006/math">
        <m:r>
          <w:rPr>
            <w:rFonts w:ascii="Cambria Math" w:hAnsi="Cambria Math"/>
          </w:rPr>
          <m:t xml:space="preserve">−</m:t>
        </m:r>
        <m:r>
          <w:rPr>
            <w:rFonts w:ascii="Cambria Math" w:hAnsi="Cambria Math"/>
          </w:rPr>
          <m:t xml:space="preserve">0.280</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0.154</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0.625</m:t>
        </m:r>
        <m:r>
          <w:rPr>
            <w:rFonts w:ascii="Cambria Math" w:hAnsi="Cambria Math"/>
          </w:rPr>
          <m:t xml:space="preserve">,</m:t>
        </m:r>
        <m:r>
          <w:rPr>
            <w:rFonts w:ascii="Cambria Math" w:hAnsi="Cambria Math"/>
          </w:rPr>
          <m:t xml:space="preserve">−</m:t>
        </m:r>
        <m:r>
          <w:rPr>
            <w:rFonts w:ascii="Cambria Math" w:hAnsi="Cambria Math"/>
          </w:rPr>
          <m:t xml:space="preserve">0.026</m:t>
        </m:r>
        <m:r>
          <w:rPr>
            <w:rFonts w:ascii="Cambria Math" w:hAnsi="Cambria Math"/>
          </w:rPr>
          <m:t xml:space="preserve">]</m:t>
        </m:r>
      </m:oMath>
      <w:r>
        <w:rPr/>
        <w:t xml:space="preserve">), but overlaps zero under the specific goal prompt (indirect effect </w:t>
      </w:r>
      <w:r>
        <w:rPr/>
      </w:r>
      <m:oMath xmlns:m="http://schemas.openxmlformats.org/officeDocument/2006/math">
        <m:r>
          <w:rPr>
            <w:rFonts w:ascii="Cambria Math" w:hAnsi="Cambria Math"/>
          </w:rPr>
          <m:t xml:space="preserve">−</m:t>
        </m:r>
        <m:r>
          <w:rPr>
            <w:rFonts w:ascii="Cambria Math" w:hAnsi="Cambria Math"/>
          </w:rPr>
          <m:t xml:space="preserve">0.053</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0.044</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0.156</m:t>
        </m:r>
        <m:r>
          <w:rPr>
            <w:rFonts w:ascii="Cambria Math" w:hAnsi="Cambria Math"/>
          </w:rPr>
          <m:t xml:space="preserve">,</m:t>
        </m:r>
        <m:r>
          <w:rPr>
            <w:rFonts w:ascii="Cambria Math" w:hAnsi="Cambria Math"/>
          </w:rPr>
          <m:t xml:space="preserve">0.021</m:t>
        </m:r>
        <m:r>
          <w:rPr>
            <w:rFonts w:ascii="Cambria Math" w:hAnsi="Cambria Math"/>
          </w:rPr>
          <m:t xml:space="preserve">]</m:t>
        </m:r>
      </m:oMath>
      <w:r>
        <w:rPr/>
        <w:t>).</w:t>
      </w:r>
    </w:p>
    <w:p>
      <w:pPr>
        <w:pStyle w:val="BodyText"/>
        <w:rPr/>
      </w:pPr>
      <w:r>
        <w:rPr/>
        <w:t>Finally, the direct effect of acquisition cost on choice optimality is uninformative (</w:t>
      </w:r>
      <w:r>
        <w:rPr/>
      </w:r>
      <m:oMath xmlns:m="http://schemas.openxmlformats.org/officeDocument/2006/math">
        <m:sSup>
          <m:e>
            <m:r>
              <w:rPr>
                <w:rFonts w:ascii="Cambria Math" w:hAnsi="Cambria Math"/>
              </w:rPr>
              <m:t xml:space="preserve">c</m:t>
            </m:r>
          </m:e>
          <m:sup>
            <m:r>
              <w:rPr>
                <w:rFonts w:ascii="Cambria Math" w:hAnsi="Cambria Math"/>
              </w:rPr>
              <m:t xml:space="preserve">′</m:t>
            </m:r>
          </m:sup>
        </m:sSup>
        <m:r>
          <w:rPr>
            <w:rFonts w:ascii="Cambria Math" w:hAnsi="Cambria Math"/>
          </w:rPr>
          <m:t xml:space="preserve">=</m:t>
        </m:r>
        <m:r>
          <w:rPr>
            <w:rFonts w:ascii="Cambria Math" w:hAnsi="Cambria Math"/>
          </w:rPr>
          <m:t xml:space="preserve">−</m:t>
        </m:r>
        <m:r>
          <w:rPr>
            <w:rFonts w:ascii="Cambria Math" w:hAnsi="Cambria Math"/>
          </w:rPr>
          <m:t xml:space="preserve">0.006</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0.020</m:t>
        </m:r>
      </m:oMath>
      <w:r>
        <w:rPr/>
        <w:t xml:space="preserve">, 95% CI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0.045</m:t>
        </m:r>
        <m:r>
          <w:rPr>
            <w:rFonts w:ascii="Cambria Math" w:hAnsi="Cambria Math"/>
          </w:rPr>
          <m:t xml:space="preserve">,</m:t>
        </m:r>
        <m:r>
          <w:rPr>
            <w:rFonts w:ascii="Cambria Math" w:hAnsi="Cambria Math"/>
          </w:rPr>
          <m:t xml:space="preserve">0.035</m:t>
        </m:r>
        <m:r>
          <w:rPr>
            <w:rFonts w:ascii="Cambria Math" w:hAnsi="Cambria Math"/>
          </w:rPr>
          <m:t xml:space="preserve">]</m:t>
        </m:r>
      </m:oMath>
      <w:r>
        <w:rPr/>
        <w:t xml:space="preserve">), indicating that choice degradation operates primarily through the truncation of diagnostic attributes rather than an unmediated cost penalty. Disaggregated per-LLM structural paths and indirect effects are reported in </w:t>
      </w:r>
      <w:hyperlink w:anchor="apptbl-s2b-permodel-paths">
        <w:r>
          <w:rPr>
            <w:rStyle w:val="Hyperlink"/>
          </w:rPr>
          <w:t>Table W22</w:t>
        </w:r>
      </w:hyperlink>
      <w:r>
        <w:rPr/>
        <w:t xml:space="preserve"> and </w:t>
      </w:r>
      <w:hyperlink w:anchor="apptbl-s2b-permodel-indirect">
        <w:r>
          <w:rPr>
            <w:rStyle w:val="Hyperlink"/>
          </w:rPr>
          <w:t>Table W23</w:t>
        </w:r>
      </w:hyperlink>
      <w:r>
        <w:rPr/>
        <w:t>.</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5: Multilevel moderated mediation of acquisition cost and prompt specificity on choice optimality (Study 2 Tool-Lab)</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4264"/>
              <w:gridCol w:w="2035"/>
              <w:gridCol w:w="1219"/>
              <w:gridCol w:w="1626"/>
            </w:tblGrid>
            <w:tr>
              <w:trPr>
                <w:tblHeader w:val="true"/>
              </w:trPr>
              <w:tc>
                <w:tcPr>
                  <w:tcW w:w="4264" w:type="dxa"/>
                  <w:tcBorders/>
                  <w:vAlign w:val="center"/>
                </w:tcPr>
                <w:p>
                  <w:pPr>
                    <w:pStyle w:val="Compact"/>
                    <w:spacing w:before="36" w:after="36"/>
                    <w:rPr>
                      <w:b w:val="false"/>
                    </w:rPr>
                  </w:pPr>
                  <w:r>
                    <w:rPr>
                      <w:b w:val="false"/>
                    </w:rPr>
                  </w:r>
                </w:p>
              </w:tc>
              <w:tc>
                <w:tcPr>
                  <w:tcW w:w="2035" w:type="dxa"/>
                  <w:tcBorders/>
                  <w:vAlign w:val="center"/>
                </w:tcPr>
                <w:p>
                  <w:pPr>
                    <w:pStyle w:val="Compact"/>
                    <w:spacing w:before="36" w:after="36"/>
                    <w:jc w:val="center"/>
                    <w:rPr>
                      <w:b w:val="false"/>
                    </w:rPr>
                  </w:pPr>
                  <w:r>
                    <w:rPr>
                      <w:b w:val="false"/>
                    </w:rPr>
                    <w:t>Estimate</w:t>
                  </w:r>
                </w:p>
              </w:tc>
              <w:tc>
                <w:tcPr>
                  <w:tcW w:w="1219" w:type="dxa"/>
                  <w:tcBorders/>
                  <w:vAlign w:val="center"/>
                </w:tcPr>
                <w:p>
                  <w:pPr>
                    <w:pStyle w:val="Compact"/>
                    <w:spacing w:before="36" w:after="36"/>
                    <w:jc w:val="center"/>
                    <w:rPr>
                      <w:b w:val="false"/>
                    </w:rPr>
                  </w:pPr>
                  <w:r>
                    <w:rPr>
                      <w:b w:val="false"/>
                      <w:i/>
                      <w:iCs/>
                    </w:rPr>
                    <w:t>SD</w:t>
                  </w:r>
                </w:p>
              </w:tc>
              <w:tc>
                <w:tcPr>
                  <w:tcW w:w="1626" w:type="dxa"/>
                  <w:tcBorders/>
                  <w:vAlign w:val="center"/>
                </w:tcPr>
                <w:p>
                  <w:pPr>
                    <w:pStyle w:val="Compact"/>
                    <w:spacing w:before="36" w:after="36"/>
                    <w:jc w:val="center"/>
                    <w:rPr>
                      <w:b w:val="false"/>
                    </w:rPr>
                  </w:pPr>
                  <w:r>
                    <w:rPr>
                      <w:b w:val="false"/>
                    </w:rPr>
                    <w:t>95% CI</w:t>
                  </w:r>
                </w:p>
              </w:tc>
            </w:tr>
            <w:tr>
              <w:trPr/>
              <w:tc>
                <w:tcPr>
                  <w:tcW w:w="4264" w:type="dxa"/>
                  <w:tcBorders>
                    <w:top w:val="nil"/>
                    <w:bottom w:val="nil"/>
                  </w:tcBorders>
                  <w:vAlign w:val="center"/>
                </w:tcPr>
                <w:p>
                  <w:pPr>
                    <w:pStyle w:val="Compact"/>
                    <w:spacing w:before="36" w:after="36"/>
                    <w:jc w:val="center"/>
                    <w:rPr/>
                  </w:pPr>
                  <w:r>
                    <w:rPr>
                      <w:b/>
                      <w:bCs/>
                    </w:rPr>
                    <w:t>Stage 1: Diagnostic acquisition</w:t>
                  </w:r>
                </w:p>
              </w:tc>
              <w:tc>
                <w:tcPr>
                  <w:tcW w:w="2035" w:type="dxa"/>
                  <w:tcBorders>
                    <w:top w:val="nil"/>
                    <w:bottom w:val="nil"/>
                  </w:tcBorders>
                  <w:vAlign w:val="center"/>
                </w:tcPr>
                <w:p>
                  <w:pPr>
                    <w:pStyle w:val="Compact"/>
                    <w:spacing w:lineRule="auto" w:line="240" w:before="36" w:after="36"/>
                    <w:ind w:hanging="0"/>
                    <w:jc w:val="left"/>
                    <w:rPr/>
                  </w:pPr>
                  <w:r>
                    <w:rPr/>
                  </w:r>
                </w:p>
              </w:tc>
              <w:tc>
                <w:tcPr>
                  <w:tcW w:w="1219" w:type="dxa"/>
                  <w:tcBorders>
                    <w:top w:val="nil"/>
                    <w:bottom w:val="nil"/>
                  </w:tcBorders>
                  <w:vAlign w:val="center"/>
                </w:tcPr>
                <w:p>
                  <w:pPr>
                    <w:pStyle w:val="Compact"/>
                    <w:spacing w:lineRule="auto" w:line="240" w:before="36" w:after="36"/>
                    <w:ind w:hanging="0"/>
                    <w:jc w:val="left"/>
                    <w:rPr/>
                  </w:pPr>
                  <w:r>
                    <w:rPr/>
                  </w:r>
                </w:p>
              </w:tc>
              <w:tc>
                <w:tcPr>
                  <w:tcW w:w="1626" w:type="dxa"/>
                  <w:tcBorders>
                    <w:top w:val="nil"/>
                    <w:bottom w:val="nil"/>
                  </w:tcBorders>
                  <w:vAlign w:val="center"/>
                </w:tcPr>
                <w:p>
                  <w:pPr>
                    <w:pStyle w:val="Compact"/>
                    <w:spacing w:lineRule="auto" w:line="240" w:before="36" w:after="36"/>
                    <w:ind w:hanging="0"/>
                    <w:jc w:val="left"/>
                    <w:rPr/>
                  </w:pPr>
                  <w:r>
                    <w:rPr/>
                  </w:r>
                </w:p>
              </w:tc>
            </w:tr>
            <w:tr>
              <w:trPr/>
              <w:tc>
                <w:tcPr>
                  <w:tcW w:w="4264" w:type="dxa"/>
                  <w:tcBorders>
                    <w:top w:val="nil"/>
                    <w:bottom w:val="nil"/>
                  </w:tcBorders>
                  <w:vAlign w:val="center"/>
                </w:tcPr>
                <w:p>
                  <w:pPr>
                    <w:pStyle w:val="Compact"/>
                    <w:spacing w:before="36" w:after="36"/>
                    <w:jc w:val="center"/>
                    <w:rPr/>
                  </w:pPr>
                  <w:r>
                    <w:rPr/>
                    <w:t>Acquisition cost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oMath>
                  <w:r>
                    <w:rPr/>
                    <w:t>)</w:t>
                  </w:r>
                  <w:r>
                    <w:rPr/>
                  </w:r>
                  <m:oMath xmlns:m="http://schemas.openxmlformats.org/officeDocument/2006/math">
                    <m:sSup>
                      <m:e/>
                      <m:sup>
                        <m:r>
                          <w:rPr>
                            <w:rFonts w:ascii="Cambria Math" w:hAnsi="Cambria Math"/>
                          </w:rPr>
                          <m:t xml:space="preserve">a</m:t>
                        </m:r>
                      </m:sup>
                    </m:sSup>
                  </m:oMath>
                </w:p>
              </w:tc>
              <w:tc>
                <w:tcPr>
                  <w:tcW w:w="2035" w:type="dxa"/>
                  <w:tcBorders>
                    <w:top w:val="nil"/>
                    <w:bottom w:val="nil"/>
                  </w:tcBorders>
                  <w:vAlign w:val="center"/>
                </w:tcPr>
                <w:p>
                  <w:pPr>
                    <w:pStyle w:val="Compact"/>
                    <w:spacing w:before="36" w:after="36"/>
                    <w:jc w:val="center"/>
                    <w:rPr/>
                  </w:pPr>
                  <w:r>
                    <w:rPr/>
                    <w:t>-0.674</w:t>
                  </w:r>
                </w:p>
              </w:tc>
              <w:tc>
                <w:tcPr>
                  <w:tcW w:w="1219" w:type="dxa"/>
                  <w:tcBorders>
                    <w:top w:val="nil"/>
                    <w:bottom w:val="nil"/>
                  </w:tcBorders>
                  <w:vAlign w:val="center"/>
                </w:tcPr>
                <w:p>
                  <w:pPr>
                    <w:pStyle w:val="Compact"/>
                    <w:spacing w:before="36" w:after="36"/>
                    <w:jc w:val="center"/>
                    <w:rPr/>
                  </w:pPr>
                  <w:r>
                    <w:rPr/>
                    <w:t>0.462</w:t>
                  </w:r>
                </w:p>
              </w:tc>
              <w:tc>
                <w:tcPr>
                  <w:tcW w:w="1626" w:type="dxa"/>
                  <w:tcBorders>
                    <w:top w:val="nil"/>
                    <w:bottom w:val="nil"/>
                  </w:tcBorders>
                  <w:vAlign w:val="center"/>
                </w:tcPr>
                <w:p>
                  <w:pPr>
                    <w:pStyle w:val="Compact"/>
                    <w:spacing w:before="36" w:after="36"/>
                    <w:jc w:val="center"/>
                    <w:rPr/>
                  </w:pPr>
                  <w:r>
                    <w:rPr/>
                    <w:t>[-1.582, 0.260]</w:t>
                  </w:r>
                </w:p>
              </w:tc>
            </w:tr>
            <w:tr>
              <w:trPr/>
              <w:tc>
                <w:tcPr>
                  <w:tcW w:w="4264" w:type="dxa"/>
                  <w:tcBorders>
                    <w:top w:val="nil"/>
                    <w:bottom w:val="nil"/>
                  </w:tcBorders>
                  <w:vAlign w:val="center"/>
                </w:tcPr>
                <w:p>
                  <w:pPr>
                    <w:pStyle w:val="Compact"/>
                    <w:spacing w:before="36" w:after="36"/>
                    <w:jc w:val="center"/>
                    <w:rPr/>
                  </w:pPr>
                  <w:r>
                    <w:rPr/>
                    <w:t>Vague goal prompt (</w:t>
                  </w:r>
                  <w:r>
                    <w:rPr/>
                  </w:r>
                  <m:oMath xmlns:m="http://schemas.openxmlformats.org/officeDocument/2006/math">
                    <m:sSub>
                      <m:e>
                        <m:r>
                          <w:rPr>
                            <w:rFonts w:ascii="Cambria Math" w:hAnsi="Cambria Math"/>
                          </w:rPr>
                          <m:t xml:space="preserve">a</m:t>
                        </m:r>
                      </m:e>
                      <m:sub>
                        <m:r>
                          <w:rPr>
                            <w:rFonts w:ascii="Cambria Math" w:hAnsi="Cambria Math"/>
                          </w:rPr>
                          <m:t xml:space="preserve">2</m:t>
                        </m:r>
                      </m:sub>
                    </m:sSub>
                  </m:oMath>
                  <w:r>
                    <w:rPr/>
                    <w:t>)</w:t>
                  </w:r>
                </w:p>
              </w:tc>
              <w:tc>
                <w:tcPr>
                  <w:tcW w:w="2035" w:type="dxa"/>
                  <w:tcBorders>
                    <w:top w:val="nil"/>
                    <w:bottom w:val="nil"/>
                  </w:tcBorders>
                  <w:vAlign w:val="center"/>
                </w:tcPr>
                <w:p>
                  <w:pPr>
                    <w:pStyle w:val="Compact"/>
                    <w:spacing w:before="36" w:after="36"/>
                    <w:jc w:val="center"/>
                    <w:rPr/>
                  </w:pPr>
                  <w:r>
                    <w:rPr/>
                    <w:t>0.015</w:t>
                  </w:r>
                </w:p>
              </w:tc>
              <w:tc>
                <w:tcPr>
                  <w:tcW w:w="1219" w:type="dxa"/>
                  <w:tcBorders>
                    <w:top w:val="nil"/>
                    <w:bottom w:val="nil"/>
                  </w:tcBorders>
                  <w:vAlign w:val="center"/>
                </w:tcPr>
                <w:p>
                  <w:pPr>
                    <w:pStyle w:val="Compact"/>
                    <w:spacing w:before="36" w:after="36"/>
                    <w:jc w:val="center"/>
                    <w:rPr/>
                  </w:pPr>
                  <w:r>
                    <w:rPr/>
                    <w:t>0.072</w:t>
                  </w:r>
                </w:p>
              </w:tc>
              <w:tc>
                <w:tcPr>
                  <w:tcW w:w="1626" w:type="dxa"/>
                  <w:tcBorders>
                    <w:top w:val="nil"/>
                    <w:bottom w:val="nil"/>
                  </w:tcBorders>
                  <w:vAlign w:val="center"/>
                </w:tcPr>
                <w:p>
                  <w:pPr>
                    <w:pStyle w:val="Compact"/>
                    <w:spacing w:before="36" w:after="36"/>
                    <w:jc w:val="center"/>
                    <w:rPr/>
                  </w:pPr>
                  <w:r>
                    <w:rPr/>
                    <w:t>[-0.125, 0.156]</w:t>
                  </w:r>
                </w:p>
              </w:tc>
            </w:tr>
            <w:tr>
              <w:trPr/>
              <w:tc>
                <w:tcPr>
                  <w:tcW w:w="4264" w:type="dxa"/>
                  <w:tcBorders>
                    <w:top w:val="nil"/>
                    <w:bottom w:val="nil"/>
                  </w:tcBorders>
                  <w:vAlign w:val="center"/>
                </w:tcPr>
                <w:p>
                  <w:pPr>
                    <w:pStyle w:val="Compact"/>
                    <w:spacing w:before="36" w:after="36"/>
                    <w:jc w:val="center"/>
                    <w:rPr/>
                  </w:pPr>
                  <w:r>
                    <w:rPr/>
                    <w:t xml:space="preserve">Acquisition cost </w:t>
                  </w:r>
                  <w:r>
                    <w:rPr/>
                  </w:r>
                  <m:oMath xmlns:m="http://schemas.openxmlformats.org/officeDocument/2006/math">
                    <m:r>
                      <w:rPr>
                        <w:rFonts w:ascii="Cambria Math" w:hAnsi="Cambria Math"/>
                      </w:rPr>
                      <m:t xml:space="preserve">×</m:t>
                    </m:r>
                  </m:oMath>
                  <w:r>
                    <w:rPr/>
                    <w:t xml:space="preserve"> Vague goal prompt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oMath>
                  <w:r>
                    <w:rPr/>
                    <w:t>)</w:t>
                  </w:r>
                </w:p>
              </w:tc>
              <w:tc>
                <w:tcPr>
                  <w:tcW w:w="2035" w:type="dxa"/>
                  <w:tcBorders>
                    <w:top w:val="nil"/>
                    <w:bottom w:val="nil"/>
                  </w:tcBorders>
                  <w:vAlign w:val="center"/>
                </w:tcPr>
                <w:p>
                  <w:pPr>
                    <w:pStyle w:val="Compact"/>
                    <w:spacing w:before="36" w:after="36"/>
                    <w:jc w:val="center"/>
                    <w:rPr/>
                  </w:pPr>
                  <w:r>
                    <w:rPr/>
                    <w:t>-2.902*</w:t>
                  </w:r>
                </w:p>
              </w:tc>
              <w:tc>
                <w:tcPr>
                  <w:tcW w:w="1219" w:type="dxa"/>
                  <w:tcBorders>
                    <w:top w:val="nil"/>
                    <w:bottom w:val="nil"/>
                  </w:tcBorders>
                  <w:vAlign w:val="center"/>
                </w:tcPr>
                <w:p>
                  <w:pPr>
                    <w:pStyle w:val="Compact"/>
                    <w:spacing w:before="36" w:after="36"/>
                    <w:jc w:val="center"/>
                    <w:rPr/>
                  </w:pPr>
                  <w:r>
                    <w:rPr/>
                    <w:t>1.121</w:t>
                  </w:r>
                </w:p>
              </w:tc>
              <w:tc>
                <w:tcPr>
                  <w:tcW w:w="1626" w:type="dxa"/>
                  <w:tcBorders>
                    <w:top w:val="nil"/>
                    <w:bottom w:val="nil"/>
                  </w:tcBorders>
                  <w:vAlign w:val="center"/>
                </w:tcPr>
                <w:p>
                  <w:pPr>
                    <w:pStyle w:val="Compact"/>
                    <w:spacing w:before="36" w:after="36"/>
                    <w:jc w:val="center"/>
                    <w:rPr/>
                  </w:pPr>
                  <w:r>
                    <w:rPr/>
                    <w:t>[-5.027, -0.539]</w:t>
                  </w:r>
                </w:p>
              </w:tc>
            </w:tr>
            <w:tr>
              <w:trPr/>
              <w:tc>
                <w:tcPr>
                  <w:tcW w:w="4264" w:type="dxa"/>
                  <w:tcBorders>
                    <w:top w:val="nil"/>
                    <w:bottom w:val="nil"/>
                  </w:tcBorders>
                  <w:vAlign w:val="center"/>
                </w:tcPr>
                <w:p>
                  <w:pPr>
                    <w:pStyle w:val="Compact"/>
                    <w:spacing w:before="36" w:after="36"/>
                    <w:jc w:val="center"/>
                    <w:rPr/>
                  </w:pPr>
                  <w:r>
                    <w:rPr/>
                    <w:t>Acquisition cost under vague goal prompt (</w:t>
                  </w:r>
                  <w:r>
                    <w:rPr/>
                  </w:r>
                  <m:oMath xmlns:m="http://schemas.openxmlformats.org/officeDocument/2006/math">
                    <m:sSub>
                      <m:e>
                        <m:r>
                          <w:rPr>
                            <w:rFonts w:ascii="Cambria Math" w:hAnsi="Cambria Math"/>
                          </w:rPr>
                          <m:t xml:space="preserve">a</m:t>
                        </m:r>
                      </m:e>
                      <m:sub>
                        <m:r>
                          <m:rPr>
                            <m:lit/>
                            <m:nor/>
                          </m:rPr>
                          <w:rPr>
                            <w:rFonts w:ascii="Cambria Math" w:hAnsi="Cambria Math"/>
                          </w:rPr>
                          <m:t xml:space="preserve">Vague</m:t>
                        </m:r>
                      </m:sub>
                    </m:sSub>
                  </m:oMath>
                  <w:r>
                    <w:rPr/>
                    <w:t>)</w:t>
                  </w:r>
                  <w:r>
                    <w:rPr/>
                  </w:r>
                  <m:oMath xmlns:m="http://schemas.openxmlformats.org/officeDocument/2006/math">
                    <m:sSup>
                      <m:e/>
                      <m:sup>
                        <m:r>
                          <w:rPr>
                            <w:rFonts w:ascii="Cambria Math" w:hAnsi="Cambria Math"/>
                          </w:rPr>
                          <m:t xml:space="preserve">b</m:t>
                        </m:r>
                      </m:sup>
                    </m:sSup>
                  </m:oMath>
                </w:p>
              </w:tc>
              <w:tc>
                <w:tcPr>
                  <w:tcW w:w="2035" w:type="dxa"/>
                  <w:tcBorders>
                    <w:top w:val="nil"/>
                    <w:bottom w:val="nil"/>
                  </w:tcBorders>
                  <w:vAlign w:val="center"/>
                </w:tcPr>
                <w:p>
                  <w:pPr>
                    <w:pStyle w:val="Compact"/>
                    <w:spacing w:before="36" w:after="36"/>
                    <w:jc w:val="center"/>
                    <w:rPr/>
                  </w:pPr>
                  <w:r>
                    <w:rPr/>
                    <w:t>-3.576*</w:t>
                  </w:r>
                </w:p>
              </w:tc>
              <w:tc>
                <w:tcPr>
                  <w:tcW w:w="1219" w:type="dxa"/>
                  <w:tcBorders>
                    <w:top w:val="nil"/>
                    <w:bottom w:val="nil"/>
                  </w:tcBorders>
                  <w:vAlign w:val="center"/>
                </w:tcPr>
                <w:p>
                  <w:pPr>
                    <w:pStyle w:val="Compact"/>
                    <w:spacing w:before="36" w:after="36"/>
                    <w:jc w:val="center"/>
                    <w:rPr/>
                  </w:pPr>
                  <w:r>
                    <w:rPr/>
                    <w:t>1.218</w:t>
                  </w:r>
                </w:p>
              </w:tc>
              <w:tc>
                <w:tcPr>
                  <w:tcW w:w="1626" w:type="dxa"/>
                  <w:tcBorders>
                    <w:top w:val="nil"/>
                    <w:bottom w:val="nil"/>
                  </w:tcBorders>
                  <w:vAlign w:val="center"/>
                </w:tcPr>
                <w:p>
                  <w:pPr>
                    <w:pStyle w:val="Compact"/>
                    <w:spacing w:before="36" w:after="36"/>
                    <w:jc w:val="center"/>
                    <w:rPr/>
                  </w:pPr>
                  <w:r>
                    <w:rPr/>
                    <w:t>[-5.925, -1.062]</w:t>
                  </w:r>
                </w:p>
              </w:tc>
            </w:tr>
            <w:tr>
              <w:trPr/>
              <w:tc>
                <w:tcPr>
                  <w:tcW w:w="4264" w:type="dxa"/>
                  <w:tcBorders>
                    <w:top w:val="nil"/>
                    <w:bottom w:val="nil"/>
                  </w:tcBorders>
                  <w:vAlign w:val="center"/>
                </w:tcPr>
                <w:p>
                  <w:pPr>
                    <w:pStyle w:val="Compact"/>
                    <w:spacing w:before="36" w:after="36"/>
                    <w:jc w:val="center"/>
                    <w:rPr/>
                  </w:pPr>
                  <w:r>
                    <w:rPr>
                      <w:b/>
                      <w:bCs/>
                    </w:rPr>
                    <w:t>Stage 2: Choice optimality</w:t>
                  </w:r>
                </w:p>
              </w:tc>
              <w:tc>
                <w:tcPr>
                  <w:tcW w:w="2035" w:type="dxa"/>
                  <w:tcBorders>
                    <w:top w:val="nil"/>
                    <w:bottom w:val="nil"/>
                  </w:tcBorders>
                  <w:vAlign w:val="center"/>
                </w:tcPr>
                <w:p>
                  <w:pPr>
                    <w:pStyle w:val="Compact"/>
                    <w:spacing w:lineRule="auto" w:line="240" w:before="36" w:after="36"/>
                    <w:ind w:hanging="0"/>
                    <w:jc w:val="left"/>
                    <w:rPr/>
                  </w:pPr>
                  <w:r>
                    <w:rPr/>
                  </w:r>
                </w:p>
              </w:tc>
              <w:tc>
                <w:tcPr>
                  <w:tcW w:w="1219" w:type="dxa"/>
                  <w:tcBorders>
                    <w:top w:val="nil"/>
                    <w:bottom w:val="nil"/>
                  </w:tcBorders>
                  <w:vAlign w:val="center"/>
                </w:tcPr>
                <w:p>
                  <w:pPr>
                    <w:pStyle w:val="Compact"/>
                    <w:spacing w:lineRule="auto" w:line="240" w:before="36" w:after="36"/>
                    <w:ind w:hanging="0"/>
                    <w:jc w:val="left"/>
                    <w:rPr/>
                  </w:pPr>
                  <w:r>
                    <w:rPr/>
                  </w:r>
                </w:p>
              </w:tc>
              <w:tc>
                <w:tcPr>
                  <w:tcW w:w="1626" w:type="dxa"/>
                  <w:tcBorders>
                    <w:top w:val="nil"/>
                    <w:bottom w:val="nil"/>
                  </w:tcBorders>
                  <w:vAlign w:val="center"/>
                </w:tcPr>
                <w:p>
                  <w:pPr>
                    <w:pStyle w:val="Compact"/>
                    <w:spacing w:lineRule="auto" w:line="240" w:before="36" w:after="36"/>
                    <w:ind w:hanging="0"/>
                    <w:jc w:val="left"/>
                    <w:rPr/>
                  </w:pPr>
                  <w:r>
                    <w:rPr/>
                  </w:r>
                </w:p>
              </w:tc>
            </w:tr>
            <w:tr>
              <w:trPr/>
              <w:tc>
                <w:tcPr>
                  <w:tcW w:w="4264" w:type="dxa"/>
                  <w:tcBorders>
                    <w:top w:val="nil"/>
                    <w:bottom w:val="nil"/>
                  </w:tcBorders>
                  <w:vAlign w:val="center"/>
                </w:tcPr>
                <w:p>
                  <w:pPr>
                    <w:pStyle w:val="Compact"/>
                    <w:spacing w:before="36" w:after="36"/>
                    <w:jc w:val="center"/>
                    <w:rPr/>
                  </w:pPr>
                  <w:r>
                    <w:rPr/>
                    <w:t>Diagnostic acquisition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oMath>
                  <w:r>
                    <w:rPr/>
                    <w:t>)</w:t>
                  </w:r>
                </w:p>
              </w:tc>
              <w:tc>
                <w:tcPr>
                  <w:tcW w:w="2035" w:type="dxa"/>
                  <w:tcBorders>
                    <w:top w:val="nil"/>
                    <w:bottom w:val="nil"/>
                  </w:tcBorders>
                  <w:vAlign w:val="center"/>
                </w:tcPr>
                <w:p>
                  <w:pPr>
                    <w:pStyle w:val="Compact"/>
                    <w:spacing w:before="36" w:after="36"/>
                    <w:jc w:val="center"/>
                    <w:rPr/>
                  </w:pPr>
                  <w:r>
                    <w:rPr/>
                    <w:t>0.078*</w:t>
                  </w:r>
                </w:p>
              </w:tc>
              <w:tc>
                <w:tcPr>
                  <w:tcW w:w="1219" w:type="dxa"/>
                  <w:tcBorders>
                    <w:top w:val="nil"/>
                    <w:bottom w:val="nil"/>
                  </w:tcBorders>
                  <w:vAlign w:val="center"/>
                </w:tcPr>
                <w:p>
                  <w:pPr>
                    <w:pStyle w:val="Compact"/>
                    <w:spacing w:before="36" w:after="36"/>
                    <w:jc w:val="center"/>
                    <w:rPr/>
                  </w:pPr>
                  <w:r>
                    <w:rPr/>
                    <w:t>0.031</w:t>
                  </w:r>
                </w:p>
              </w:tc>
              <w:tc>
                <w:tcPr>
                  <w:tcW w:w="1626" w:type="dxa"/>
                  <w:tcBorders>
                    <w:top w:val="nil"/>
                    <w:bottom w:val="nil"/>
                  </w:tcBorders>
                  <w:vAlign w:val="center"/>
                </w:tcPr>
                <w:p>
                  <w:pPr>
                    <w:pStyle w:val="Compact"/>
                    <w:spacing w:before="36" w:after="36"/>
                    <w:jc w:val="center"/>
                    <w:rPr/>
                  </w:pPr>
                  <w:r>
                    <w:rPr/>
                    <w:t>[0.016, 0.141]</w:t>
                  </w:r>
                </w:p>
              </w:tc>
            </w:tr>
            <w:tr>
              <w:trPr/>
              <w:tc>
                <w:tcPr>
                  <w:tcW w:w="4264" w:type="dxa"/>
                  <w:tcBorders>
                    <w:top w:val="nil"/>
                    <w:bottom w:val="nil"/>
                  </w:tcBorders>
                  <w:vAlign w:val="center"/>
                </w:tcPr>
                <w:p>
                  <w:pPr>
                    <w:pStyle w:val="Compact"/>
                    <w:spacing w:before="36" w:after="36"/>
                    <w:jc w:val="center"/>
                    <w:rPr/>
                  </w:pPr>
                  <w:r>
                    <w:rPr/>
                    <w:t>Acquisition cost (</w:t>
                  </w:r>
                  <w:r>
                    <w:rPr/>
                  </w:r>
                  <m:oMath xmlns:m="http://schemas.openxmlformats.org/officeDocument/2006/math">
                    <m:sSup>
                      <m:e>
                        <m:r>
                          <w:rPr>
                            <w:rFonts w:ascii="Cambria Math" w:hAnsi="Cambria Math"/>
                          </w:rPr>
                          <m:t xml:space="preserve">c</m:t>
                        </m:r>
                      </m:e>
                      <m:sup>
                        <m:r>
                          <w:rPr>
                            <w:rFonts w:ascii="Cambria Math" w:hAnsi="Cambria Math"/>
                          </w:rPr>
                          <m:t xml:space="preserve">′</m:t>
                        </m:r>
                      </m:sup>
                    </m:sSup>
                  </m:oMath>
                  <w:r>
                    <w:rPr/>
                    <w:t>)</w:t>
                  </w:r>
                </w:p>
              </w:tc>
              <w:tc>
                <w:tcPr>
                  <w:tcW w:w="2035" w:type="dxa"/>
                  <w:tcBorders>
                    <w:top w:val="nil"/>
                    <w:bottom w:val="nil"/>
                  </w:tcBorders>
                  <w:vAlign w:val="center"/>
                </w:tcPr>
                <w:p>
                  <w:pPr>
                    <w:pStyle w:val="Compact"/>
                    <w:spacing w:before="36" w:after="36"/>
                    <w:jc w:val="center"/>
                    <w:rPr/>
                  </w:pPr>
                  <w:r>
                    <w:rPr/>
                    <w:t>-0.006</w:t>
                  </w:r>
                </w:p>
              </w:tc>
              <w:tc>
                <w:tcPr>
                  <w:tcW w:w="1219" w:type="dxa"/>
                  <w:tcBorders>
                    <w:top w:val="nil"/>
                    <w:bottom w:val="nil"/>
                  </w:tcBorders>
                  <w:vAlign w:val="center"/>
                </w:tcPr>
                <w:p>
                  <w:pPr>
                    <w:pStyle w:val="Compact"/>
                    <w:spacing w:before="36" w:after="36"/>
                    <w:jc w:val="center"/>
                    <w:rPr/>
                  </w:pPr>
                  <w:r>
                    <w:rPr/>
                    <w:t>0.020</w:t>
                  </w:r>
                </w:p>
              </w:tc>
              <w:tc>
                <w:tcPr>
                  <w:tcW w:w="1626" w:type="dxa"/>
                  <w:tcBorders>
                    <w:top w:val="nil"/>
                    <w:bottom w:val="nil"/>
                  </w:tcBorders>
                  <w:vAlign w:val="center"/>
                </w:tcPr>
                <w:p>
                  <w:pPr>
                    <w:pStyle w:val="Compact"/>
                    <w:spacing w:before="36" w:after="36"/>
                    <w:jc w:val="center"/>
                    <w:rPr/>
                  </w:pPr>
                  <w:r>
                    <w:rPr/>
                    <w:t>[-0.045, 0.035]</w:t>
                  </w:r>
                </w:p>
              </w:tc>
            </w:tr>
            <w:tr>
              <w:trPr/>
              <w:tc>
                <w:tcPr>
                  <w:tcW w:w="4264" w:type="dxa"/>
                  <w:tcBorders>
                    <w:top w:val="nil"/>
                    <w:bottom w:val="nil"/>
                  </w:tcBorders>
                  <w:vAlign w:val="center"/>
                </w:tcPr>
                <w:p>
                  <w:pPr>
                    <w:pStyle w:val="Compact"/>
                    <w:spacing w:before="36" w:after="36"/>
                    <w:jc w:val="center"/>
                    <w:rPr/>
                  </w:pPr>
                  <w:r>
                    <w:rPr/>
                    <w:t>Vague goal prompt (</w:t>
                  </w:r>
                  <w:r>
                    <w:rPr/>
                  </w:r>
                  <m:oMath xmlns:m="http://schemas.openxmlformats.org/officeDocument/2006/math">
                    <m:sSub>
                      <m:e>
                        <m:r>
                          <w:rPr>
                            <w:rFonts w:ascii="Cambria Math" w:hAnsi="Cambria Math"/>
                          </w:rPr>
                          <m:t xml:space="preserve">c</m:t>
                        </m:r>
                      </m:e>
                      <m:sub>
                        <m:r>
                          <w:rPr>
                            <w:rFonts w:ascii="Cambria Math" w:hAnsi="Cambria Math"/>
                          </w:rPr>
                          <m:t xml:space="preserve">2</m:t>
                        </m:r>
                      </m:sub>
                    </m:sSub>
                  </m:oMath>
                  <w:r>
                    <w:rPr/>
                    <w:t>)</w:t>
                  </w:r>
                </w:p>
              </w:tc>
              <w:tc>
                <w:tcPr>
                  <w:tcW w:w="2035" w:type="dxa"/>
                  <w:tcBorders>
                    <w:top w:val="nil"/>
                    <w:bottom w:val="nil"/>
                  </w:tcBorders>
                  <w:vAlign w:val="center"/>
                </w:tcPr>
                <w:p>
                  <w:pPr>
                    <w:pStyle w:val="Compact"/>
                    <w:spacing w:before="36" w:after="36"/>
                    <w:jc w:val="center"/>
                    <w:rPr/>
                  </w:pPr>
                  <w:r>
                    <w:rPr/>
                    <w:t>-0.083*</w:t>
                  </w:r>
                </w:p>
              </w:tc>
              <w:tc>
                <w:tcPr>
                  <w:tcW w:w="1219" w:type="dxa"/>
                  <w:tcBorders>
                    <w:top w:val="nil"/>
                    <w:bottom w:val="nil"/>
                  </w:tcBorders>
                  <w:vAlign w:val="center"/>
                </w:tcPr>
                <w:p>
                  <w:pPr>
                    <w:pStyle w:val="Compact"/>
                    <w:spacing w:before="36" w:after="36"/>
                    <w:jc w:val="center"/>
                    <w:rPr/>
                  </w:pPr>
                  <w:r>
                    <w:rPr/>
                    <w:t>0.039</w:t>
                  </w:r>
                </w:p>
              </w:tc>
              <w:tc>
                <w:tcPr>
                  <w:tcW w:w="1626" w:type="dxa"/>
                  <w:tcBorders>
                    <w:top w:val="nil"/>
                    <w:bottom w:val="nil"/>
                  </w:tcBorders>
                  <w:vAlign w:val="center"/>
                </w:tcPr>
                <w:p>
                  <w:pPr>
                    <w:pStyle w:val="Compact"/>
                    <w:spacing w:before="36" w:after="36"/>
                    <w:jc w:val="center"/>
                    <w:rPr/>
                  </w:pPr>
                  <w:r>
                    <w:rPr/>
                    <w:t>[-0.162, -0.003]</w:t>
                  </w:r>
                </w:p>
              </w:tc>
            </w:tr>
            <w:tr>
              <w:trPr/>
              <w:tc>
                <w:tcPr>
                  <w:tcW w:w="4264" w:type="dxa"/>
                  <w:tcBorders>
                    <w:top w:val="nil"/>
                    <w:bottom w:val="nil"/>
                  </w:tcBorders>
                  <w:vAlign w:val="center"/>
                </w:tcPr>
                <w:p>
                  <w:pPr>
                    <w:pStyle w:val="Compact"/>
                    <w:spacing w:before="36" w:after="36"/>
                    <w:jc w:val="center"/>
                    <w:rPr/>
                  </w:pPr>
                  <w:r>
                    <w:rPr>
                      <w:b/>
                      <w:bCs/>
                    </w:rPr>
                    <w:t>Conditional indirect effects</w:t>
                  </w:r>
                </w:p>
              </w:tc>
              <w:tc>
                <w:tcPr>
                  <w:tcW w:w="2035" w:type="dxa"/>
                  <w:tcBorders>
                    <w:top w:val="nil"/>
                    <w:bottom w:val="nil"/>
                  </w:tcBorders>
                  <w:vAlign w:val="center"/>
                </w:tcPr>
                <w:p>
                  <w:pPr>
                    <w:pStyle w:val="Compact"/>
                    <w:spacing w:lineRule="auto" w:line="240" w:before="36" w:after="36"/>
                    <w:ind w:hanging="0"/>
                    <w:jc w:val="left"/>
                    <w:rPr/>
                  </w:pPr>
                  <w:r>
                    <w:rPr/>
                  </w:r>
                </w:p>
              </w:tc>
              <w:tc>
                <w:tcPr>
                  <w:tcW w:w="1219" w:type="dxa"/>
                  <w:tcBorders>
                    <w:top w:val="nil"/>
                    <w:bottom w:val="nil"/>
                  </w:tcBorders>
                  <w:vAlign w:val="center"/>
                </w:tcPr>
                <w:p>
                  <w:pPr>
                    <w:pStyle w:val="Compact"/>
                    <w:spacing w:lineRule="auto" w:line="240" w:before="36" w:after="36"/>
                    <w:ind w:hanging="0"/>
                    <w:jc w:val="left"/>
                    <w:rPr/>
                  </w:pPr>
                  <w:r>
                    <w:rPr/>
                  </w:r>
                </w:p>
              </w:tc>
              <w:tc>
                <w:tcPr>
                  <w:tcW w:w="1626" w:type="dxa"/>
                  <w:tcBorders>
                    <w:top w:val="nil"/>
                    <w:bottom w:val="nil"/>
                  </w:tcBorders>
                  <w:vAlign w:val="center"/>
                </w:tcPr>
                <w:p>
                  <w:pPr>
                    <w:pStyle w:val="Compact"/>
                    <w:spacing w:lineRule="auto" w:line="240" w:before="36" w:after="36"/>
                    <w:ind w:hanging="0"/>
                    <w:jc w:val="left"/>
                    <w:rPr/>
                  </w:pPr>
                  <w:r>
                    <w:rPr/>
                  </w:r>
                </w:p>
              </w:tc>
            </w:tr>
            <w:tr>
              <w:trPr/>
              <w:tc>
                <w:tcPr>
                  <w:tcW w:w="4264" w:type="dxa"/>
                  <w:tcBorders>
                    <w:top w:val="nil"/>
                    <w:bottom w:val="nil"/>
                  </w:tcBorders>
                  <w:vAlign w:val="center"/>
                </w:tcPr>
                <w:p>
                  <w:pPr>
                    <w:pStyle w:val="Compact"/>
                    <w:spacing w:before="36" w:after="36"/>
                    <w:jc w:val="center"/>
                    <w:rPr/>
                  </w:pPr>
                  <w:r>
                    <w:rPr/>
                    <w:t>Specific goal prompt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sSub>
                      <m:e>
                        <m:r>
                          <w:rPr>
                            <w:rFonts w:ascii="Cambria Math" w:hAnsi="Cambria Math"/>
                          </w:rPr>
                          <m:t xml:space="preserve">b</m:t>
                        </m:r>
                      </m:e>
                      <m:sub>
                        <m:r>
                          <w:rPr>
                            <w:rFonts w:ascii="Cambria Math" w:hAnsi="Cambria Math"/>
                          </w:rPr>
                          <m:t xml:space="preserve">1</m:t>
                        </m:r>
                      </m:sub>
                    </m:sSub>
                  </m:oMath>
                  <w:r>
                    <w:rPr/>
                    <w:t>)</w:t>
                  </w:r>
                </w:p>
              </w:tc>
              <w:tc>
                <w:tcPr>
                  <w:tcW w:w="2035" w:type="dxa"/>
                  <w:tcBorders>
                    <w:top w:val="nil"/>
                    <w:bottom w:val="nil"/>
                  </w:tcBorders>
                  <w:vAlign w:val="center"/>
                </w:tcPr>
                <w:p>
                  <w:pPr>
                    <w:pStyle w:val="Compact"/>
                    <w:spacing w:before="36" w:after="36"/>
                    <w:jc w:val="center"/>
                    <w:rPr/>
                  </w:pPr>
                  <w:r>
                    <w:rPr/>
                    <w:t>-0.053</w:t>
                  </w:r>
                </w:p>
              </w:tc>
              <w:tc>
                <w:tcPr>
                  <w:tcW w:w="1219" w:type="dxa"/>
                  <w:tcBorders>
                    <w:top w:val="nil"/>
                    <w:bottom w:val="nil"/>
                  </w:tcBorders>
                  <w:vAlign w:val="center"/>
                </w:tcPr>
                <w:p>
                  <w:pPr>
                    <w:pStyle w:val="Compact"/>
                    <w:spacing w:before="36" w:after="36"/>
                    <w:jc w:val="center"/>
                    <w:rPr/>
                  </w:pPr>
                  <w:r>
                    <w:rPr/>
                    <w:t>0.044</w:t>
                  </w:r>
                </w:p>
              </w:tc>
              <w:tc>
                <w:tcPr>
                  <w:tcW w:w="1626" w:type="dxa"/>
                  <w:tcBorders>
                    <w:top w:val="nil"/>
                    <w:bottom w:val="nil"/>
                  </w:tcBorders>
                  <w:vAlign w:val="center"/>
                </w:tcPr>
                <w:p>
                  <w:pPr>
                    <w:pStyle w:val="Compact"/>
                    <w:spacing w:before="36" w:after="36"/>
                    <w:jc w:val="center"/>
                    <w:rPr/>
                  </w:pPr>
                  <w:r>
                    <w:rPr/>
                    <w:t>[-0.156, 0.021]</w:t>
                  </w:r>
                </w:p>
              </w:tc>
            </w:tr>
            <w:tr>
              <w:trPr/>
              <w:tc>
                <w:tcPr>
                  <w:tcW w:w="4264" w:type="dxa"/>
                  <w:tcBorders>
                    <w:top w:val="nil"/>
                    <w:bottom w:val="nil"/>
                  </w:tcBorders>
                  <w:vAlign w:val="center"/>
                </w:tcPr>
                <w:p>
                  <w:pPr>
                    <w:pStyle w:val="Compact"/>
                    <w:spacing w:before="36" w:after="36"/>
                    <w:jc w:val="center"/>
                    <w:rPr/>
                  </w:pPr>
                  <w:r>
                    <w:rPr/>
                    <w:t>Vague goal prompt (</w:t>
                  </w:r>
                  <w:r>
                    <w:rPr/>
                  </w:r>
                  <m:oMath xmlns:m="http://schemas.openxmlformats.org/officeDocument/2006/math">
                    <m:sSub>
                      <m:e>
                        <m:r>
                          <w:rPr>
                            <w:rFonts w:ascii="Cambria Math" w:hAnsi="Cambria Math"/>
                          </w:rPr>
                          <m:t xml:space="preserve">a</m:t>
                        </m:r>
                      </m:e>
                      <m:sub>
                        <m:r>
                          <m:rPr>
                            <m:lit/>
                            <m:nor/>
                          </m:rPr>
                          <w:rPr>
                            <w:rFonts w:ascii="Cambria Math" w:hAnsi="Cambria Math"/>
                          </w:rPr>
                          <m:t xml:space="preserve">Vague</m:t>
                        </m:r>
                      </m:sub>
                    </m:sSub>
                    <m:sSub>
                      <m:e>
                        <m:r>
                          <w:rPr>
                            <w:rFonts w:ascii="Cambria Math" w:hAnsi="Cambria Math"/>
                          </w:rPr>
                          <m:t xml:space="preserve">b</m:t>
                        </m:r>
                      </m:e>
                      <m:sub>
                        <m:r>
                          <w:rPr>
                            <w:rFonts w:ascii="Cambria Math" w:hAnsi="Cambria Math"/>
                          </w:rPr>
                          <m:t xml:space="preserve">1</m:t>
                        </m:r>
                      </m:sub>
                    </m:sSub>
                  </m:oMath>
                  <w:r>
                    <w:rPr/>
                    <w:t>)</w:t>
                  </w:r>
                </w:p>
              </w:tc>
              <w:tc>
                <w:tcPr>
                  <w:tcW w:w="2035" w:type="dxa"/>
                  <w:tcBorders>
                    <w:top w:val="nil"/>
                    <w:bottom w:val="nil"/>
                  </w:tcBorders>
                  <w:vAlign w:val="center"/>
                </w:tcPr>
                <w:p>
                  <w:pPr>
                    <w:pStyle w:val="Compact"/>
                    <w:spacing w:before="36" w:after="36"/>
                    <w:jc w:val="center"/>
                    <w:rPr/>
                  </w:pPr>
                  <w:r>
                    <w:rPr/>
                    <w:t>-0.280*</w:t>
                  </w:r>
                </w:p>
              </w:tc>
              <w:tc>
                <w:tcPr>
                  <w:tcW w:w="1219" w:type="dxa"/>
                  <w:tcBorders>
                    <w:top w:val="nil"/>
                    <w:bottom w:val="nil"/>
                  </w:tcBorders>
                  <w:vAlign w:val="center"/>
                </w:tcPr>
                <w:p>
                  <w:pPr>
                    <w:pStyle w:val="Compact"/>
                    <w:spacing w:before="36" w:after="36"/>
                    <w:jc w:val="center"/>
                    <w:rPr/>
                  </w:pPr>
                  <w:r>
                    <w:rPr/>
                    <w:t>0.154</w:t>
                  </w:r>
                </w:p>
              </w:tc>
              <w:tc>
                <w:tcPr>
                  <w:tcW w:w="1626" w:type="dxa"/>
                  <w:tcBorders>
                    <w:top w:val="nil"/>
                    <w:bottom w:val="nil"/>
                  </w:tcBorders>
                  <w:vAlign w:val="center"/>
                </w:tcPr>
                <w:p>
                  <w:pPr>
                    <w:pStyle w:val="Compact"/>
                    <w:spacing w:before="36" w:after="36"/>
                    <w:jc w:val="center"/>
                    <w:rPr/>
                  </w:pPr>
                  <w:r>
                    <w:rPr/>
                    <w:t>[-0.625, -0.026]</w:t>
                  </w:r>
                </w:p>
              </w:tc>
            </w:tr>
            <w:tr>
              <w:trPr/>
              <w:tc>
                <w:tcPr>
                  <w:tcW w:w="4264" w:type="dxa"/>
                  <w:tcBorders>
                    <w:top w:val="nil"/>
                    <w:bottom w:val="nil"/>
                  </w:tcBorders>
                  <w:vAlign w:val="center"/>
                </w:tcPr>
                <w:p>
                  <w:pPr>
                    <w:pStyle w:val="Compact"/>
                    <w:spacing w:before="36" w:after="36"/>
                    <w:jc w:val="center"/>
                    <w:rPr/>
                  </w:pPr>
                  <w:r>
                    <w:rPr/>
                  </w:r>
                  <m:oMath xmlns:m="http://schemas.openxmlformats.org/officeDocument/2006/math">
                    <m:r>
                      <m:rPr>
                        <m:lit/>
                        <m:nor/>
                      </m:rPr>
                      <w:rPr>
                        <w:rFonts w:ascii="Cambria Math" w:hAnsi="Cambria Math"/>
                      </w:rPr>
                      <m:t xml:space="preserve">IMM</m:t>
                    </m:r>
                  </m:oMath>
                  <w:r>
                    <w:rPr/>
                    <w:t xml:space="preserve"> </w:t>
                  </w:r>
                  <w:r>
                    <w:rPr/>
                  </w:r>
                  <m:oMath xmlns:m="http://schemas.openxmlformats.org/officeDocument/2006/math">
                    <m:sSup>
                      <m:e/>
                      <m:sup>
                        <m:r>
                          <w:rPr>
                            <w:rFonts w:ascii="Cambria Math" w:hAnsi="Cambria Math"/>
                          </w:rPr>
                          <m:t xml:space="preserve">c</m:t>
                        </m:r>
                      </m:sup>
                    </m:sSup>
                  </m:oMath>
                </w:p>
              </w:tc>
              <w:tc>
                <w:tcPr>
                  <w:tcW w:w="2035" w:type="dxa"/>
                  <w:tcBorders>
                    <w:top w:val="nil"/>
                    <w:bottom w:val="nil"/>
                  </w:tcBorders>
                  <w:vAlign w:val="center"/>
                </w:tcPr>
                <w:p>
                  <w:pPr>
                    <w:pStyle w:val="Compact"/>
                    <w:spacing w:before="36" w:after="36"/>
                    <w:jc w:val="center"/>
                    <w:rPr/>
                  </w:pPr>
                  <w:r>
                    <w:rPr/>
                    <w:t>-0.228*</w:t>
                  </w:r>
                </w:p>
              </w:tc>
              <w:tc>
                <w:tcPr>
                  <w:tcW w:w="1219" w:type="dxa"/>
                  <w:tcBorders>
                    <w:top w:val="nil"/>
                    <w:bottom w:val="nil"/>
                  </w:tcBorders>
                  <w:vAlign w:val="center"/>
                </w:tcPr>
                <w:p>
                  <w:pPr>
                    <w:pStyle w:val="Compact"/>
                    <w:spacing w:before="36" w:after="36"/>
                    <w:jc w:val="center"/>
                    <w:rPr/>
                  </w:pPr>
                  <w:r>
                    <w:rPr/>
                    <w:t>0.132</w:t>
                  </w:r>
                </w:p>
              </w:tc>
              <w:tc>
                <w:tcPr>
                  <w:tcW w:w="1626" w:type="dxa"/>
                  <w:tcBorders>
                    <w:top w:val="nil"/>
                    <w:bottom w:val="nil"/>
                  </w:tcBorders>
                  <w:vAlign w:val="center"/>
                </w:tcPr>
                <w:p>
                  <w:pPr>
                    <w:pStyle w:val="Compact"/>
                    <w:spacing w:before="36" w:after="36"/>
                    <w:jc w:val="center"/>
                    <w:rPr/>
                  </w:pPr>
                  <w:r>
                    <w:rPr/>
                    <w:t>[-0.521, -0.009]</w:t>
                  </w:r>
                </w:p>
              </w:tc>
            </w:tr>
            <w:tr>
              <w:trPr/>
              <w:tc>
                <w:tcPr>
                  <w:tcW w:w="4264" w:type="dxa"/>
                  <w:tcBorders>
                    <w:top w:val="nil"/>
                    <w:bottom w:val="nil"/>
                  </w:tcBorders>
                  <w:vAlign w:val="center"/>
                </w:tcPr>
                <w:p>
                  <w:pPr>
                    <w:pStyle w:val="Compact"/>
                    <w:spacing w:before="36" w:after="36"/>
                    <w:jc w:val="center"/>
                    <w:rPr/>
                  </w:pPr>
                  <w:r>
                    <w:rPr>
                      <w:b/>
                      <w:bCs/>
                    </w:rPr>
                    <w:t>Total effects</w:t>
                  </w:r>
                </w:p>
              </w:tc>
              <w:tc>
                <w:tcPr>
                  <w:tcW w:w="2035" w:type="dxa"/>
                  <w:tcBorders>
                    <w:top w:val="nil"/>
                    <w:bottom w:val="nil"/>
                  </w:tcBorders>
                  <w:vAlign w:val="center"/>
                </w:tcPr>
                <w:p>
                  <w:pPr>
                    <w:pStyle w:val="Compact"/>
                    <w:spacing w:lineRule="auto" w:line="240" w:before="36" w:after="36"/>
                    <w:ind w:hanging="0"/>
                    <w:jc w:val="left"/>
                    <w:rPr/>
                  </w:pPr>
                  <w:r>
                    <w:rPr/>
                  </w:r>
                </w:p>
              </w:tc>
              <w:tc>
                <w:tcPr>
                  <w:tcW w:w="1219" w:type="dxa"/>
                  <w:tcBorders>
                    <w:top w:val="nil"/>
                    <w:bottom w:val="nil"/>
                  </w:tcBorders>
                  <w:vAlign w:val="center"/>
                </w:tcPr>
                <w:p>
                  <w:pPr>
                    <w:pStyle w:val="Compact"/>
                    <w:spacing w:lineRule="auto" w:line="240" w:before="36" w:after="36"/>
                    <w:ind w:hanging="0"/>
                    <w:jc w:val="left"/>
                    <w:rPr/>
                  </w:pPr>
                  <w:r>
                    <w:rPr/>
                  </w:r>
                </w:p>
              </w:tc>
              <w:tc>
                <w:tcPr>
                  <w:tcW w:w="1626" w:type="dxa"/>
                  <w:tcBorders>
                    <w:top w:val="nil"/>
                    <w:bottom w:val="nil"/>
                  </w:tcBorders>
                  <w:vAlign w:val="center"/>
                </w:tcPr>
                <w:p>
                  <w:pPr>
                    <w:pStyle w:val="Compact"/>
                    <w:spacing w:lineRule="auto" w:line="240" w:before="36" w:after="36"/>
                    <w:ind w:hanging="0"/>
                    <w:jc w:val="left"/>
                    <w:rPr/>
                  </w:pPr>
                  <w:r>
                    <w:rPr/>
                  </w:r>
                </w:p>
              </w:tc>
            </w:tr>
            <w:tr>
              <w:trPr/>
              <w:tc>
                <w:tcPr>
                  <w:tcW w:w="4264" w:type="dxa"/>
                  <w:tcBorders>
                    <w:top w:val="nil"/>
                    <w:bottom w:val="nil"/>
                  </w:tcBorders>
                  <w:vAlign w:val="center"/>
                </w:tcPr>
                <w:p>
                  <w:pPr>
                    <w:pStyle w:val="Compact"/>
                    <w:spacing w:before="36" w:after="36"/>
                    <w:jc w:val="center"/>
                    <w:rPr/>
                  </w:pPr>
                  <w:r>
                    <w:rPr/>
                    <w:t>Specific goal prompt</w:t>
                  </w:r>
                </w:p>
              </w:tc>
              <w:tc>
                <w:tcPr>
                  <w:tcW w:w="2035" w:type="dxa"/>
                  <w:tcBorders>
                    <w:top w:val="nil"/>
                    <w:bottom w:val="nil"/>
                  </w:tcBorders>
                  <w:vAlign w:val="center"/>
                </w:tcPr>
                <w:p>
                  <w:pPr>
                    <w:pStyle w:val="Compact"/>
                    <w:spacing w:before="36" w:after="36"/>
                    <w:jc w:val="center"/>
                    <w:rPr/>
                  </w:pPr>
                  <w:r>
                    <w:rPr/>
                    <w:t>-0.058</w:t>
                  </w:r>
                </w:p>
              </w:tc>
              <w:tc>
                <w:tcPr>
                  <w:tcW w:w="1219" w:type="dxa"/>
                  <w:tcBorders>
                    <w:top w:val="nil"/>
                    <w:bottom w:val="nil"/>
                  </w:tcBorders>
                  <w:vAlign w:val="center"/>
                </w:tcPr>
                <w:p>
                  <w:pPr>
                    <w:pStyle w:val="Compact"/>
                    <w:spacing w:before="36" w:after="36"/>
                    <w:jc w:val="center"/>
                    <w:rPr/>
                  </w:pPr>
                  <w:r>
                    <w:rPr/>
                    <w:t>0.047</w:t>
                  </w:r>
                </w:p>
              </w:tc>
              <w:tc>
                <w:tcPr>
                  <w:tcW w:w="1626" w:type="dxa"/>
                  <w:tcBorders>
                    <w:top w:val="nil"/>
                    <w:bottom w:val="nil"/>
                  </w:tcBorders>
                  <w:vAlign w:val="center"/>
                </w:tcPr>
                <w:p>
                  <w:pPr>
                    <w:pStyle w:val="Compact"/>
                    <w:spacing w:before="36" w:after="36"/>
                    <w:jc w:val="center"/>
                    <w:rPr/>
                  </w:pPr>
                  <w:r>
                    <w:rPr/>
                    <w:t>[-0.164, 0.025]</w:t>
                  </w:r>
                </w:p>
              </w:tc>
            </w:tr>
            <w:tr>
              <w:trPr/>
              <w:tc>
                <w:tcPr>
                  <w:tcW w:w="4264" w:type="dxa"/>
                  <w:tcBorders>
                    <w:top w:val="nil"/>
                    <w:bottom w:val="nil"/>
                  </w:tcBorders>
                  <w:vAlign w:val="center"/>
                </w:tcPr>
                <w:p>
                  <w:pPr>
                    <w:pStyle w:val="Compact"/>
                    <w:spacing w:before="36" w:after="36"/>
                    <w:jc w:val="center"/>
                    <w:rPr/>
                  </w:pPr>
                  <w:r>
                    <w:rPr/>
                    <w:t>Vague goal prompt</w:t>
                  </w:r>
                </w:p>
              </w:tc>
              <w:tc>
                <w:tcPr>
                  <w:tcW w:w="2035" w:type="dxa"/>
                  <w:tcBorders>
                    <w:top w:val="nil"/>
                    <w:bottom w:val="nil"/>
                  </w:tcBorders>
                  <w:vAlign w:val="center"/>
                </w:tcPr>
                <w:p>
                  <w:pPr>
                    <w:pStyle w:val="Compact"/>
                    <w:spacing w:before="36" w:after="36"/>
                    <w:jc w:val="center"/>
                    <w:rPr/>
                  </w:pPr>
                  <w:r>
                    <w:rPr/>
                    <w:t>-0.286*</w:t>
                  </w:r>
                </w:p>
              </w:tc>
              <w:tc>
                <w:tcPr>
                  <w:tcW w:w="1219" w:type="dxa"/>
                  <w:tcBorders>
                    <w:top w:val="nil"/>
                    <w:bottom w:val="nil"/>
                  </w:tcBorders>
                  <w:vAlign w:val="center"/>
                </w:tcPr>
                <w:p>
                  <w:pPr>
                    <w:pStyle w:val="Compact"/>
                    <w:spacing w:before="36" w:after="36"/>
                    <w:jc w:val="center"/>
                    <w:rPr/>
                  </w:pPr>
                  <w:r>
                    <w:rPr/>
                    <w:t>0.154</w:t>
                  </w:r>
                </w:p>
              </w:tc>
              <w:tc>
                <w:tcPr>
                  <w:tcW w:w="1626" w:type="dxa"/>
                  <w:tcBorders>
                    <w:top w:val="nil"/>
                    <w:bottom w:val="nil"/>
                  </w:tcBorders>
                  <w:vAlign w:val="center"/>
                </w:tcPr>
                <w:p>
                  <w:pPr>
                    <w:pStyle w:val="Compact"/>
                    <w:spacing w:before="36" w:after="36"/>
                    <w:jc w:val="center"/>
                    <w:rPr/>
                  </w:pPr>
                  <w:r>
                    <w:rPr/>
                    <w:t>[-0.632, -0.027]</w:t>
                  </w:r>
                </w:p>
              </w:tc>
            </w:tr>
            <w:tr>
              <w:trPr/>
              <w:tc>
                <w:tcPr>
                  <w:tcW w:w="4264" w:type="dxa"/>
                  <w:tcBorders>
                    <w:top w:val="nil"/>
                    <w:bottom w:val="nil"/>
                  </w:tcBorders>
                  <w:vAlign w:val="center"/>
                </w:tcPr>
                <w:p>
                  <w:pPr>
                    <w:pStyle w:val="Compact"/>
                    <w:spacing w:before="36" w:after="36"/>
                    <w:jc w:val="center"/>
                    <w:rPr/>
                  </w:pPr>
                  <w:r>
                    <w:rPr>
                      <w:b/>
                      <w:bCs/>
                    </w:rPr>
                    <w:t>Between-LLM heterogeneity (</w:t>
                  </w:r>
                  <w:r>
                    <w:rPr/>
                  </w:r>
                  <m:oMath xmlns:m="http://schemas.openxmlformats.org/officeDocument/2006/math">
                    <m:r>
                      <w:rPr>
                        <w:rFonts w:ascii="Cambria Math" w:hAnsi="Cambria Math"/>
                      </w:rPr>
                      <m:t xml:space="preserve">τ</m:t>
                    </m:r>
                  </m:oMath>
                  <w:r>
                    <w:rPr>
                      <w:b/>
                      <w:bCs/>
                    </w:rPr>
                    <w:t>)</w:t>
                  </w:r>
                </w:p>
              </w:tc>
              <w:tc>
                <w:tcPr>
                  <w:tcW w:w="2035" w:type="dxa"/>
                  <w:tcBorders>
                    <w:top w:val="nil"/>
                    <w:bottom w:val="nil"/>
                  </w:tcBorders>
                  <w:vAlign w:val="center"/>
                </w:tcPr>
                <w:p>
                  <w:pPr>
                    <w:pStyle w:val="Compact"/>
                    <w:spacing w:lineRule="auto" w:line="240" w:before="36" w:after="36"/>
                    <w:ind w:hanging="0"/>
                    <w:jc w:val="left"/>
                    <w:rPr/>
                  </w:pPr>
                  <w:r>
                    <w:rPr/>
                  </w:r>
                </w:p>
              </w:tc>
              <w:tc>
                <w:tcPr>
                  <w:tcW w:w="1219" w:type="dxa"/>
                  <w:tcBorders>
                    <w:top w:val="nil"/>
                    <w:bottom w:val="nil"/>
                  </w:tcBorders>
                  <w:vAlign w:val="center"/>
                </w:tcPr>
                <w:p>
                  <w:pPr>
                    <w:pStyle w:val="Compact"/>
                    <w:spacing w:lineRule="auto" w:line="240" w:before="36" w:after="36"/>
                    <w:ind w:hanging="0"/>
                    <w:jc w:val="left"/>
                    <w:rPr/>
                  </w:pPr>
                  <w:r>
                    <w:rPr/>
                  </w:r>
                </w:p>
              </w:tc>
              <w:tc>
                <w:tcPr>
                  <w:tcW w:w="1626" w:type="dxa"/>
                  <w:tcBorders>
                    <w:top w:val="nil"/>
                    <w:bottom w:val="nil"/>
                  </w:tcBorders>
                  <w:vAlign w:val="center"/>
                </w:tcPr>
                <w:p>
                  <w:pPr>
                    <w:pStyle w:val="Compact"/>
                    <w:spacing w:lineRule="auto" w:line="240" w:before="36" w:after="36"/>
                    <w:ind w:hanging="0"/>
                    <w:jc w:val="left"/>
                    <w:rPr/>
                  </w:pPr>
                  <w:r>
                    <w:rPr/>
                  </w:r>
                </w:p>
              </w:tc>
            </w:tr>
            <w:tr>
              <w:trPr/>
              <w:tc>
                <w:tcPr>
                  <w:tcW w:w="4264" w:type="dxa"/>
                  <w:tcBorders>
                    <w:top w:val="nil"/>
                    <w:bottom w:val="nil"/>
                  </w:tcBorders>
                  <w:vAlign w:val="center"/>
                </w:tcPr>
                <w:p>
                  <w:pPr>
                    <w:pStyle w:val="Compact"/>
                    <w:spacing w:before="36" w:after="36"/>
                    <w:jc w:val="center"/>
                    <w:rPr/>
                  </w:pPr>
                  <w:r>
                    <w:rPr/>
                  </w:r>
                  <m:oMath xmlns:m="http://schemas.openxmlformats.org/officeDocument/2006/math">
                    <m:sSub>
                      <m:e>
                        <m:r>
                          <w:rPr>
                            <w:rFonts w:ascii="Cambria Math" w:hAnsi="Cambria Math"/>
                          </w:rPr>
                          <m:t xml:space="preserve">τ</m:t>
                        </m:r>
                      </m:e>
                      <m:sub>
                        <m:sSub>
                          <m:e>
                            <m:r>
                              <w:rPr>
                                <w:rFonts w:ascii="Cambria Math" w:hAnsi="Cambria Math"/>
                              </w:rPr>
                              <m:t xml:space="preserve">a</m:t>
                            </m:r>
                          </m:e>
                          <m:sub>
                            <m:r>
                              <w:rPr>
                                <w:rFonts w:ascii="Cambria Math" w:hAnsi="Cambria Math"/>
                              </w:rPr>
                              <m:t xml:space="preserve">1</m:t>
                            </m:r>
                          </m:sub>
                        </m:sSub>
                      </m:sub>
                    </m:sSub>
                  </m:oMath>
                  <w:r>
                    <w:rPr/>
                    <w:t xml:space="preserve"> </w:t>
                  </w:r>
                  <w:r>
                    <w:rPr/>
                    <w:t>(Acquisition cost)</w:t>
                  </w:r>
                </w:p>
              </w:tc>
              <w:tc>
                <w:tcPr>
                  <w:tcW w:w="2035" w:type="dxa"/>
                  <w:tcBorders>
                    <w:top w:val="nil"/>
                    <w:bottom w:val="nil"/>
                  </w:tcBorders>
                  <w:vAlign w:val="center"/>
                </w:tcPr>
                <w:p>
                  <w:pPr>
                    <w:pStyle w:val="Compact"/>
                    <w:spacing w:before="36" w:after="36"/>
                    <w:jc w:val="center"/>
                    <w:rPr/>
                  </w:pPr>
                  <w:r>
                    <w:rPr/>
                    <w:t>1.255*</w:t>
                  </w:r>
                </w:p>
              </w:tc>
              <w:tc>
                <w:tcPr>
                  <w:tcW w:w="1219" w:type="dxa"/>
                  <w:tcBorders>
                    <w:top w:val="nil"/>
                    <w:bottom w:val="nil"/>
                  </w:tcBorders>
                  <w:vAlign w:val="center"/>
                </w:tcPr>
                <w:p>
                  <w:pPr>
                    <w:pStyle w:val="Compact"/>
                    <w:spacing w:before="36" w:after="36"/>
                    <w:jc w:val="center"/>
                    <w:rPr/>
                  </w:pPr>
                  <w:r>
                    <w:rPr/>
                    <w:t>0.382</w:t>
                  </w:r>
                </w:p>
              </w:tc>
              <w:tc>
                <w:tcPr>
                  <w:tcW w:w="1626" w:type="dxa"/>
                  <w:tcBorders>
                    <w:top w:val="nil"/>
                    <w:bottom w:val="nil"/>
                  </w:tcBorders>
                  <w:vAlign w:val="center"/>
                </w:tcPr>
                <w:p>
                  <w:pPr>
                    <w:pStyle w:val="Compact"/>
                    <w:spacing w:before="36" w:after="36"/>
                    <w:jc w:val="center"/>
                    <w:rPr/>
                  </w:pPr>
                  <w:r>
                    <w:rPr/>
                    <w:t>[0.732, 2.186]</w:t>
                  </w:r>
                </w:p>
              </w:tc>
            </w:tr>
            <w:tr>
              <w:trPr/>
              <w:tc>
                <w:tcPr>
                  <w:tcW w:w="4264" w:type="dxa"/>
                  <w:tcBorders>
                    <w:top w:val="nil"/>
                    <w:bottom w:val="nil"/>
                  </w:tcBorders>
                  <w:vAlign w:val="center"/>
                </w:tcPr>
                <w:p>
                  <w:pPr>
                    <w:pStyle w:val="Compact"/>
                    <w:spacing w:before="36" w:after="36"/>
                    <w:jc w:val="center"/>
                    <w:rPr/>
                  </w:pPr>
                  <w:r>
                    <w:rPr/>
                  </w:r>
                  <m:oMath xmlns:m="http://schemas.openxmlformats.org/officeDocument/2006/math">
                    <m:sSub>
                      <m:e>
                        <m:r>
                          <w:rPr>
                            <w:rFonts w:ascii="Cambria Math" w:hAnsi="Cambria Math"/>
                          </w:rPr>
                          <m:t xml:space="preserve">τ</m:t>
                        </m:r>
                      </m:e>
                      <m:sub>
                        <m:sSub>
                          <m:e>
                            <m:r>
                              <w:rPr>
                                <w:rFonts w:ascii="Cambria Math" w:hAnsi="Cambria Math"/>
                              </w:rPr>
                              <m:t xml:space="preserve">a</m:t>
                            </m:r>
                          </m:e>
                          <m:sub>
                            <m:r>
                              <w:rPr>
                                <w:rFonts w:ascii="Cambria Math" w:hAnsi="Cambria Math"/>
                              </w:rPr>
                              <m:t xml:space="preserve">2</m:t>
                            </m:r>
                          </m:sub>
                        </m:sSub>
                      </m:sub>
                    </m:sSub>
                  </m:oMath>
                  <w:r>
                    <w:rPr/>
                    <w:t xml:space="preserve"> </w:t>
                  </w:r>
                  <w:r>
                    <w:rPr/>
                    <w:t>(Vague goal prompt)</w:t>
                  </w:r>
                </w:p>
              </w:tc>
              <w:tc>
                <w:tcPr>
                  <w:tcW w:w="2035" w:type="dxa"/>
                  <w:tcBorders>
                    <w:top w:val="nil"/>
                    <w:bottom w:val="nil"/>
                  </w:tcBorders>
                  <w:vAlign w:val="center"/>
                </w:tcPr>
                <w:p>
                  <w:pPr>
                    <w:pStyle w:val="Compact"/>
                    <w:spacing w:before="36" w:after="36"/>
                    <w:jc w:val="center"/>
                    <w:rPr/>
                  </w:pPr>
                  <w:r>
                    <w:rPr/>
                    <w:t>0.052*</w:t>
                  </w:r>
                </w:p>
              </w:tc>
              <w:tc>
                <w:tcPr>
                  <w:tcW w:w="1219" w:type="dxa"/>
                  <w:tcBorders>
                    <w:top w:val="nil"/>
                    <w:bottom w:val="nil"/>
                  </w:tcBorders>
                  <w:vAlign w:val="center"/>
                </w:tcPr>
                <w:p>
                  <w:pPr>
                    <w:pStyle w:val="Compact"/>
                    <w:spacing w:before="36" w:after="36"/>
                    <w:jc w:val="center"/>
                    <w:rPr/>
                  </w:pPr>
                  <w:r>
                    <w:rPr/>
                    <w:t>0.046</w:t>
                  </w:r>
                </w:p>
              </w:tc>
              <w:tc>
                <w:tcPr>
                  <w:tcW w:w="1626" w:type="dxa"/>
                  <w:tcBorders>
                    <w:top w:val="nil"/>
                    <w:bottom w:val="nil"/>
                  </w:tcBorders>
                  <w:vAlign w:val="center"/>
                </w:tcPr>
                <w:p>
                  <w:pPr>
                    <w:pStyle w:val="Compact"/>
                    <w:spacing w:before="36" w:after="36"/>
                    <w:jc w:val="center"/>
                    <w:rPr/>
                  </w:pPr>
                  <w:r>
                    <w:rPr/>
                    <w:t>[0.002, 0.167]</w:t>
                  </w:r>
                </w:p>
              </w:tc>
            </w:tr>
            <w:tr>
              <w:trPr/>
              <w:tc>
                <w:tcPr>
                  <w:tcW w:w="4264" w:type="dxa"/>
                  <w:tcBorders>
                    <w:top w:val="nil"/>
                    <w:bottom w:val="nil"/>
                  </w:tcBorders>
                  <w:vAlign w:val="center"/>
                </w:tcPr>
                <w:p>
                  <w:pPr>
                    <w:pStyle w:val="Compact"/>
                    <w:spacing w:before="36" w:after="36"/>
                    <w:jc w:val="center"/>
                    <w:rPr/>
                  </w:pPr>
                  <w:r>
                    <w:rPr/>
                  </w:r>
                  <m:oMath xmlns:m="http://schemas.openxmlformats.org/officeDocument/2006/math">
                    <m:sSub>
                      <m:e>
                        <m:r>
                          <w:rPr>
                            <w:rFonts w:ascii="Cambria Math" w:hAnsi="Cambria Math"/>
                          </w:rPr>
                          <m:t xml:space="preserve">τ</m:t>
                        </m:r>
                      </m:e>
                      <m:sub>
                        <m:sSub>
                          <m:e>
                            <m:r>
                              <w:rPr>
                                <w:rFonts w:ascii="Cambria Math" w:hAnsi="Cambria Math"/>
                              </w:rPr>
                              <m:t xml:space="preserve">a</m:t>
                            </m:r>
                          </m:e>
                          <m:sub>
                            <m:r>
                              <w:rPr>
                                <w:rFonts w:ascii="Cambria Math" w:hAnsi="Cambria Math"/>
                              </w:rPr>
                              <m:t xml:space="preserve">3</m:t>
                            </m:r>
                          </m:sub>
                        </m:sSub>
                      </m:sub>
                    </m:sSub>
                  </m:oMath>
                  <w:r>
                    <w:rPr/>
                    <w:t xml:space="preserve"> </w:t>
                  </w:r>
                  <w:r>
                    <w:rPr/>
                    <w:t xml:space="preserve">(Acquisition cost </w:t>
                  </w:r>
                  <w:r>
                    <w:rPr/>
                  </w:r>
                  <m:oMath xmlns:m="http://schemas.openxmlformats.org/officeDocument/2006/math">
                    <m:r>
                      <w:rPr>
                        <w:rFonts w:ascii="Cambria Math" w:hAnsi="Cambria Math"/>
                      </w:rPr>
                      <m:t xml:space="preserve">×</m:t>
                    </m:r>
                  </m:oMath>
                  <w:r>
                    <w:rPr/>
                    <w:t xml:space="preserve"> Vague goal prompt)</w:t>
                  </w:r>
                </w:p>
              </w:tc>
              <w:tc>
                <w:tcPr>
                  <w:tcW w:w="2035" w:type="dxa"/>
                  <w:tcBorders>
                    <w:top w:val="nil"/>
                    <w:bottom w:val="nil"/>
                  </w:tcBorders>
                  <w:vAlign w:val="center"/>
                </w:tcPr>
                <w:p>
                  <w:pPr>
                    <w:pStyle w:val="Compact"/>
                    <w:spacing w:before="36" w:after="36"/>
                    <w:jc w:val="center"/>
                    <w:rPr/>
                  </w:pPr>
                  <w:r>
                    <w:rPr/>
                    <w:t>3.350*</w:t>
                  </w:r>
                </w:p>
              </w:tc>
              <w:tc>
                <w:tcPr>
                  <w:tcW w:w="1219" w:type="dxa"/>
                  <w:tcBorders>
                    <w:top w:val="nil"/>
                    <w:bottom w:val="nil"/>
                  </w:tcBorders>
                  <w:vAlign w:val="center"/>
                </w:tcPr>
                <w:p>
                  <w:pPr>
                    <w:pStyle w:val="Compact"/>
                    <w:spacing w:before="36" w:after="36"/>
                    <w:jc w:val="center"/>
                    <w:rPr/>
                  </w:pPr>
                  <w:r>
                    <w:rPr/>
                    <w:t>0.792</w:t>
                  </w:r>
                </w:p>
              </w:tc>
              <w:tc>
                <w:tcPr>
                  <w:tcW w:w="1626" w:type="dxa"/>
                  <w:tcBorders>
                    <w:top w:val="nil"/>
                    <w:bottom w:val="nil"/>
                  </w:tcBorders>
                  <w:vAlign w:val="center"/>
                </w:tcPr>
                <w:p>
                  <w:pPr>
                    <w:pStyle w:val="Compact"/>
                    <w:spacing w:before="36" w:after="36"/>
                    <w:jc w:val="center"/>
                    <w:rPr/>
                  </w:pPr>
                  <w:r>
                    <w:rPr/>
                    <w:t>[2.165, 5.236]</w:t>
                  </w:r>
                </w:p>
              </w:tc>
            </w:tr>
            <w:tr>
              <w:trPr/>
              <w:tc>
                <w:tcPr>
                  <w:tcW w:w="4264" w:type="dxa"/>
                  <w:tcBorders>
                    <w:top w:val="nil"/>
                    <w:bottom w:val="nil"/>
                  </w:tcBorders>
                  <w:vAlign w:val="center"/>
                </w:tcPr>
                <w:p>
                  <w:pPr>
                    <w:pStyle w:val="Compact"/>
                    <w:spacing w:before="36" w:after="36"/>
                    <w:jc w:val="center"/>
                    <w:rPr/>
                  </w:pPr>
                  <w:r>
                    <w:rPr/>
                  </w:r>
                  <m:oMath xmlns:m="http://schemas.openxmlformats.org/officeDocument/2006/math">
                    <m:sSub>
                      <m:e>
                        <m:r>
                          <w:rPr>
                            <w:rFonts w:ascii="Cambria Math" w:hAnsi="Cambria Math"/>
                          </w:rPr>
                          <m:t xml:space="preserve">τ</m:t>
                        </m:r>
                      </m:e>
                      <m:sub>
                        <m:sSub>
                          <m:e>
                            <m:r>
                              <w:rPr>
                                <w:rFonts w:ascii="Cambria Math" w:hAnsi="Cambria Math"/>
                              </w:rPr>
                              <m:t xml:space="preserve">b</m:t>
                            </m:r>
                          </m:e>
                          <m:sub>
                            <m:r>
                              <w:rPr>
                                <w:rFonts w:ascii="Cambria Math" w:hAnsi="Cambria Math"/>
                              </w:rPr>
                              <m:t xml:space="preserve">1</m:t>
                            </m:r>
                          </m:sub>
                        </m:sSub>
                      </m:sub>
                    </m:sSub>
                  </m:oMath>
                  <w:r>
                    <w:rPr/>
                    <w:t xml:space="preserve"> </w:t>
                  </w:r>
                  <w:r>
                    <w:rPr/>
                    <w:t>(Diagnostic acquisition)</w:t>
                  </w:r>
                </w:p>
              </w:tc>
              <w:tc>
                <w:tcPr>
                  <w:tcW w:w="2035" w:type="dxa"/>
                  <w:tcBorders>
                    <w:top w:val="nil"/>
                    <w:bottom w:val="nil"/>
                  </w:tcBorders>
                  <w:vAlign w:val="center"/>
                </w:tcPr>
                <w:p>
                  <w:pPr>
                    <w:pStyle w:val="Compact"/>
                    <w:spacing w:before="36" w:after="36"/>
                    <w:jc w:val="center"/>
                    <w:rPr/>
                  </w:pPr>
                  <w:r>
                    <w:rPr/>
                    <w:t>0.083*</w:t>
                  </w:r>
                </w:p>
              </w:tc>
              <w:tc>
                <w:tcPr>
                  <w:tcW w:w="1219" w:type="dxa"/>
                  <w:tcBorders>
                    <w:top w:val="nil"/>
                    <w:bottom w:val="nil"/>
                  </w:tcBorders>
                  <w:vAlign w:val="center"/>
                </w:tcPr>
                <w:p>
                  <w:pPr>
                    <w:pStyle w:val="Compact"/>
                    <w:spacing w:before="36" w:after="36"/>
                    <w:jc w:val="center"/>
                    <w:rPr/>
                  </w:pPr>
                  <w:r>
                    <w:rPr/>
                    <w:t>0.028</w:t>
                  </w:r>
                </w:p>
              </w:tc>
              <w:tc>
                <w:tcPr>
                  <w:tcW w:w="1626" w:type="dxa"/>
                  <w:tcBorders>
                    <w:top w:val="nil"/>
                    <w:bottom w:val="nil"/>
                  </w:tcBorders>
                  <w:vAlign w:val="center"/>
                </w:tcPr>
                <w:p>
                  <w:pPr>
                    <w:pStyle w:val="Compact"/>
                    <w:spacing w:before="36" w:after="36"/>
                    <w:jc w:val="center"/>
                    <w:rPr/>
                  </w:pPr>
                  <w:r>
                    <w:rPr/>
                    <w:t>[0.048, 0.153]</w:t>
                  </w:r>
                </w:p>
              </w:tc>
            </w:tr>
            <w:tr>
              <w:trPr/>
              <w:tc>
                <w:tcPr>
                  <w:tcW w:w="4264" w:type="dxa"/>
                  <w:tcBorders>
                    <w:top w:val="nil"/>
                    <w:bottom w:val="nil"/>
                  </w:tcBorders>
                  <w:vAlign w:val="center"/>
                </w:tcPr>
                <w:p>
                  <w:pPr>
                    <w:pStyle w:val="Compact"/>
                    <w:spacing w:before="36" w:after="36"/>
                    <w:jc w:val="center"/>
                    <w:rPr/>
                  </w:pPr>
                  <w:r>
                    <w:rPr/>
                  </w:r>
                  <m:oMath xmlns:m="http://schemas.openxmlformats.org/officeDocument/2006/math">
                    <m:sSub>
                      <m:e>
                        <m:r>
                          <w:rPr>
                            <w:rFonts w:ascii="Cambria Math" w:hAnsi="Cambria Math"/>
                          </w:rPr>
                          <m:t xml:space="preserve">τ</m:t>
                        </m:r>
                      </m:e>
                      <m:sub>
                        <m:sSup>
                          <m:e>
                            <m:r>
                              <w:rPr>
                                <w:rFonts w:ascii="Cambria Math" w:hAnsi="Cambria Math"/>
                              </w:rPr>
                              <m:t xml:space="preserve">c</m:t>
                            </m:r>
                          </m:e>
                          <m:sup>
                            <m:r>
                              <w:rPr>
                                <w:rFonts w:ascii="Cambria Math" w:hAnsi="Cambria Math"/>
                              </w:rPr>
                              <m:t xml:space="preserve">′</m:t>
                            </m:r>
                          </m:sup>
                        </m:sSup>
                      </m:sub>
                    </m:sSub>
                  </m:oMath>
                  <w:r>
                    <w:rPr/>
                    <w:t xml:space="preserve"> </w:t>
                  </w:r>
                  <w:r>
                    <w:rPr/>
                    <w:t>(Acquisition cost)</w:t>
                  </w:r>
                </w:p>
              </w:tc>
              <w:tc>
                <w:tcPr>
                  <w:tcW w:w="2035" w:type="dxa"/>
                  <w:tcBorders>
                    <w:top w:val="nil"/>
                    <w:bottom w:val="nil"/>
                  </w:tcBorders>
                  <w:vAlign w:val="center"/>
                </w:tcPr>
                <w:p>
                  <w:pPr>
                    <w:pStyle w:val="Compact"/>
                    <w:spacing w:before="36" w:after="36"/>
                    <w:jc w:val="center"/>
                    <w:rPr/>
                  </w:pPr>
                  <w:r>
                    <w:rPr/>
                    <w:t>0.041*</w:t>
                  </w:r>
                </w:p>
              </w:tc>
              <w:tc>
                <w:tcPr>
                  <w:tcW w:w="1219" w:type="dxa"/>
                  <w:tcBorders>
                    <w:top w:val="nil"/>
                    <w:bottom w:val="nil"/>
                  </w:tcBorders>
                  <w:vAlign w:val="center"/>
                </w:tcPr>
                <w:p>
                  <w:pPr>
                    <w:pStyle w:val="Compact"/>
                    <w:spacing w:before="36" w:after="36"/>
                    <w:jc w:val="center"/>
                    <w:rPr/>
                  </w:pPr>
                  <w:r>
                    <w:rPr/>
                    <w:t>0.025</w:t>
                  </w:r>
                </w:p>
              </w:tc>
              <w:tc>
                <w:tcPr>
                  <w:tcW w:w="1626" w:type="dxa"/>
                  <w:tcBorders>
                    <w:top w:val="nil"/>
                    <w:bottom w:val="nil"/>
                  </w:tcBorders>
                  <w:vAlign w:val="center"/>
                </w:tcPr>
                <w:p>
                  <w:pPr>
                    <w:pStyle w:val="Compact"/>
                    <w:spacing w:before="36" w:after="36"/>
                    <w:jc w:val="center"/>
                    <w:rPr/>
                  </w:pPr>
                  <w:r>
                    <w:rPr/>
                    <w:t>[0.004, 0.099]</w:t>
                  </w:r>
                </w:p>
              </w:tc>
            </w:tr>
            <w:tr>
              <w:trPr/>
              <w:tc>
                <w:tcPr>
                  <w:tcW w:w="4264" w:type="dxa"/>
                  <w:tcBorders>
                    <w:top w:val="nil"/>
                  </w:tcBorders>
                  <w:vAlign w:val="center"/>
                </w:tcPr>
                <w:p>
                  <w:pPr>
                    <w:pStyle w:val="Compact"/>
                    <w:spacing w:before="36" w:after="36"/>
                    <w:jc w:val="center"/>
                    <w:rPr/>
                  </w:pPr>
                  <w:r>
                    <w:rPr/>
                  </w:r>
                  <m:oMath xmlns:m="http://schemas.openxmlformats.org/officeDocument/2006/math">
                    <m:sSub>
                      <m:e>
                        <m:r>
                          <w:rPr>
                            <w:rFonts w:ascii="Cambria Math" w:hAnsi="Cambria Math"/>
                          </w:rPr>
                          <m:t xml:space="preserve">τ</m:t>
                        </m:r>
                      </m:e>
                      <m:sub>
                        <m:sSub>
                          <m:e>
                            <m:r>
                              <w:rPr>
                                <w:rFonts w:ascii="Cambria Math" w:hAnsi="Cambria Math"/>
                              </w:rPr>
                              <m:t xml:space="preserve">c</m:t>
                            </m:r>
                          </m:e>
                          <m:sub>
                            <m:r>
                              <w:rPr>
                                <w:rFonts w:ascii="Cambria Math" w:hAnsi="Cambria Math"/>
                              </w:rPr>
                              <m:t xml:space="preserve">2</m:t>
                            </m:r>
                          </m:sub>
                        </m:sSub>
                      </m:sub>
                    </m:sSub>
                  </m:oMath>
                  <w:r>
                    <w:rPr/>
                    <w:t xml:space="preserve"> </w:t>
                  </w:r>
                  <w:r>
                    <w:rPr/>
                    <w:t>(Vague goal prompt)</w:t>
                  </w:r>
                </w:p>
              </w:tc>
              <w:tc>
                <w:tcPr>
                  <w:tcW w:w="2035" w:type="dxa"/>
                  <w:tcBorders>
                    <w:top w:val="nil"/>
                  </w:tcBorders>
                  <w:vAlign w:val="center"/>
                </w:tcPr>
                <w:p>
                  <w:pPr>
                    <w:pStyle w:val="Compact"/>
                    <w:spacing w:before="36" w:after="36"/>
                    <w:jc w:val="center"/>
                    <w:rPr/>
                  </w:pPr>
                  <w:r>
                    <w:rPr/>
                    <w:t>0.103*</w:t>
                  </w:r>
                </w:p>
              </w:tc>
              <w:tc>
                <w:tcPr>
                  <w:tcW w:w="1219" w:type="dxa"/>
                  <w:tcBorders>
                    <w:top w:val="nil"/>
                  </w:tcBorders>
                  <w:vAlign w:val="center"/>
                </w:tcPr>
                <w:p>
                  <w:pPr>
                    <w:pStyle w:val="Compact"/>
                    <w:spacing w:before="36" w:after="36"/>
                    <w:jc w:val="center"/>
                    <w:rPr/>
                  </w:pPr>
                  <w:r>
                    <w:rPr/>
                    <w:t>0.039</w:t>
                  </w:r>
                </w:p>
              </w:tc>
              <w:tc>
                <w:tcPr>
                  <w:tcW w:w="1626" w:type="dxa"/>
                  <w:tcBorders>
                    <w:top w:val="nil"/>
                  </w:tcBorders>
                  <w:vAlign w:val="center"/>
                </w:tcPr>
                <w:p>
                  <w:pPr>
                    <w:pStyle w:val="Compact"/>
                    <w:spacing w:before="36" w:after="36"/>
                    <w:jc w:val="center"/>
                    <w:rPr/>
                  </w:pPr>
                  <w:r>
                    <w:rPr/>
                    <w:t>[0.053, 0.200]</w:t>
                  </w:r>
                  <w:bookmarkStart w:id="27" w:name="tbl-s2b-modmed"/>
                  <w:bookmarkEnd w:id="27"/>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200</m:t>
        </m:r>
      </m:oMath>
      <w:r>
        <w:rPr/>
        <w:t xml:space="preserve"> sessions across eight LLMs from three providers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100</m:t>
        </m:r>
      </m:oMath>
      <w:r>
        <w:rPr/>
        <w:t xml:space="preserve"> per cell). Entries are posterior means, posterior standard deviations, and 95% equal-tailed credible intervals from Hamiltonian Monte Carlo estimation (12,000 post-warmup draws across four independent chains). First-stage paths are in cell counts (maximum 9). Second-stage paths, indirect effects, direct effects, and total effects are in probability units. Group-level standard deviations (</w:t>
      </w:r>
      <w:r>
        <w:rPr/>
      </w:r>
      <m:oMath xmlns:m="http://schemas.openxmlformats.org/officeDocument/2006/math">
        <m:r>
          <w:rPr>
            <w:rFonts w:ascii="Cambria Math" w:hAnsi="Cambria Math"/>
          </w:rPr>
          <m:t xml:space="preserve">τ</m:t>
        </m:r>
      </m:oMath>
      <w:r>
        <w:rPr/>
        <w:t>) estimate cross-LLM heterogeneity.</w:t>
        <w:br/>
      </w:r>
      <w:r>
        <w:rPr/>
      </w:r>
      <m:oMath xmlns:m="http://schemas.openxmlformats.org/officeDocument/2006/math">
        <m:sSup>
          <m:e/>
          <m:sup>
            <m:r>
              <w:rPr>
                <w:rFonts w:ascii="Cambria Math" w:hAnsi="Cambria Math"/>
              </w:rPr>
              <m:t xml:space="preserve">a</m:t>
            </m:r>
          </m:sup>
        </m:sSup>
      </m:oMath>
      <w:r>
        <w:rPr/>
        <w:t xml:space="preserve"> Evaluated under the baseline specific goal prompt.</w:t>
        <w:br/>
      </w:r>
      <w:r>
        <w:rPr/>
      </w:r>
      <m:oMath xmlns:m="http://schemas.openxmlformats.org/officeDocument/2006/math">
        <m:sSup>
          <m:e/>
          <m:sup>
            <m:r>
              <w:rPr>
                <w:rFonts w:ascii="Cambria Math" w:hAnsi="Cambria Math"/>
              </w:rPr>
              <m:t xml:space="preserve">b</m:t>
            </m:r>
          </m:sup>
        </m:sSup>
      </m:oMath>
      <w:r>
        <w:rPr/>
        <w:t xml:space="preserve"> Computed as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oMath>
      <w:r>
        <w:rPr/>
        <w:t>.</w:t>
        <w:br/>
      </w:r>
      <w:r>
        <w:rPr/>
      </w:r>
      <m:oMath xmlns:m="http://schemas.openxmlformats.org/officeDocument/2006/math">
        <m:sSup>
          <m:e/>
          <m:sup>
            <m:r>
              <w:rPr>
                <w:rFonts w:ascii="Cambria Math" w:hAnsi="Cambria Math"/>
              </w:rPr>
              <m:t xml:space="preserve">c</m:t>
            </m:r>
          </m:sup>
        </m:sSup>
      </m:oMath>
      <w:r>
        <w:rPr/>
        <w:t xml:space="preserve"> Index of Moderated Mediation, Computed as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w:t>
        <w:br/>
        <w:t>* 95% credible interval strictly excludes zero.</w:t>
      </w:r>
      <w:bookmarkEnd w:id="24"/>
      <w:bookmarkEnd w:id="26"/>
    </w:p>
    <w:p>
      <w:pPr>
        <w:pStyle w:val="Heading2"/>
        <w:rPr/>
      </w:pPr>
      <w:bookmarkStart w:id="28" w:name="discussion-1"/>
      <w:r>
        <w:rPr/>
        <w:t>Discussion</w:t>
      </w:r>
    </w:p>
    <w:p>
      <w:pPr>
        <w:pStyle w:val="FirstParagraph"/>
        <w:rPr/>
      </w:pPr>
      <w:r>
        <w:rPr/>
        <w:t>Comparing empirical search against normative Expectimax benchmarks demonstrates that LLM search truncation does not reflect calibrated resource rationality (Web Appendix C). At cost=$10.00, optimal planners reduce acquisition to 1.2–1.4 calls because inspection cost exceeds the expected price of instant coffee. By contrast, LLMs over-search (6.47 to 8.96 calls) and incur up to $90 in penalties.</w:t>
      </w:r>
      <w:bookmarkEnd w:id="22"/>
      <w:bookmarkEnd w:id="28"/>
    </w:p>
    <w:p>
      <w:pPr>
        <w:pStyle w:val="Heading1"/>
        <w:rPr/>
      </w:pPr>
      <w:bookmarkStart w:id="29" w:name="validation-studies"/>
      <w:r>
        <w:rPr/>
        <w:t>Validation studies</w:t>
      </w:r>
    </w:p>
    <w:p>
      <w:pPr>
        <w:pStyle w:val="FirstParagraph"/>
        <w:rPr/>
      </w:pPr>
      <w:r>
        <w:rPr/>
        <w:t>Tool-Lab is introduced on the claim that it separates what an LLM knew when it chose from what it did with what it knew. Both studies rest on that separation. The acquisition side of it is measured directly, because the log records which cells were revealed before the choice was submitted. The utilization side is not. An LLM that acquired the diagnostic set and chose the inferior alternative is inferred to have computed value correctly and acted on it differently, but choice data cannot distinguish that LLM from one that acquired the same cells and could not perform the computation at all. The two produce identical choices.</w:t>
      </w:r>
    </w:p>
    <w:p>
      <w:pPr>
        <w:pStyle w:val="BodyText"/>
        <w:rPr/>
      </w:pPr>
      <w:r>
        <w:rPr/>
        <w:t>This section measures the utilization side directly, in two conditions. The first assigns the information state exogenously, which fixes what an LLM holds and asks what it does with it. The second requires the LLM to report the computation it performed on what it holds. Doing so tests the paradigm rather than either study: if Tool-Lab separates acquisition from utilization, then an LLM whose acquisition is complete should be capable of being wrong in ways that acquisition cannot explain, and that possibility should be observable rather than assumed.</w:t>
      </w:r>
    </w:p>
    <w:p>
      <w:pPr>
        <w:pStyle w:val="Heading2"/>
        <w:rPr/>
      </w:pPr>
      <w:bookmarkStart w:id="30" w:name="Xf92e855a2f6b4398645af5087769156614b39da"/>
      <w:r>
        <w:rPr/>
        <w:t>Choice under exogenously assigned information states</w:t>
      </w:r>
    </w:p>
    <w:p>
      <w:pPr>
        <w:pStyle w:val="FirstParagraph"/>
        <w:rPr/>
      </w:pPr>
      <w:r>
        <w:rPr/>
        <w:t xml:space="preserve">Both Tool-Lab studies observe LLMs that selected their own information, so the association between diagnostic acquisition and choice optimality is estimated over states the LLMs themselves produced. This condition assigns the state instead. There is no </w:t>
      </w:r>
      <w:r>
        <w:rPr>
          <w:i/>
          <w:iCs/>
        </w:rPr>
        <w:t>inspect_cell</w:t>
      </w:r>
      <w:r>
        <w:rPr/>
        <w:t xml:space="preserve"> tool and no acquisition cost; a predetermined set of cells is supplied in the prompt, and the remaining attributes are listed as existing but unavailable, so the LLM chooses under acknowledged missingness. We ran nine assigned states, four in the Study 1 environment and five in the Study 2 environment, across the same seven LLMs at 50 sessions each, yielding 3,150 sessions. Design, procedure, per-LLM results, and choice distributions are reported in Web Appendix I.</w:t>
      </w:r>
      <w:bookmarkEnd w:id="30"/>
    </w:p>
    <w:p>
      <w:pPr>
        <w:pStyle w:val="Heading2"/>
        <w:rPr/>
      </w:pPr>
      <w:bookmarkStart w:id="31" w:name="reported-valuations"/>
      <w:r>
        <w:rPr/>
        <w:t>Reported valuations</w:t>
      </w:r>
    </w:p>
    <w:p>
      <w:pPr>
        <w:pStyle w:val="FirstParagraph"/>
        <w:rPr/>
      </w:pPr>
      <w:r>
        <w:rPr/>
        <w:t>The assigned-state condition fixes what an LLM holds. This condition measures what it computes from what it holds, by requiring the computation to be reported.</w:t>
      </w:r>
    </w:p>
    <w:p>
      <w:pPr>
        <w:pStyle w:val="BodyText"/>
        <w:rPr/>
      </w:pPr>
      <w:r>
        <w:rPr/>
        <w:t xml:space="preserve">In this condition the </w:t>
      </w:r>
      <w:r>
        <w:rPr>
          <w:i/>
          <w:iCs/>
        </w:rPr>
        <w:t>submit_choice</w:t>
      </w:r>
      <w:r>
        <w:rPr/>
        <w:t xml:space="preserve"> tool accepts an additional argument in which the LLM must state, for every alternative and not only the one it selects, the whole dollars, the cents, the composed price, the weight, and the resulting price-per-ounce. Each field is a free-text string and the value </w:t>
      </w:r>
      <w:r>
        <w:rPr>
          <w:i/>
          <w:iCs/>
        </w:rPr>
        <w:t>unknown</w:t>
      </w:r>
      <w:r>
        <w:rPr/>
        <w:t xml:space="preserve"> is admissible, so an LLM that did not acquire an attribute can say so rather than omit the field or supply a number it never observed. A companion field records whether the alternative’s rate was computed from acquired cells or could not be determined.</w:t>
      </w:r>
    </w:p>
    <w:p>
      <w:pPr>
        <w:pStyle w:val="BodyText"/>
        <w:rPr/>
      </w:pPr>
      <w:r>
        <w:rPr/>
        <w:t xml:space="preserve">Scoring compares each reported field against the Tool-Lab log of what the LLM actually inspected. A field is </w:t>
      </w:r>
      <w:r>
        <w:rPr>
          <w:i/>
          <w:iCs/>
        </w:rPr>
        <w:t>correct</w:t>
      </w:r>
      <w:r>
        <w:rPr/>
        <w:t xml:space="preserve"> when the information required for it was acquired and the reported value is right, and </w:t>
      </w:r>
      <w:r>
        <w:rPr>
          <w:i/>
          <w:iCs/>
        </w:rPr>
        <w:t>correct (empty)</w:t>
      </w:r>
      <w:r>
        <w:rPr/>
        <w:t xml:space="preserve"> when the information was not acquired and the LLM reported </w:t>
      </w:r>
      <w:r>
        <w:rPr>
          <w:i/>
          <w:iCs/>
        </w:rPr>
        <w:t>unknown</w:t>
      </w:r>
      <w:r>
        <w:rPr/>
        <w:t xml:space="preserve">. Errors take three forms. A field is </w:t>
      </w:r>
      <w:r>
        <w:rPr>
          <w:i/>
          <w:iCs/>
        </w:rPr>
        <w:t>incorrect</w:t>
      </w:r>
      <w:r>
        <w:rPr/>
        <w:t xml:space="preserve"> when the required cells were acquired and the reported value is wrong, </w:t>
      </w:r>
      <w:r>
        <w:rPr>
          <w:i/>
          <w:iCs/>
        </w:rPr>
        <w:t>incorrect (empty)</w:t>
      </w:r>
      <w:r>
        <w:rPr/>
        <w:t xml:space="preserve"> when they were acquired and the LLM nonetheless reported </w:t>
      </w:r>
      <w:r>
        <w:rPr>
          <w:i/>
          <w:iCs/>
        </w:rPr>
        <w:t>unknown</w:t>
      </w:r>
      <w:r>
        <w:rPr/>
        <w:t xml:space="preserve">, and a </w:t>
      </w:r>
      <w:r>
        <w:rPr>
          <w:i/>
          <w:iCs/>
        </w:rPr>
        <w:t>hallucination</w:t>
      </w:r>
      <w:r>
        <w:rPr/>
        <w:t xml:space="preserve"> when the required cells were not acquired and the LLM reported a value regardless. The first two locate a failure of computation or retention; the third records a value asserted without an observational basis.</w:t>
      </w:r>
    </w:p>
    <w:p>
      <w:pPr>
        <w:pStyle w:val="BodyText"/>
        <w:rPr/>
      </w:pPr>
      <w:r>
        <w:rPr/>
        <w:t>We ran the condition for all seven LLMs at both acquisition costs across both study environments, 50 sessions per LLM per cost in each, yielding 7,000 field-level classifications in Study 1 and 10,500 in Study 2. The prompt is byte-identical to the Deal (original) variant. The tool schema is the only difference from the corresponding cells of Study 1 and Study 2 Tool-Lab.</w:t>
      </w:r>
      <w:bookmarkEnd w:id="29"/>
      <w:bookmarkEnd w:id="31"/>
    </w:p>
    <w:p>
      <w:pPr>
        <w:pStyle w:val="Heading1"/>
        <w:rPr/>
      </w:pPr>
      <w:bookmarkStart w:id="32" w:name="theoretical-implications"/>
      <w:r>
        <w:rPr/>
        <w:t>Theoretical implications</w:t>
      </w:r>
    </w:p>
    <w:p>
      <w:pPr>
        <w:pStyle w:val="FirstParagraph"/>
        <w:rPr/>
      </w:pPr>
      <w:r>
        <w:rPr/>
        <w:t>A central debate in marketing and computational cognition is whether LLMs behave as utility-maximizing rational actors (Brand et al. 2023), or bounded heuristic decision-makers (Binz and Schulz 2023; Hermann and Puntoni 2025). Our findings on LLMs and normative POMDP benchmarking (Web Appendix C) show this tension by demonstrating that LLM behavior is neither a hardwired cognitive defect nor an optimal resource-rational adaptation.</w:t>
      </w:r>
    </w:p>
    <w:p>
      <w:pPr>
        <w:pStyle w:val="BodyText"/>
        <w:rPr/>
      </w:pPr>
      <w:r>
        <w:rPr/>
        <w:t>First, the normative benchmark demonstrates that relying on heuristics under constraint can be an economically defensible search policy rather than an irrational failure. In Study 1, when acquisition cost rises to moderate levels, the normative policy abandons fractional cents and selects the lower whole-dollar alternative (</w:t>
      </w:r>
      <w:hyperlink w:anchor="apptbl-expectimax-study1">
        <w:r>
          <w:rPr>
            <w:rStyle w:val="Hyperlink"/>
          </w:rPr>
          <w:t>Table W5</w:t>
        </w:r>
      </w:hyperlink>
      <w:r>
        <w:rPr/>
        <w:t xml:space="preserve">; </w:t>
      </w:r>
      <w:hyperlink w:anchor="appfig-expectimax-study1">
        <w:r>
          <w:rPr>
            <w:rStyle w:val="Hyperlink"/>
          </w:rPr>
          <w:t>Figure W1</w:t>
        </w:r>
      </w:hyperlink>
      <w:r>
        <w:rPr/>
        <w:t>). Thus, when LLMs rely on whole-dollar heuristics under cost, their search truncation structurally mirrors an economically defensible threshold where low-value attributes are discarded first. Assigning the resulting states directly confirms this: six of seven LLMs made the choice the state implies in .992 of 2,700 sessions, so the heuristic-consistent selection is correct inference from a reduced state rather than misweighting of an attribute the LLM holds.</w:t>
      </w:r>
    </w:p>
    <w:p>
      <w:pPr>
        <w:pStyle w:val="BodyText"/>
        <w:rPr/>
      </w:pPr>
      <w:r>
        <w:rPr/>
        <w:t>Second, our findings decouple empirical LLM truncation from optimal resource rationality (Lieder and Griffiths 2020). Under high acquisition cost in Study 2, the normative benchmark dictates an immediate collapse of search to satisficing on category baselines (</w:t>
      </w:r>
      <w:hyperlink w:anchor="apptbl-expectimax-study2">
        <w:r>
          <w:rPr>
            <w:rStyle w:val="Hyperlink"/>
          </w:rPr>
          <w:t>Table W6</w:t>
        </w:r>
      </w:hyperlink>
      <w:r>
        <w:rPr/>
        <w:t xml:space="preserve">; </w:t>
      </w:r>
      <w:hyperlink w:anchor="appfig-expectimax-study2">
        <w:r>
          <w:rPr>
            <w:rStyle w:val="Hyperlink"/>
          </w:rPr>
          <w:t>Figure W2</w:t>
        </w:r>
      </w:hyperlink>
      <w:r>
        <w:rPr/>
        <w:t>). In contrast, the evaluated LLMs persistently over-searched across alternatives (</w:t>
      </w:r>
      <w:hyperlink w:anchor="appfig-expectimax-study2">
        <w:r>
          <w:rPr>
            <w:rStyle w:val="Hyperlink"/>
          </w:rPr>
          <w:t>Figure W2</w:t>
        </w:r>
      </w:hyperlink>
      <w:r>
        <w:rPr/>
        <w:t>), and incurred cumulative search fees that substantially exceeded the retail price of the products.</w:t>
      </w:r>
    </w:p>
    <w:p>
      <w:pPr>
        <w:pStyle w:val="BodyText"/>
        <w:rPr/>
      </w:pPr>
      <w:r>
        <w:rPr/>
        <w:t>By tracing this process through Tool-Lab, we show that pricing cues designed for human bounded rationality continue to govern AI-mediated markets not because LLMs optimize computational resources, but because environmental friction distorts the informational composition available at choice time.</w:t>
      </w:r>
      <w:bookmarkEnd w:id="32"/>
    </w:p>
    <w:p>
      <w:pPr>
        <w:pStyle w:val="Heading1"/>
        <w:rPr/>
      </w:pPr>
      <w:bookmarkStart w:id="33" w:name="managerial-implications"/>
      <w:r>
        <w:rPr/>
        <w:t>Managerial implications</w:t>
      </w:r>
      <w:bookmarkEnd w:id="33"/>
    </w:p>
    <w:p>
      <w:pPr>
        <w:pStyle w:val="Heading1"/>
        <w:rPr/>
      </w:pPr>
      <w:bookmarkStart w:id="34" w:name="limitations-and-future-research"/>
      <w:r>
        <w:rPr/>
        <w:t>Limitations and future research</w:t>
      </w:r>
      <w:bookmarkEnd w:id="34"/>
    </w:p>
    <w:p>
      <w:pPr>
        <w:pStyle w:val="Heading1"/>
        <w:rPr/>
      </w:pPr>
      <w:bookmarkStart w:id="35" w:name="statements-and-declarations"/>
      <w:r>
        <w:rPr/>
        <w:t>Statements and declarations</w:t>
      </w:r>
    </w:p>
    <w:p>
      <w:pPr>
        <w:pStyle w:val="FirstParagraph"/>
        <w:rPr/>
      </w:pPr>
      <w:r>
        <w:rPr>
          <w:b/>
          <w:bCs/>
        </w:rPr>
        <w:t>Compliance with ethical standards</w:t>
      </w:r>
      <w:r>
        <w:rPr/>
        <w:t xml:space="preserve"> The research does not involve human subjects.</w:t>
      </w:r>
    </w:p>
    <w:p>
      <w:pPr>
        <w:pStyle w:val="BodyText"/>
        <w:rPr/>
      </w:pPr>
      <w:r>
        <w:rPr>
          <w:b/>
          <w:bCs/>
        </w:rPr>
        <w:t>Competing interests</w:t>
      </w:r>
      <w:r>
        <w:rPr/>
        <w:t xml:space="preserve"> The authors have no relevant financial or non-financial interests to disclose.</w:t>
      </w:r>
    </w:p>
    <w:p>
      <w:pPr>
        <w:pStyle w:val="BodyText"/>
        <w:rPr/>
      </w:pPr>
      <w:r>
        <w:rPr>
          <w:b/>
          <w:bCs/>
        </w:rPr>
        <w:t>Authorship principles</w:t>
      </w:r>
      <w:r>
        <w:rPr/>
        <w:t xml:space="preserve"> All authors contributed to the study conception and design. All authors read and approved the final manuscript.</w:t>
      </w:r>
    </w:p>
    <w:p>
      <w:pPr>
        <w:pStyle w:val="BodyText"/>
        <w:rPr/>
      </w:pPr>
      <w:r>
        <w:rPr>
          <w:b/>
          <w:bCs/>
        </w:rPr>
        <w:t>Data availability</w:t>
      </w:r>
      <w:r>
        <w:rPr/>
        <w:t xml:space="preserve"> The datasets created and analyzed for the experiments, along with the source code and computational workflows used to reproduce the results, are available in the Open Science Framework (OSF) repository. To preserve the double-blind peer review process, these materials have been anonymized and can be accessed via the following view-only link: https://osf.io/2ctng/overview?view_only=93805112090040adacd82e39cf16d8d9</w:t>
      </w:r>
      <w:bookmarkEnd w:id="35"/>
    </w:p>
    <w:p>
      <w:pPr>
        <w:pStyle w:val="Heading1"/>
        <w:rPr/>
      </w:pPr>
      <w:bookmarkStart w:id="36" w:name="references"/>
      <w:r>
        <w:rPr/>
        <w:t>References</w:t>
      </w:r>
    </w:p>
    <w:p>
      <w:pPr>
        <w:pStyle w:val="Bibliography"/>
        <w:rPr/>
      </w:pPr>
      <w:bookmarkStart w:id="37" w:name="refs"/>
      <w:bookmarkStart w:id="38" w:name="ref-alizadeh2025impact"/>
      <w:r>
        <w:rPr/>
        <w:t xml:space="preserve">Alizadeh, H., &amp; Nazarpour Kashani, H. (2025). The impact of perceived experience with ChatGPT on online consumers’ information searching behavior: An empirical study of iranian college students. </w:t>
      </w:r>
      <w:r>
        <w:rPr>
          <w:i/>
          <w:iCs/>
        </w:rPr>
        <w:t>Asia Pacific Journal of Marketing and Logistics</w:t>
      </w:r>
      <w:r>
        <w:rPr/>
        <w:t xml:space="preserve">, </w:t>
      </w:r>
      <w:r>
        <w:rPr>
          <w:i/>
          <w:iCs/>
        </w:rPr>
        <w:t>37</w:t>
      </w:r>
      <w:r>
        <w:rPr/>
        <w:t>(4), 1007–1028.</w:t>
      </w:r>
      <w:bookmarkEnd w:id="38"/>
    </w:p>
    <w:p>
      <w:pPr>
        <w:pStyle w:val="Bibliography"/>
        <w:rPr/>
      </w:pPr>
      <w:bookmarkStart w:id="39" w:name="ref-al2025chatgpt"/>
      <w:r>
        <w:rPr/>
        <w:t xml:space="preserve">Al-Romeedy, B. S., &amp; Alharethi, T. (2025). ChatGPT as an emerging digital travel advisor: Insights into AI usefulness, usability, and consumer decision behavior. </w:t>
      </w:r>
      <w:r>
        <w:rPr>
          <w:i/>
          <w:iCs/>
        </w:rPr>
        <w:t>Journal of Theoretical and Applied Electronic Commerce Research</w:t>
      </w:r>
      <w:r>
        <w:rPr/>
        <w:t xml:space="preserve">, </w:t>
      </w:r>
      <w:r>
        <w:rPr>
          <w:i/>
          <w:iCs/>
        </w:rPr>
        <w:t>21</w:t>
      </w:r>
      <w:r>
        <w:rPr/>
        <w:t>(1), 6.</w:t>
      </w:r>
      <w:bookmarkEnd w:id="39"/>
    </w:p>
    <w:p>
      <w:pPr>
        <w:pStyle w:val="Bibliography"/>
        <w:rPr/>
      </w:pPr>
      <w:bookmarkStart w:id="40" w:name="ref-anthropic2026sampling"/>
      <w:r>
        <w:rPr/>
        <w:t xml:space="preserve">Anthropic. (2026). Model deprecations: API parameter deprecations. Claude Documentation. </w:t>
      </w:r>
      <w:r>
        <w:fldChar w:fldCharType="begin"/>
      </w:r>
      <w:r>
        <w:rPr>
          <w:rStyle w:val="Hyperlink"/>
        </w:rPr>
        <w:instrText xml:space="preserve"> HYPERLINK "https://platform.claude.com/docs/en/about-claude/model-deprecations" \l "api-parameter-deprecations"</w:instrText>
      </w:r>
      <w:r>
        <w:rPr>
          <w:rStyle w:val="Hyperlink"/>
        </w:rPr>
        <w:fldChar w:fldCharType="separate"/>
      </w:r>
      <w:r>
        <w:rPr>
          <w:rStyle w:val="Hyperlink"/>
        </w:rPr>
        <w:t>https://platform.claude.com/docs/en/about-claude/model-deprecations#api-parameter-deprecations</w:t>
      </w:r>
      <w:r>
        <w:rPr>
          <w:rStyle w:val="Hyperlink"/>
        </w:rPr>
        <w:fldChar w:fldCharType="end"/>
      </w:r>
      <w:r>
        <w:rPr/>
        <w:t>. Accessed 17 July 2026</w:t>
      </w:r>
      <w:bookmarkEnd w:id="40"/>
    </w:p>
    <w:p>
      <w:pPr>
        <w:pStyle w:val="Bibliography"/>
        <w:rPr/>
      </w:pPr>
      <w:bookmarkStart w:id="41" w:name="ref-arora2025ai"/>
      <w:r>
        <w:rPr/>
        <w:t xml:space="preserve">Arora, N., Chakraborty, I., &amp; Nishimura, Y. (2025). AI–human hybrids for marketing research: Leveraging large language models (LLMs) as collaborators. </w:t>
      </w:r>
      <w:r>
        <w:rPr>
          <w:i/>
          <w:iCs/>
        </w:rPr>
        <w:t>Journal of Marketing</w:t>
      </w:r>
      <w:r>
        <w:rPr/>
        <w:t xml:space="preserve">, </w:t>
      </w:r>
      <w:r>
        <w:rPr>
          <w:i/>
          <w:iCs/>
        </w:rPr>
        <w:t>89</w:t>
      </w:r>
      <w:r>
        <w:rPr/>
        <w:t>(2), 43–70.</w:t>
      </w:r>
      <w:bookmarkEnd w:id="41"/>
    </w:p>
    <w:p>
      <w:pPr>
        <w:pStyle w:val="Bibliography"/>
        <w:rPr/>
      </w:pPr>
      <w:bookmarkStart w:id="42" w:name="ref-aw2025future"/>
      <w:r>
        <w:rPr/>
        <w:t xml:space="preserve">Aw, E. C.-X., Anjomshoae, A., Blome, C., Cham, T.-H., Chan, H. K., Eastman, J., et al. (2025). Future research directions of generative AI in marketing and logistics. </w:t>
      </w:r>
      <w:r>
        <w:rPr>
          <w:i/>
          <w:iCs/>
        </w:rPr>
        <w:t>Asia Pacific Journal of Marketing and Logistics</w:t>
      </w:r>
      <w:r>
        <w:rPr/>
        <w:t>, 1–15.</w:t>
      </w:r>
      <w:bookmarkEnd w:id="42"/>
    </w:p>
    <w:p>
      <w:pPr>
        <w:pStyle w:val="Bibliography"/>
        <w:rPr/>
      </w:pPr>
      <w:bookmarkStart w:id="43" w:name="ref-binz2023using"/>
      <w:r>
        <w:rPr/>
        <w:t xml:space="preserve">Binz, M., &amp; Schulz, E. (2023). Using cognitive psychology to understand GPT-3. </w:t>
      </w:r>
      <w:r>
        <w:rPr>
          <w:i/>
          <w:iCs/>
        </w:rPr>
        <w:t>Proceedings of the National Academy of Sciences</w:t>
      </w:r>
      <w:r>
        <w:rPr/>
        <w:t xml:space="preserve">, </w:t>
      </w:r>
      <w:r>
        <w:rPr>
          <w:i/>
          <w:iCs/>
        </w:rPr>
        <w:t>120</w:t>
      </w:r>
      <w:r>
        <w:rPr/>
        <w:t>(6), e2218523120.</w:t>
      </w:r>
      <w:bookmarkEnd w:id="43"/>
    </w:p>
    <w:p>
      <w:pPr>
        <w:pStyle w:val="Bibliography"/>
        <w:rPr/>
      </w:pPr>
      <w:bookmarkStart w:id="44" w:name="ref-bizer2005direct"/>
      <w:r>
        <w:rPr/>
        <w:t xml:space="preserve">Bizer, G. Y., &amp; Schindler, R. M. (2005). Direct evidence of ending-digit drop-off in price information processing. </w:t>
      </w:r>
      <w:r>
        <w:rPr>
          <w:i/>
          <w:iCs/>
        </w:rPr>
        <w:t>Psychology &amp; Marketing</w:t>
      </w:r>
      <w:r>
        <w:rPr/>
        <w:t xml:space="preserve">, </w:t>
      </w:r>
      <w:r>
        <w:rPr>
          <w:i/>
          <w:iCs/>
        </w:rPr>
        <w:t>22</w:t>
      </w:r>
      <w:r>
        <w:rPr/>
        <w:t>(10), 771–783.</w:t>
      </w:r>
      <w:bookmarkEnd w:id="44"/>
    </w:p>
    <w:p>
      <w:pPr>
        <w:pStyle w:val="Bibliography"/>
        <w:rPr/>
      </w:pPr>
      <w:bookmarkStart w:id="45" w:name="ref-brand2023using"/>
      <w:r>
        <w:rPr/>
        <w:t xml:space="preserve">Brand, J., Israeli, A., &amp; Ngwe, D. (2023). Using LLMs for market research. </w:t>
      </w:r>
      <w:r>
        <w:rPr>
          <w:i/>
          <w:iCs/>
        </w:rPr>
        <w:t>Harvard business school marketing unit working paper</w:t>
      </w:r>
      <w:r>
        <w:rPr/>
        <w:t>, (23-062).</w:t>
      </w:r>
      <w:bookmarkEnd w:id="45"/>
    </w:p>
    <w:p>
      <w:pPr>
        <w:pStyle w:val="Bibliography"/>
        <w:rPr/>
      </w:pPr>
      <w:bookmarkStart w:id="46" w:name="ref-breen2013total"/>
      <w:r>
        <w:rPr/>
        <w:t xml:space="preserve">Breen, R., Karlson, K. B., &amp; Holm, A. (2013). Total, direct, and indirect effects in logit and probit models. </w:t>
      </w:r>
      <w:r>
        <w:rPr>
          <w:i/>
          <w:iCs/>
        </w:rPr>
        <w:t>Sociological methods &amp; research</w:t>
      </w:r>
      <w:r>
        <w:rPr/>
        <w:t xml:space="preserve">, </w:t>
      </w:r>
      <w:r>
        <w:rPr>
          <w:i/>
          <w:iCs/>
        </w:rPr>
        <w:t>42</w:t>
      </w:r>
      <w:r>
        <w:rPr/>
        <w:t>(2), 164–191.</w:t>
      </w:r>
      <w:bookmarkEnd w:id="46"/>
    </w:p>
    <w:p>
      <w:pPr>
        <w:pStyle w:val="Bibliography"/>
        <w:rPr/>
      </w:pPr>
      <w:bookmarkStart w:id="47" w:name="ref-burkner2017brms"/>
      <w:r>
        <w:rPr/>
        <w:t xml:space="preserve">Bürkner, P.-C. (2017). brms: An R package for Bayesian multilevel models using Stan. </w:t>
      </w:r>
      <w:r>
        <w:rPr>
          <w:i/>
          <w:iCs/>
        </w:rPr>
        <w:t>Journal of Statistical Software</w:t>
      </w:r>
      <w:r>
        <w:rPr/>
        <w:t xml:space="preserve">, </w:t>
      </w:r>
      <w:r>
        <w:rPr>
          <w:i/>
          <w:iCs/>
        </w:rPr>
        <w:t>80</w:t>
      </w:r>
      <w:r>
        <w:rPr/>
        <w:t xml:space="preserve">(1), 1–28. </w:t>
      </w:r>
      <w:hyperlink r:id="rId3">
        <w:r>
          <w:rPr>
            <w:rStyle w:val="Hyperlink"/>
          </w:rPr>
          <w:t>https://doi.org/10.18637/jss.v080.i01</w:t>
        </w:r>
      </w:hyperlink>
      <w:bookmarkEnd w:id="47"/>
    </w:p>
    <w:p>
      <w:pPr>
        <w:pStyle w:val="Bibliography"/>
        <w:rPr/>
      </w:pPr>
      <w:bookmarkStart w:id="48" w:name="ref-celiktutan2024acceptability"/>
      <w:r>
        <w:rPr/>
        <w:t xml:space="preserve">Celiktutan, B., Klesse, A.-K., &amp; Tuk, M. A. (2024). Acceptability lies in the eye of the beholder: Self-other biases in GenAI collaborations. </w:t>
      </w:r>
      <w:r>
        <w:rPr>
          <w:i/>
          <w:iCs/>
        </w:rPr>
        <w:t>International Journal of Research in Marketing</w:t>
      </w:r>
      <w:r>
        <w:rPr/>
        <w:t xml:space="preserve">, </w:t>
      </w:r>
      <w:r>
        <w:rPr>
          <w:i/>
          <w:iCs/>
        </w:rPr>
        <w:t>41</w:t>
      </w:r>
      <w:r>
        <w:rPr/>
        <w:t>(3), 496–512.</w:t>
      </w:r>
      <w:bookmarkEnd w:id="48"/>
    </w:p>
    <w:p>
      <w:pPr>
        <w:pStyle w:val="Bibliography"/>
        <w:rPr/>
      </w:pPr>
      <w:bookmarkStart w:id="49" w:name="ref-chang2024comparative"/>
      <w:r>
        <w:rPr/>
        <w:t xml:space="preserve">Chang, W., &amp; Park, J. (2024). A comparative study on the effect of ChatGPT recommendation and AI recommender systems on the formation of a consideration set. </w:t>
      </w:r>
      <w:r>
        <w:rPr>
          <w:i/>
          <w:iCs/>
        </w:rPr>
        <w:t>Journal of Retailing and Consumer Services</w:t>
      </w:r>
      <w:r>
        <w:rPr/>
        <w:t xml:space="preserve">, </w:t>
      </w:r>
      <w:r>
        <w:rPr>
          <w:i/>
          <w:iCs/>
        </w:rPr>
        <w:t>78</w:t>
      </w:r>
      <w:r>
        <w:rPr/>
        <w:t>, 103743.</w:t>
      </w:r>
      <w:bookmarkEnd w:id="49"/>
    </w:p>
    <w:p>
      <w:pPr>
        <w:pStyle w:val="Bibliography"/>
        <w:rPr/>
      </w:pPr>
      <w:bookmarkStart w:id="50" w:name="ref-Cialdini1984InfluenceSA"/>
      <w:r>
        <w:rPr/>
        <w:t xml:space="preserve">Cialdini, R. B. (1984). Influence: Science and practice. In. </w:t>
      </w:r>
      <w:hyperlink r:id="rId4">
        <w:r>
          <w:rPr>
            <w:rStyle w:val="Hyperlink"/>
          </w:rPr>
          <w:t>https://api.semanticscholar.org/CorpusID:141803939</w:t>
        </w:r>
      </w:hyperlink>
      <w:bookmarkEnd w:id="50"/>
    </w:p>
    <w:p>
      <w:pPr>
        <w:pStyle w:val="Bibliography"/>
        <w:rPr/>
      </w:pPr>
      <w:bookmarkStart w:id="51" w:name="ref-cillo2025generative"/>
      <w:r>
        <w:rPr/>
        <w:t xml:space="preserve">Cillo, P., &amp; Rubera, G. (2025). Generative AI in innovation and marketing processes: A roadmap of research opportunities. </w:t>
      </w:r>
      <w:r>
        <w:rPr>
          <w:i/>
          <w:iCs/>
        </w:rPr>
        <w:t>Journal of the Academy of Marketing Science</w:t>
      </w:r>
      <w:r>
        <w:rPr/>
        <w:t xml:space="preserve">, </w:t>
      </w:r>
      <w:r>
        <w:rPr>
          <w:i/>
          <w:iCs/>
        </w:rPr>
        <w:t>53</w:t>
      </w:r>
      <w:r>
        <w:rPr/>
        <w:t>(3), 684–701.</w:t>
      </w:r>
      <w:bookmarkEnd w:id="51"/>
    </w:p>
    <w:p>
      <w:pPr>
        <w:pStyle w:val="Bibliography"/>
        <w:rPr/>
      </w:pPr>
      <w:bookmarkStart w:id="52" w:name="ref-de2025ideation"/>
      <w:r>
        <w:rPr/>
        <w:t xml:space="preserve">De Freitas, J., Nave, G., &amp; Puntoni, S. (2025). Ideation with generative AI—in consumer research and beyond. </w:t>
      </w:r>
      <w:r>
        <w:rPr>
          <w:i/>
          <w:iCs/>
        </w:rPr>
        <w:t>Journal of Consumer Research</w:t>
      </w:r>
      <w:r>
        <w:rPr/>
        <w:t xml:space="preserve">, </w:t>
      </w:r>
      <w:r>
        <w:rPr>
          <w:i/>
          <w:iCs/>
        </w:rPr>
        <w:t>52</w:t>
      </w:r>
      <w:r>
        <w:rPr/>
        <w:t>(1), 18–31.</w:t>
      </w:r>
      <w:bookmarkEnd w:id="52"/>
    </w:p>
    <w:p>
      <w:pPr>
        <w:pStyle w:val="Bibliography"/>
        <w:rPr/>
      </w:pPr>
      <w:bookmarkStart w:id="53" w:name="ref-dholakia2025artificial"/>
      <w:r>
        <w:rPr/>
        <w:t xml:space="preserve">Dholakia, N., Repo, P., Fırat, A. F., Campos, I., &amp; Timonen, P. (2025). Artificial intelligence, structure of knowledge, and the future directions for macromarketing. </w:t>
      </w:r>
      <w:r>
        <w:rPr>
          <w:i/>
          <w:iCs/>
        </w:rPr>
        <w:t>Journal of Macromarketing</w:t>
      </w:r>
      <w:r>
        <w:rPr/>
        <w:t xml:space="preserve">, </w:t>
      </w:r>
      <w:r>
        <w:rPr>
          <w:i/>
          <w:iCs/>
        </w:rPr>
        <w:t>45</w:t>
      </w:r>
      <w:r>
        <w:rPr/>
        <w:t>(2), 337–344.</w:t>
      </w:r>
      <w:bookmarkEnd w:id="53"/>
    </w:p>
    <w:p>
      <w:pPr>
        <w:pStyle w:val="Bibliography"/>
        <w:rPr/>
      </w:pPr>
      <w:bookmarkStart w:id="54" w:name="ref-fieller1954some"/>
      <w:r>
        <w:rPr/>
        <w:t xml:space="preserve">Fieller, E. C. (1954). Some problems in interval estimation. </w:t>
      </w:r>
      <w:r>
        <w:rPr>
          <w:i/>
          <w:iCs/>
        </w:rPr>
        <w:t>Journal of the Royal Statistical Society Series B: Statistical Methodology</w:t>
      </w:r>
      <w:r>
        <w:rPr/>
        <w:t xml:space="preserve">, </w:t>
      </w:r>
      <w:r>
        <w:rPr>
          <w:i/>
          <w:iCs/>
        </w:rPr>
        <w:t>16</w:t>
      </w:r>
      <w:r>
        <w:rPr/>
        <w:t>(2), 175–185.</w:t>
      </w:r>
      <w:bookmarkEnd w:id="54"/>
    </w:p>
    <w:p>
      <w:pPr>
        <w:pStyle w:val="Bibliography"/>
        <w:rPr/>
      </w:pPr>
      <w:bookmarkStart w:id="55" w:name="ref-filandrianos2025bias"/>
      <w:r>
        <w:rPr/>
        <w:t xml:space="preserve">Filandrianos, G., Dimitriou, A., Lymperaiou, M., Thomas, K., &amp; Stamou, G. (2025). Bias beware: The impact of cognitive biases on LLM-driven product recommendations. In </w:t>
      </w:r>
      <w:r>
        <w:rPr>
          <w:i/>
          <w:iCs/>
        </w:rPr>
        <w:t>Proceedings of the 2025 conference on empirical methods in natural language processing</w:t>
      </w:r>
      <w:r>
        <w:rPr/>
        <w:t xml:space="preserve"> (pp. 22408–22437).</w:t>
      </w:r>
      <w:bookmarkEnd w:id="55"/>
    </w:p>
    <w:p>
      <w:pPr>
        <w:pStyle w:val="Bibliography"/>
        <w:rPr/>
      </w:pPr>
      <w:bookmarkStart w:id="56" w:name="ref-Gershman2015ComputationalRA"/>
      <w:r>
        <w:rPr/>
        <w:t xml:space="preserve">Gershman, S. J., Horvitz, E., &amp; Tenenbaum, J. B. (2015). Computational rationality: A converging paradigm for intelligence in brains, minds, and machines. </w:t>
      </w:r>
      <w:r>
        <w:rPr>
          <w:i/>
          <w:iCs/>
        </w:rPr>
        <w:t>Science</w:t>
      </w:r>
      <w:r>
        <w:rPr/>
        <w:t xml:space="preserve">, </w:t>
      </w:r>
      <w:r>
        <w:rPr>
          <w:i/>
          <w:iCs/>
        </w:rPr>
        <w:t>349</w:t>
      </w:r>
      <w:r>
        <w:rPr/>
        <w:t xml:space="preserve">, 273–278. </w:t>
      </w:r>
      <w:hyperlink r:id="rId5">
        <w:r>
          <w:rPr>
            <w:rStyle w:val="Hyperlink"/>
          </w:rPr>
          <w:t>https://api.semanticscholar.org/CorpusID:14818619</w:t>
        </w:r>
      </w:hyperlink>
      <w:bookmarkEnd w:id="56"/>
    </w:p>
    <w:p>
      <w:pPr>
        <w:pStyle w:val="Bibliography"/>
        <w:rPr/>
      </w:pPr>
      <w:bookmarkStart w:id="57" w:name="ref-gigerenzer2011heuristic"/>
      <w:r>
        <w:rPr/>
        <w:t xml:space="preserve">Gigerenzer, G., &amp; Gaissmaier, W. (2011). Heuristic decision making. </w:t>
      </w:r>
      <w:r>
        <w:rPr>
          <w:i/>
          <w:iCs/>
        </w:rPr>
        <w:t>Annual review of psychology</w:t>
      </w:r>
      <w:r>
        <w:rPr/>
        <w:t xml:space="preserve">, </w:t>
      </w:r>
      <w:r>
        <w:rPr>
          <w:i/>
          <w:iCs/>
        </w:rPr>
        <w:t>62</w:t>
      </w:r>
      <w:r>
        <w:rPr/>
        <w:t>(2011), 451–482.</w:t>
      </w:r>
      <w:bookmarkEnd w:id="57"/>
    </w:p>
    <w:p>
      <w:pPr>
        <w:pStyle w:val="Bibliography"/>
        <w:rPr/>
      </w:pPr>
      <w:bookmarkStart w:id="58" w:name="ref-goli2024frontiers"/>
      <w:r>
        <w:rPr/>
        <w:t xml:space="preserve">Goli, A., &amp; Singh, A. (2024). Frontiers: Can large language models capture human preferences? </w:t>
      </w:r>
      <w:r>
        <w:rPr>
          <w:i/>
          <w:iCs/>
        </w:rPr>
        <w:t>Marketing Science</w:t>
      </w:r>
      <w:r>
        <w:rPr/>
        <w:t xml:space="preserve">, </w:t>
      </w:r>
      <w:r>
        <w:rPr>
          <w:i/>
          <w:iCs/>
        </w:rPr>
        <w:t>43</w:t>
      </w:r>
      <w:r>
        <w:rPr/>
        <w:t>(4), 709–722.</w:t>
      </w:r>
      <w:bookmarkEnd w:id="58"/>
    </w:p>
    <w:p>
      <w:pPr>
        <w:pStyle w:val="Bibliography"/>
        <w:rPr/>
      </w:pPr>
      <w:bookmarkStart w:id="59" w:name="ref-google2026sampling"/>
      <w:r>
        <w:rPr/>
        <w:t xml:space="preserve">Google. (2026). Gemini models: Sampling parameter deprecation. Google AI for Developers. </w:t>
      </w:r>
      <w:r>
        <w:fldChar w:fldCharType="begin"/>
      </w:r>
      <w:r>
        <w:rPr>
          <w:rStyle w:val="Hyperlink"/>
        </w:rPr>
        <w:instrText xml:space="preserve"> HYPERLINK "https://ai.google.dev/gemini-api/docs/latest-model" \l "sampling-parameter-deprecation"</w:instrText>
      </w:r>
      <w:r>
        <w:rPr>
          <w:rStyle w:val="Hyperlink"/>
        </w:rPr>
        <w:fldChar w:fldCharType="separate"/>
      </w:r>
      <w:r>
        <w:rPr>
          <w:rStyle w:val="Hyperlink"/>
        </w:rPr>
        <w:t>https://ai.google.dev/gemini-api/docs/latest-model#sampling-parameter-deprecation</w:t>
      </w:r>
      <w:r>
        <w:rPr>
          <w:rStyle w:val="Hyperlink"/>
        </w:rPr>
        <w:fldChar w:fldCharType="end"/>
      </w:r>
      <w:r>
        <w:rPr/>
        <w:t>. Accessed 17 July 2026</w:t>
      </w:r>
      <w:bookmarkEnd w:id="59"/>
    </w:p>
    <w:p>
      <w:pPr>
        <w:pStyle w:val="Bibliography"/>
        <w:rPr/>
      </w:pPr>
      <w:bookmarkStart w:id="60" w:name="ref-grewal2025generative"/>
      <w:r>
        <w:rPr/>
        <w:t xml:space="preserve">Grewal, D., Satornino, C. B., Davenport, T., &amp; Guha, A. (2025). How generative AI is shaping the future of marketing. </w:t>
      </w:r>
      <w:r>
        <w:rPr>
          <w:i/>
          <w:iCs/>
        </w:rPr>
        <w:t>Journal of the Academy of Marketing Science</w:t>
      </w:r>
      <w:r>
        <w:rPr/>
        <w:t xml:space="preserve">, </w:t>
      </w:r>
      <w:r>
        <w:rPr>
          <w:i/>
          <w:iCs/>
        </w:rPr>
        <w:t>53</w:t>
      </w:r>
      <w:r>
        <w:rPr/>
        <w:t>(3), 702–722.</w:t>
      </w:r>
      <w:bookmarkEnd w:id="60"/>
    </w:p>
    <w:p>
      <w:pPr>
        <w:pStyle w:val="Bibliography"/>
        <w:rPr/>
      </w:pPr>
      <w:bookmarkStart w:id="61" w:name="ref-hagendorff2023human"/>
      <w:r>
        <w:rPr/>
        <w:t xml:space="preserve">Hagendorff, T., Fabi, S., &amp; Kosinski, M. (2023). Human-like intuitive behavior and reasoning biases emerged in large language models but disappeared in ChatGPT. </w:t>
      </w:r>
      <w:r>
        <w:rPr>
          <w:i/>
          <w:iCs/>
        </w:rPr>
        <w:t>Nature Computational Science</w:t>
      </w:r>
      <w:r>
        <w:rPr/>
        <w:t xml:space="preserve">, </w:t>
      </w:r>
      <w:r>
        <w:rPr>
          <w:i/>
          <w:iCs/>
        </w:rPr>
        <w:t>3</w:t>
      </w:r>
      <w:r>
        <w:rPr/>
        <w:t>(10), 833–838.</w:t>
      </w:r>
      <w:bookmarkEnd w:id="61"/>
    </w:p>
    <w:p>
      <w:pPr>
        <w:pStyle w:val="Bibliography"/>
        <w:rPr/>
      </w:pPr>
      <w:bookmarkStart w:id="62" w:name="ref-hasselwander2026toward"/>
      <w:r>
        <w:rPr/>
        <w:t xml:space="preserve">Hasselwander, M., Sunio, V., Lah, O., &amp; Mogaji, E. (2026). Toward agentic AI: User acceptance of a deeply personalized AI super assistant (AISA). </w:t>
      </w:r>
      <w:r>
        <w:rPr>
          <w:i/>
          <w:iCs/>
        </w:rPr>
        <w:t>Journal of Retailing and Consumer Services</w:t>
      </w:r>
      <w:r>
        <w:rPr/>
        <w:t xml:space="preserve">, </w:t>
      </w:r>
      <w:r>
        <w:rPr>
          <w:i/>
          <w:iCs/>
        </w:rPr>
        <w:t>89</w:t>
      </w:r>
      <w:r>
        <w:rPr/>
        <w:t>, 104620.</w:t>
      </w:r>
      <w:bookmarkEnd w:id="62"/>
    </w:p>
    <w:p>
      <w:pPr>
        <w:pStyle w:val="Bibliography"/>
        <w:rPr/>
      </w:pPr>
      <w:bookmarkStart w:id="63" w:name="ref-hermann2025generative"/>
      <w:r>
        <w:rPr/>
        <w:t xml:space="preserve">Hermann, E., &amp; Puntoni, S. (2025). Generative AI in marketing and principles for ethical design and deployment. </w:t>
      </w:r>
      <w:r>
        <w:rPr>
          <w:i/>
          <w:iCs/>
        </w:rPr>
        <w:t>Journal of Public Policy &amp; Marketing</w:t>
      </w:r>
      <w:r>
        <w:rPr/>
        <w:t xml:space="preserve">, </w:t>
      </w:r>
      <w:r>
        <w:rPr>
          <w:i/>
          <w:iCs/>
        </w:rPr>
        <w:t>44</w:t>
      </w:r>
      <w:r>
        <w:rPr/>
        <w:t>(3), 332–349.</w:t>
      </w:r>
      <w:bookmarkEnd w:id="63"/>
    </w:p>
    <w:p>
      <w:pPr>
        <w:pStyle w:val="Bibliography"/>
        <w:rPr/>
      </w:pPr>
      <w:bookmarkStart w:id="64" w:name="ref-inman1990promotion"/>
      <w:r>
        <w:rPr/>
        <w:t xml:space="preserve">Inman, J. J., McAlister, L., &amp; Hoyer, W. D. (1990). Promotion signal: Proxy for a price cut? </w:t>
      </w:r>
      <w:r>
        <w:rPr>
          <w:i/>
          <w:iCs/>
        </w:rPr>
        <w:t>Journal of consumer research</w:t>
      </w:r>
      <w:r>
        <w:rPr/>
        <w:t>, 74–81.</w:t>
      </w:r>
      <w:bookmarkEnd w:id="64"/>
    </w:p>
    <w:p>
      <w:pPr>
        <w:pStyle w:val="Bibliography"/>
        <w:rPr/>
      </w:pPr>
      <w:bookmarkStart w:id="65" w:name="ref-joerling2025integrating"/>
      <w:r>
        <w:rPr/>
        <w:t xml:space="preserve">Joerling, M. (2025). Integrating GenAI interactions in marketing studies: A methodological guide. </w:t>
      </w:r>
      <w:r>
        <w:rPr>
          <w:i/>
          <w:iCs/>
        </w:rPr>
        <w:t>International journal of research in marketing</w:t>
      </w:r>
      <w:r>
        <w:rPr/>
        <w:t>.</w:t>
      </w:r>
      <w:bookmarkEnd w:id="65"/>
    </w:p>
    <w:p>
      <w:pPr>
        <w:pStyle w:val="Bibliography"/>
        <w:rPr/>
      </w:pPr>
      <w:bookmarkStart w:id="66" w:name="ref-johnson1989monitoring"/>
      <w:r>
        <w:rPr/>
        <w:t xml:space="preserve">Johnson, E. J., Payne, J. W., Bettman, J. R., &amp; Schkade, D. A. (1989). </w:t>
      </w:r>
      <w:r>
        <w:rPr>
          <w:i/>
          <w:iCs/>
        </w:rPr>
        <w:t>Monitoring information processing and decisions: The mouselab system</w:t>
      </w:r>
      <w:r>
        <w:rPr/>
        <w:t>.</w:t>
      </w:r>
      <w:bookmarkEnd w:id="66"/>
    </w:p>
    <w:p>
      <w:pPr>
        <w:pStyle w:val="Bibliography"/>
        <w:rPr/>
      </w:pPr>
      <w:bookmarkStart w:id="67" w:name="ref-jones2022capturing"/>
      <w:r>
        <w:rPr/>
        <w:t xml:space="preserve">Jones, E., &amp; Steinhardt, J. (2022). Capturing failures of large language models via human cognitive biases. </w:t>
      </w:r>
      <w:r>
        <w:rPr>
          <w:i/>
          <w:iCs/>
        </w:rPr>
        <w:t>Advances in Neural Information Processing Systems</w:t>
      </w:r>
      <w:r>
        <w:rPr/>
        <w:t xml:space="preserve">, </w:t>
      </w:r>
      <w:r>
        <w:rPr>
          <w:i/>
          <w:iCs/>
        </w:rPr>
        <w:t>35</w:t>
      </w:r>
      <w:r>
        <w:rPr/>
        <w:t>, 11785–11799.</w:t>
      </w:r>
      <w:bookmarkEnd w:id="67"/>
    </w:p>
    <w:p>
      <w:pPr>
        <w:pStyle w:val="Bibliography"/>
        <w:rPr/>
      </w:pPr>
      <w:bookmarkStart w:id="68" w:name="ref-Kahneman2003MapsOB"/>
      <w:r>
        <w:rPr/>
        <w:t xml:space="preserve">Kahneman, D. (2003). Maps of bounded rationality: Psychology for behavioral economics. </w:t>
      </w:r>
      <w:r>
        <w:rPr>
          <w:i/>
          <w:iCs/>
        </w:rPr>
        <w:t>The American Economic Review</w:t>
      </w:r>
      <w:r>
        <w:rPr/>
        <w:t xml:space="preserve">, </w:t>
      </w:r>
      <w:r>
        <w:rPr>
          <w:i/>
          <w:iCs/>
        </w:rPr>
        <w:t>93</w:t>
      </w:r>
      <w:r>
        <w:rPr/>
        <w:t xml:space="preserve">, 1449–1475. </w:t>
      </w:r>
      <w:hyperlink r:id="rId6">
        <w:r>
          <w:rPr>
            <w:rStyle w:val="Hyperlink"/>
          </w:rPr>
          <w:t>https://api.semanticscholar.org/CorpusID:15131441</w:t>
        </w:r>
      </w:hyperlink>
      <w:bookmarkEnd w:id="68"/>
    </w:p>
    <w:p>
      <w:pPr>
        <w:pStyle w:val="Bibliography"/>
        <w:rPr/>
      </w:pPr>
      <w:bookmarkStart w:id="69" w:name="ref-kim2023decisions"/>
      <w:r>
        <w:rPr/>
        <w:t xml:space="preserve">Kim, J., Kim, J. H., Kim, C., &amp; Park, J. (2023). Decisions with ChatGPT: Reexamining choice overload in ChatGPT recommendations. </w:t>
      </w:r>
      <w:r>
        <w:rPr>
          <w:i/>
          <w:iCs/>
        </w:rPr>
        <w:t>Journal of Retailing and Consumer Services</w:t>
      </w:r>
      <w:r>
        <w:rPr/>
        <w:t xml:space="preserve">, </w:t>
      </w:r>
      <w:r>
        <w:rPr>
          <w:i/>
          <w:iCs/>
        </w:rPr>
        <w:t>75</w:t>
      </w:r>
      <w:r>
        <w:rPr/>
        <w:t>, 103494.</w:t>
      </w:r>
      <w:bookmarkEnd w:id="69"/>
    </w:p>
    <w:p>
      <w:pPr>
        <w:pStyle w:val="Bibliography"/>
        <w:rPr/>
      </w:pPr>
      <w:bookmarkStart w:id="70" w:name="ref-kleingeld2011effect"/>
      <w:r>
        <w:rPr/>
        <w:t xml:space="preserve">Kleingeld, A., Van Mierlo, H., &amp; Arends, L. (2011). The effect of goal setting on group performance: A meta-analysis. </w:t>
      </w:r>
      <w:r>
        <w:rPr>
          <w:i/>
          <w:iCs/>
        </w:rPr>
        <w:t>Journal of applied psychology</w:t>
      </w:r>
      <w:r>
        <w:rPr/>
        <w:t xml:space="preserve">, </w:t>
      </w:r>
      <w:r>
        <w:rPr>
          <w:i/>
          <w:iCs/>
        </w:rPr>
        <w:t>96</w:t>
      </w:r>
      <w:r>
        <w:rPr/>
        <w:t>(6), 1289.</w:t>
      </w:r>
      <w:bookmarkEnd w:id="70"/>
    </w:p>
    <w:p>
      <w:pPr>
        <w:pStyle w:val="Bibliography"/>
        <w:rPr/>
      </w:pPr>
      <w:bookmarkStart w:id="71" w:name="ref-knipper2025bias"/>
      <w:r>
        <w:rPr/>
        <w:t xml:space="preserve">Knipper, R. A., Knipper, C. S., Zhang, K., Sims, V., Bowers, C., &amp; Karmaker, S. (2025). The bias is in the details: An assessment of cognitive bias in llms. </w:t>
      </w:r>
      <w:r>
        <w:rPr>
          <w:i/>
          <w:iCs/>
        </w:rPr>
        <w:t>arXiv preprint arXiv:2509.22856</w:t>
      </w:r>
      <w:r>
        <w:rPr/>
        <w:t>.</w:t>
      </w:r>
      <w:bookmarkEnd w:id="71"/>
    </w:p>
    <w:p>
      <w:pPr>
        <w:pStyle w:val="Bibliography"/>
        <w:rPr/>
      </w:pPr>
      <w:bookmarkStart w:id="72" w:name="ref-kshetri2024generative"/>
      <w:r>
        <w:rPr/>
        <w:t xml:space="preserve">Kshetri, N., Dwivedi, Y. K., Davenport, T. H., &amp; Panteli, N. (2024). Generative artificial intelligence in marketing: Applications, opportunities, challenges, and research agenda. </w:t>
      </w:r>
      <w:r>
        <w:rPr>
          <w:i/>
          <w:iCs/>
        </w:rPr>
        <w:t>International journal of information management</w:t>
      </w:r>
      <w:r>
        <w:rPr/>
        <w:t>. Elsevier.</w:t>
      </w:r>
      <w:bookmarkEnd w:id="72"/>
    </w:p>
    <w:p>
      <w:pPr>
        <w:pStyle w:val="Bibliography"/>
        <w:rPr/>
      </w:pPr>
      <w:bookmarkStart w:id="73" w:name="ref-kumar2026transformative"/>
      <w:r>
        <w:rPr/>
        <w:t xml:space="preserve">Kumar, V., Kotler, P., &amp; Kumar, A. (2026). Transformative marketing strategies in the era of new-age technologies: Principles, plan, purpose, and practice. </w:t>
      </w:r>
      <w:r>
        <w:rPr>
          <w:i/>
          <w:iCs/>
        </w:rPr>
        <w:t>Journal of the Academy of Marketing Science</w:t>
      </w:r>
      <w:r>
        <w:rPr/>
        <w:t xml:space="preserve">, </w:t>
      </w:r>
      <w:r>
        <w:rPr>
          <w:i/>
          <w:iCs/>
        </w:rPr>
        <w:t>54</w:t>
      </w:r>
      <w:r>
        <w:rPr/>
        <w:t>(1), 1–27.</w:t>
      </w:r>
      <w:bookmarkEnd w:id="73"/>
    </w:p>
    <w:p>
      <w:pPr>
        <w:pStyle w:val="Bibliography"/>
        <w:rPr/>
      </w:pPr>
      <w:bookmarkStart w:id="74" w:name="ref-latham2023motivate"/>
      <w:r>
        <w:rPr/>
        <w:t xml:space="preserve">Latham, G. P. (2023). Motivate employee performance through goal setting. </w:t>
      </w:r>
      <w:r>
        <w:rPr>
          <w:i/>
          <w:iCs/>
        </w:rPr>
        <w:t>Principles of organizational behavior: the handbook of evidence-based management 3rd Edition</w:t>
      </w:r>
      <w:r>
        <w:rPr/>
        <w:t>, 83–111.</w:t>
      </w:r>
      <w:bookmarkEnd w:id="74"/>
    </w:p>
    <w:p>
      <w:pPr>
        <w:pStyle w:val="Bibliography"/>
        <w:rPr/>
      </w:pPr>
      <w:bookmarkStart w:id="75" w:name="ref-lee2026semantic"/>
      <w:r>
        <w:rPr/>
        <w:t xml:space="preserve">Lee, W.-C., Lee, J.-S., &amp; Suh, J. (2026). Semantic divergence in AI-generated and human influencer product recommendations: A computational analysis of dual-agent communication in social commerce. </w:t>
      </w:r>
      <w:r>
        <w:rPr>
          <w:i/>
          <w:iCs/>
        </w:rPr>
        <w:t>Applied Sciences</w:t>
      </w:r>
      <w:r>
        <w:rPr/>
        <w:t xml:space="preserve">, </w:t>
      </w:r>
      <w:r>
        <w:rPr>
          <w:i/>
          <w:iCs/>
        </w:rPr>
        <w:t>16</w:t>
      </w:r>
      <w:r>
        <w:rPr/>
        <w:t>(6), 2816.</w:t>
      </w:r>
      <w:bookmarkEnd w:id="75"/>
    </w:p>
    <w:p>
      <w:pPr>
        <w:pStyle w:val="Bibliography"/>
        <w:rPr/>
      </w:pPr>
      <w:bookmarkStart w:id="76" w:name="ref-li2025predicting"/>
      <w:r>
        <w:rPr/>
        <w:t xml:space="preserve">Li, B., Wei, Q. O., &amp; Wang, X. S. (2025). Predicting behaviors with large language model (llm)-powered digital twins of customers. </w:t>
      </w:r>
      <w:r>
        <w:rPr>
          <w:i/>
          <w:iCs/>
        </w:rPr>
        <w:t>Xin (Shane), Predicting Behaviors with Large Language Model (Llm)-Powered Digital Twins of Customers (May 15, 2025)</w:t>
      </w:r>
      <w:r>
        <w:rPr/>
        <w:t>.</w:t>
      </w:r>
      <w:bookmarkEnd w:id="76"/>
    </w:p>
    <w:p>
      <w:pPr>
        <w:pStyle w:val="Bibliography"/>
        <w:rPr/>
      </w:pPr>
      <w:bookmarkStart w:id="77" w:name="ref-li2025consumer"/>
      <w:r>
        <w:rPr/>
        <w:t xml:space="preserve">Li, Y., Liu, Y., &amp; Yu, M. (2025). Consumer segmentation with large language models. </w:t>
      </w:r>
      <w:r>
        <w:rPr>
          <w:i/>
          <w:iCs/>
        </w:rPr>
        <w:t>Journal of Retailing and Consumer Services</w:t>
      </w:r>
      <w:r>
        <w:rPr/>
        <w:t xml:space="preserve">, </w:t>
      </w:r>
      <w:r>
        <w:rPr>
          <w:i/>
          <w:iCs/>
        </w:rPr>
        <w:t>82</w:t>
      </w:r>
      <w:r>
        <w:rPr/>
        <w:t>, 104078.</w:t>
      </w:r>
      <w:bookmarkEnd w:id="77"/>
    </w:p>
    <w:p>
      <w:pPr>
        <w:pStyle w:val="Bibliography"/>
        <w:rPr/>
      </w:pPr>
      <w:bookmarkStart w:id="78" w:name="ref-Lieder_Griffiths_2020"/>
      <w:r>
        <w:rPr/>
        <w:t xml:space="preserve">Lieder, F., &amp; Griffiths, T. L. (2020). Resource-rational analysis: Understanding human cognition as the optimal use of limited computational resources. </w:t>
      </w:r>
      <w:r>
        <w:rPr>
          <w:i/>
          <w:iCs/>
        </w:rPr>
        <w:t>Behavioral and Brain Sciences</w:t>
      </w:r>
      <w:r>
        <w:rPr/>
        <w:t xml:space="preserve">, </w:t>
      </w:r>
      <w:r>
        <w:rPr>
          <w:i/>
          <w:iCs/>
        </w:rPr>
        <w:t>43</w:t>
      </w:r>
      <w:r>
        <w:rPr/>
        <w:t xml:space="preserve">, e1. </w:t>
      </w:r>
      <w:hyperlink r:id="rId7">
        <w:r>
          <w:rPr>
            <w:rStyle w:val="Hyperlink"/>
          </w:rPr>
          <w:t>https://doi.org/10.1017/S0140525X1900061X</w:t>
        </w:r>
      </w:hyperlink>
      <w:bookmarkEnd w:id="78"/>
    </w:p>
    <w:p>
      <w:pPr>
        <w:pStyle w:val="Bibliography"/>
        <w:rPr/>
      </w:pPr>
      <w:bookmarkStart w:id="79" w:name="ref-Liu2026WhoDT"/>
      <w:r>
        <w:rPr/>
        <w:t xml:space="preserve">Liu, X., &amp; Chen, X. (2026). Who decides: The consumer or the retailer? An LLM-assisted bayesian framework for modeling purchase decisions with retailer influence. </w:t>
      </w:r>
      <w:r>
        <w:rPr>
          <w:i/>
          <w:iCs/>
        </w:rPr>
        <w:t>Journal of Retailing and Consumer Services</w:t>
      </w:r>
      <w:r>
        <w:rPr/>
        <w:t xml:space="preserve">. </w:t>
      </w:r>
      <w:hyperlink r:id="rId8">
        <w:r>
          <w:rPr>
            <w:rStyle w:val="Hyperlink"/>
          </w:rPr>
          <w:t>https://api.semanticscholar.org/CorpusID:283443221</w:t>
        </w:r>
      </w:hyperlink>
      <w:bookmarkEnd w:id="79"/>
    </w:p>
    <w:p>
      <w:pPr>
        <w:pStyle w:val="Bibliography"/>
        <w:rPr/>
      </w:pPr>
      <w:bookmarkStart w:id="80" w:name="ref-locke2002building"/>
      <w:r>
        <w:rPr/>
        <w:t xml:space="preserve">Locke, E. A., &amp; Latham, G. P. (2002). Building a practically useful theory of goal setting and task motivation: A 35-year odyssey. </w:t>
      </w:r>
      <w:r>
        <w:rPr>
          <w:i/>
          <w:iCs/>
        </w:rPr>
        <w:t>American psychologist</w:t>
      </w:r>
      <w:r>
        <w:rPr/>
        <w:t xml:space="preserve">, </w:t>
      </w:r>
      <w:r>
        <w:rPr>
          <w:i/>
          <w:iCs/>
        </w:rPr>
        <w:t>57</w:t>
      </w:r>
      <w:r>
        <w:rPr/>
        <w:t>(9), 705.</w:t>
      </w:r>
      <w:bookmarkEnd w:id="80"/>
    </w:p>
    <w:p>
      <w:pPr>
        <w:pStyle w:val="Bibliography"/>
        <w:rPr/>
      </w:pPr>
      <w:bookmarkStart w:id="81" w:name="ref-lu2026ai"/>
      <w:r>
        <w:rPr/>
        <w:t xml:space="preserve">Lu, Z., &amp; Kannan, P. (2026). AI for customer journeys: A transformer approach. </w:t>
      </w:r>
      <w:r>
        <w:rPr>
          <w:i/>
          <w:iCs/>
        </w:rPr>
        <w:t>Journal of Marketing Research</w:t>
      </w:r>
      <w:r>
        <w:rPr/>
        <w:t xml:space="preserve">, </w:t>
      </w:r>
      <w:r>
        <w:rPr>
          <w:i/>
          <w:iCs/>
        </w:rPr>
        <w:t>63</w:t>
      </w:r>
      <w:r>
        <w:rPr/>
        <w:t>(1), 1–26.</w:t>
      </w:r>
      <w:bookmarkEnd w:id="81"/>
    </w:p>
    <w:p>
      <w:pPr>
        <w:pStyle w:val="Bibliography"/>
        <w:rPr/>
      </w:pPr>
      <w:bookmarkStart w:id="82" w:name="ref-madhavaram2024ai"/>
      <w:r>
        <w:rPr/>
        <w:t xml:space="preserve">Madhavaram, S., &amp; Appan, R. (2024). AI for marketing: Enabler? Engager? ersatz? </w:t>
      </w:r>
      <w:r>
        <w:rPr>
          <w:i/>
          <w:iCs/>
        </w:rPr>
        <w:t>AMS Review</w:t>
      </w:r>
      <w:r>
        <w:rPr/>
        <w:t xml:space="preserve">, </w:t>
      </w:r>
      <w:r>
        <w:rPr>
          <w:i/>
          <w:iCs/>
        </w:rPr>
        <w:t>14</w:t>
      </w:r>
      <w:r>
        <w:rPr/>
        <w:t>(3), 258–277.</w:t>
      </w:r>
      <w:bookmarkEnd w:id="82"/>
    </w:p>
    <w:p>
      <w:pPr>
        <w:pStyle w:val="Bibliography"/>
        <w:rPr/>
      </w:pPr>
      <w:bookmarkStart w:id="83" w:name="ref-mcfadden1972conditional"/>
      <w:r>
        <w:rPr/>
        <w:t>McFadden, D. (1972). Conditional logit analysis of qualitative choice behavior.</w:t>
      </w:r>
      <w:bookmarkEnd w:id="83"/>
    </w:p>
    <w:p>
      <w:pPr>
        <w:pStyle w:val="Bibliography"/>
        <w:rPr/>
      </w:pPr>
      <w:bookmarkStart w:id="84" w:name="ref-miyazaki2000unit"/>
      <w:r>
        <w:rPr/>
        <w:t xml:space="preserve">Miyazaki, A. D., Sprott, D. E., &amp; Manning, K. C. (2000). Unit prices on retail shelf labels: An assessment of information prominence. </w:t>
      </w:r>
      <w:r>
        <w:rPr>
          <w:i/>
          <w:iCs/>
        </w:rPr>
        <w:t>Journal of retailing</w:t>
      </w:r>
      <w:r>
        <w:rPr/>
        <w:t xml:space="preserve">, </w:t>
      </w:r>
      <w:r>
        <w:rPr>
          <w:i/>
          <w:iCs/>
        </w:rPr>
        <w:t>76</w:t>
      </w:r>
      <w:r>
        <w:rPr/>
        <w:t>(1), 93–112.</w:t>
      </w:r>
      <w:bookmarkEnd w:id="84"/>
    </w:p>
    <w:p>
      <w:pPr>
        <w:pStyle w:val="Bibliography"/>
        <w:rPr/>
      </w:pPr>
      <w:bookmarkStart w:id="85" w:name="ref-pandey2025generating"/>
      <w:r>
        <w:rPr/>
        <w:t xml:space="preserve">Pandey, P., &amp; Singh, J. P. (2025). Generating product reviews from aspect-based ratings using large language models. </w:t>
      </w:r>
      <w:r>
        <w:rPr>
          <w:i/>
          <w:iCs/>
        </w:rPr>
        <w:t>Journal of Retailing and Consumer Services</w:t>
      </w:r>
      <w:r>
        <w:rPr/>
        <w:t xml:space="preserve">, </w:t>
      </w:r>
      <w:r>
        <w:rPr>
          <w:i/>
          <w:iCs/>
        </w:rPr>
        <w:t>84</w:t>
      </w:r>
      <w:r>
        <w:rPr/>
        <w:t>, 104244.</w:t>
      </w:r>
      <w:bookmarkEnd w:id="85"/>
    </w:p>
    <w:p>
      <w:pPr>
        <w:pStyle w:val="Bibliography"/>
        <w:rPr/>
      </w:pPr>
      <w:bookmarkStart w:id="86" w:name="ref-payne1993adaptive"/>
      <w:r>
        <w:rPr/>
        <w:t xml:space="preserve">Payne, J. W., Bettman, J. R., &amp; Johnson, E. J. (1993). </w:t>
      </w:r>
      <w:r>
        <w:rPr>
          <w:i/>
          <w:iCs/>
        </w:rPr>
        <w:t>The adaptive decision maker</w:t>
      </w:r>
      <w:r>
        <w:rPr/>
        <w:t>. Cambridge university press.</w:t>
      </w:r>
      <w:bookmarkEnd w:id="86"/>
    </w:p>
    <w:p>
      <w:pPr>
        <w:pStyle w:val="Bibliography"/>
        <w:rPr/>
      </w:pPr>
      <w:bookmarkStart w:id="87" w:name="ref-pescher2026decision"/>
      <w:r>
        <w:rPr/>
        <w:t xml:space="preserve">Pescher, A. (2026). Decision gatekeepers: How hedonic vs. Utilitarian products shape differential persuasion effects in LLM-mediated recommendations. </w:t>
      </w:r>
      <w:r>
        <w:rPr>
          <w:i/>
          <w:iCs/>
        </w:rPr>
        <w:t>Journal of Decision Systems</w:t>
      </w:r>
      <w:r>
        <w:rPr/>
        <w:t xml:space="preserve">, </w:t>
      </w:r>
      <w:r>
        <w:rPr>
          <w:i/>
          <w:iCs/>
        </w:rPr>
        <w:t>35</w:t>
      </w:r>
      <w:r>
        <w:rPr/>
        <w:t>(1), 2649245.</w:t>
      </w:r>
      <w:bookmarkEnd w:id="87"/>
    </w:p>
    <w:p>
      <w:pPr>
        <w:pStyle w:val="Bibliography"/>
        <w:rPr/>
      </w:pPr>
      <w:bookmarkStart w:id="88" w:name="ref-prasanna2025generative"/>
      <w:r>
        <w:rPr/>
        <w:t xml:space="preserve">Prasanna, A., &amp; Kushwaha, B. P. (2025). Generative AI in marketing: Foundations, trends, and future research propositions. </w:t>
      </w:r>
      <w:r>
        <w:rPr>
          <w:i/>
          <w:iCs/>
        </w:rPr>
        <w:t>Human Behavior and Emerging Technologies</w:t>
      </w:r>
      <w:r>
        <w:rPr/>
        <w:t xml:space="preserve">, </w:t>
      </w:r>
      <w:r>
        <w:rPr>
          <w:i/>
          <w:iCs/>
        </w:rPr>
        <w:t>2025</w:t>
      </w:r>
      <w:r>
        <w:rPr/>
        <w:t>(1), 5542513.</w:t>
      </w:r>
      <w:bookmarkEnd w:id="88"/>
    </w:p>
    <w:p>
      <w:pPr>
        <w:pStyle w:val="Bibliography"/>
        <w:rPr/>
      </w:pPr>
      <w:bookmarkStart w:id="89" w:name="ref-puntoni2024being"/>
      <w:r>
        <w:rPr/>
        <w:t xml:space="preserve">Puntoni, S., &amp; Wertenbroch, K. (2024). Being human in the age of AI. </w:t>
      </w:r>
      <w:r>
        <w:rPr>
          <w:i/>
          <w:iCs/>
        </w:rPr>
        <w:t>Journal of the Association for Consumer Research</w:t>
      </w:r>
      <w:r>
        <w:rPr/>
        <w:t xml:space="preserve">, </w:t>
      </w:r>
      <w:r>
        <w:rPr>
          <w:i/>
          <w:iCs/>
        </w:rPr>
        <w:t>9</w:t>
      </w:r>
      <w:r>
        <w:rPr/>
        <w:t>(3), 235–240.</w:t>
      </w:r>
      <w:bookmarkEnd w:id="89"/>
    </w:p>
    <w:p>
      <w:pPr>
        <w:pStyle w:val="Bibliography"/>
        <w:rPr/>
      </w:pPr>
      <w:bookmarkStart w:id="90" w:name="ref-reimann2025language"/>
      <w:r>
        <w:rPr/>
        <w:t>Reimann, M., &amp; Kronrod, A. (2025). Language as means and ends: How generative artificial intelligence automates, amplifies, and reinvents language in marketing.</w:t>
      </w:r>
      <w:bookmarkEnd w:id="90"/>
    </w:p>
    <w:p>
      <w:pPr>
        <w:pStyle w:val="Bibliography"/>
        <w:rPr/>
      </w:pPr>
      <w:bookmarkStart w:id="91" w:name="ref-reisenbichler2026applying"/>
      <w:r>
        <w:rPr/>
        <w:t xml:space="preserve">Reisenbichler, M., Reutterer, T., &amp; Schweidel, D. A. (2026). Applying large language models to sponsored search advertising. </w:t>
      </w:r>
      <w:r>
        <w:rPr>
          <w:i/>
          <w:iCs/>
        </w:rPr>
        <w:t>Marketing Science</w:t>
      </w:r>
      <w:r>
        <w:rPr/>
        <w:t xml:space="preserve">, </w:t>
      </w:r>
      <w:r>
        <w:rPr>
          <w:i/>
          <w:iCs/>
        </w:rPr>
        <w:t>45</w:t>
      </w:r>
      <w:r>
        <w:rPr/>
        <w:t>(1), 123–141.</w:t>
      </w:r>
      <w:bookmarkEnd w:id="91"/>
    </w:p>
    <w:p>
      <w:pPr>
        <w:pStyle w:val="Bibliography"/>
        <w:rPr/>
      </w:pPr>
      <w:bookmarkStart w:id="92" w:name="ref-riandhi2025ai"/>
      <w:r>
        <w:rPr/>
        <w:t xml:space="preserve">Riandhi, A. N., Arviansyah, M. R., &amp; Sondari, M. C. (2025). AI and consumer behavior: Trends, technologies, and future directions from a scopus-based systematic review. </w:t>
      </w:r>
      <w:r>
        <w:rPr>
          <w:i/>
          <w:iCs/>
        </w:rPr>
        <w:t>Cogent Business &amp; Management</w:t>
      </w:r>
      <w:r>
        <w:rPr/>
        <w:t xml:space="preserve">, </w:t>
      </w:r>
      <w:r>
        <w:rPr>
          <w:i/>
          <w:iCs/>
        </w:rPr>
        <w:t>12</w:t>
      </w:r>
      <w:r>
        <w:rPr/>
        <w:t>(1), 2544984.</w:t>
      </w:r>
      <w:bookmarkEnd w:id="92"/>
    </w:p>
    <w:p>
      <w:pPr>
        <w:pStyle w:val="Bibliography"/>
        <w:rPr/>
      </w:pPr>
      <w:bookmarkStart w:id="93" w:name="ref-russell2010artificial"/>
      <w:r>
        <w:rPr/>
        <w:t xml:space="preserve">Russell, S. J. (2010). </w:t>
      </w:r>
      <w:r>
        <w:rPr>
          <w:i/>
          <w:iCs/>
        </w:rPr>
        <w:t>Artificial intelligence a modern approach</w:t>
      </w:r>
      <w:r>
        <w:rPr/>
        <w:t>. Pearson Education, Inc.</w:t>
      </w:r>
      <w:bookmarkEnd w:id="93"/>
    </w:p>
    <w:p>
      <w:pPr>
        <w:pStyle w:val="Bibliography"/>
        <w:rPr/>
      </w:pPr>
      <w:bookmarkStart w:id="94" w:name="ref-russo1977value"/>
      <w:r>
        <w:rPr/>
        <w:t xml:space="preserve">Russo, J. E. (1977). The value of unit price information. </w:t>
      </w:r>
      <w:r>
        <w:rPr>
          <w:i/>
          <w:iCs/>
        </w:rPr>
        <w:t>Journal of Marketing Research</w:t>
      </w:r>
      <w:r>
        <w:rPr/>
        <w:t xml:space="preserve">, </w:t>
      </w:r>
      <w:r>
        <w:rPr>
          <w:i/>
          <w:iCs/>
        </w:rPr>
        <w:t>14</w:t>
      </w:r>
      <w:r>
        <w:rPr/>
        <w:t>(2), 193–201.</w:t>
      </w:r>
      <w:bookmarkEnd w:id="94"/>
    </w:p>
    <w:p>
      <w:pPr>
        <w:pStyle w:val="Bibliography"/>
        <w:rPr/>
      </w:pPr>
      <w:bookmarkStart w:id="95" w:name="ref-sarstedt2024using"/>
      <w:r>
        <w:rPr/>
        <w:t xml:space="preserve">Sarstedt, M., Adler, S. J., Rau, L., &amp; Schmitt, B. (2024). Using large language models to generate silicon samples in consumer and marketing research: Challenges, opportunities, and guidelines. </w:t>
      </w:r>
      <w:r>
        <w:rPr>
          <w:i/>
          <w:iCs/>
        </w:rPr>
        <w:t>Psychology &amp; Marketing</w:t>
      </w:r>
      <w:r>
        <w:rPr/>
        <w:t xml:space="preserve">, </w:t>
      </w:r>
      <w:r>
        <w:rPr>
          <w:i/>
          <w:iCs/>
        </w:rPr>
        <w:t>41</w:t>
      </w:r>
      <w:r>
        <w:rPr/>
        <w:t>(6), 1254–1270.</w:t>
      </w:r>
      <w:bookmarkEnd w:id="95"/>
    </w:p>
    <w:p>
      <w:pPr>
        <w:pStyle w:val="Bibliography"/>
        <w:rPr/>
      </w:pPr>
      <w:bookmarkStart w:id="96" w:name="ref-stiving1997empirical"/>
      <w:r>
        <w:rPr/>
        <w:t xml:space="preserve">Stiving, M., &amp; Winer, R. S. (1997). An empirical analysis of price endings with scanner data. </w:t>
      </w:r>
      <w:r>
        <w:rPr>
          <w:i/>
          <w:iCs/>
        </w:rPr>
        <w:t>Journal of Consumer Research</w:t>
      </w:r>
      <w:r>
        <w:rPr/>
        <w:t xml:space="preserve">, </w:t>
      </w:r>
      <w:r>
        <w:rPr>
          <w:i/>
          <w:iCs/>
        </w:rPr>
        <w:t>24</w:t>
      </w:r>
      <w:r>
        <w:rPr/>
        <w:t>(1), 57–67.</w:t>
      </w:r>
      <w:bookmarkEnd w:id="96"/>
    </w:p>
    <w:p>
      <w:pPr>
        <w:pStyle w:val="Bibliography"/>
        <w:rPr/>
      </w:pPr>
      <w:bookmarkStart w:id="97" w:name="ref-thaler1985mental"/>
      <w:r>
        <w:rPr/>
        <w:t xml:space="preserve">Thaler, R. (1985). Mental accounting and consumer choice. </w:t>
      </w:r>
      <w:r>
        <w:rPr>
          <w:i/>
          <w:iCs/>
        </w:rPr>
        <w:t>Marketing science</w:t>
      </w:r>
      <w:r>
        <w:rPr/>
        <w:t xml:space="preserve">, </w:t>
      </w:r>
      <w:r>
        <w:rPr>
          <w:i/>
          <w:iCs/>
        </w:rPr>
        <w:t>4</w:t>
      </w:r>
      <w:r>
        <w:rPr/>
        <w:t>(3), 199–214.</w:t>
      </w:r>
      <w:bookmarkEnd w:id="97"/>
    </w:p>
    <w:p>
      <w:pPr>
        <w:pStyle w:val="Bibliography"/>
        <w:rPr/>
      </w:pPr>
      <w:bookmarkStart w:id="98" w:name="ref-thaler2000homoeconomicus"/>
      <w:r>
        <w:rPr/>
        <w:t xml:space="preserve">Thaler, R. H. (2000). From homo economicus to homo sapiens. </w:t>
      </w:r>
      <w:r>
        <w:rPr>
          <w:i/>
          <w:iCs/>
        </w:rPr>
        <w:t>Journal of Economic Perspectives</w:t>
      </w:r>
      <w:r>
        <w:rPr/>
        <w:t xml:space="preserve">, </w:t>
      </w:r>
      <w:r>
        <w:rPr>
          <w:i/>
          <w:iCs/>
        </w:rPr>
        <w:t>14</w:t>
      </w:r>
      <w:r>
        <w:rPr/>
        <w:t xml:space="preserve">(1), 133–141. </w:t>
      </w:r>
      <w:hyperlink r:id="rId9">
        <w:r>
          <w:rPr>
            <w:rStyle w:val="Hyperlink"/>
          </w:rPr>
          <w:t>https://doi.org/10.1257/jep.14.1.133</w:t>
        </w:r>
      </w:hyperlink>
      <w:bookmarkEnd w:id="98"/>
    </w:p>
    <w:p>
      <w:pPr>
        <w:pStyle w:val="Bibliography"/>
        <w:rPr/>
      </w:pPr>
      <w:bookmarkStart w:id="99" w:name="ref-thomas2005penny"/>
      <w:r>
        <w:rPr/>
        <w:t xml:space="preserve">Thomas, M., &amp; Morwitz, V. (2005). Penny wise and pound foolish: The left-digit effect in price cognition. </w:t>
      </w:r>
      <w:r>
        <w:rPr>
          <w:i/>
          <w:iCs/>
        </w:rPr>
        <w:t>Journal of consumer Research</w:t>
      </w:r>
      <w:r>
        <w:rPr/>
        <w:t xml:space="preserve">, </w:t>
      </w:r>
      <w:r>
        <w:rPr>
          <w:i/>
          <w:iCs/>
        </w:rPr>
        <w:t>32</w:t>
      </w:r>
      <w:r>
        <w:rPr/>
        <w:t>(1), 54–64.</w:t>
      </w:r>
      <w:bookmarkEnd w:id="99"/>
    </w:p>
    <w:p>
      <w:pPr>
        <w:pStyle w:val="Bibliography"/>
        <w:rPr/>
      </w:pPr>
      <w:bookmarkStart w:id="100" w:name="ref-train2009discrete"/>
      <w:r>
        <w:rPr/>
        <w:t xml:space="preserve">Train, K. E. (2009). </w:t>
      </w:r>
      <w:r>
        <w:rPr>
          <w:i/>
          <w:iCs/>
        </w:rPr>
        <w:t>Discrete choice methods with simulation</w:t>
      </w:r>
      <w:r>
        <w:rPr/>
        <w:t>. Cambridge university press.</w:t>
      </w:r>
      <w:bookmarkEnd w:id="100"/>
    </w:p>
    <w:p>
      <w:pPr>
        <w:pStyle w:val="Bibliography"/>
        <w:rPr/>
      </w:pPr>
      <w:bookmarkStart w:id="101" w:name="ref-wadi2025monte"/>
      <w:r>
        <w:rPr/>
        <w:t xml:space="preserve">Wadi, D., &amp; Fredette, M. (2025). A monte-carlo sampling framework for reliable evaluation of large language models using behavioral analysis. </w:t>
      </w:r>
      <w:r>
        <w:rPr>
          <w:i/>
          <w:iCs/>
        </w:rPr>
        <w:t>Findings of the Association for Computational Linguistics: EMNLP 2025</w:t>
      </w:r>
      <w:r>
        <w:rPr/>
        <w:t>, 9414–9432.</w:t>
      </w:r>
      <w:bookmarkEnd w:id="101"/>
    </w:p>
    <w:p>
      <w:pPr>
        <w:pStyle w:val="Bibliography"/>
        <w:rPr/>
      </w:pPr>
      <w:bookmarkStart w:id="102" w:name="ref-wadi2026every"/>
      <w:r>
        <w:rPr/>
        <w:t xml:space="preserve">Wadi, D., Ghodrat, M., &amp; Philp, M. (2026). Every token counts: Exact likert-scale distributions for measuring LLM attitudes and biases. </w:t>
      </w:r>
      <w:r>
        <w:rPr>
          <w:i/>
          <w:iCs/>
        </w:rPr>
        <w:t>arXiv preprint arXiv:2608.10503</w:t>
      </w:r>
      <w:r>
        <w:rPr/>
        <w:t>.</w:t>
      </w:r>
      <w:bookmarkEnd w:id="102"/>
    </w:p>
    <w:p>
      <w:pPr>
        <w:pStyle w:val="Bibliography"/>
        <w:rPr/>
      </w:pPr>
      <w:bookmarkStart w:id="103" w:name="ref-wang2026large"/>
      <w:r>
        <w:rPr/>
        <w:t xml:space="preserve">Wang, M., Zhang, D. J., &amp; Zhang, H. (2026). Large language models for market research: A data-augmentation approach. </w:t>
      </w:r>
      <w:r>
        <w:rPr>
          <w:i/>
          <w:iCs/>
        </w:rPr>
        <w:t>Marketing Science</w:t>
      </w:r>
      <w:r>
        <w:rPr/>
        <w:t>.</w:t>
      </w:r>
      <w:bookmarkEnd w:id="103"/>
    </w:p>
    <w:p>
      <w:pPr>
        <w:pStyle w:val="Bibliography"/>
        <w:rPr/>
      </w:pPr>
      <w:bookmarkStart w:id="104" w:name="ref-xie2026impact"/>
      <w:r>
        <w:rPr/>
        <w:t xml:space="preserve">Xie, G. (2026). The impact of generative AI shopping assistants on e-commerce consumer motivation and behavior: Consumer-AI interaction design. </w:t>
      </w:r>
      <w:r>
        <w:rPr>
          <w:i/>
          <w:iCs/>
        </w:rPr>
        <w:t>International Journal of Information Management</w:t>
      </w:r>
      <w:r>
        <w:rPr/>
        <w:t xml:space="preserve">, </w:t>
      </w:r>
      <w:r>
        <w:rPr>
          <w:i/>
          <w:iCs/>
        </w:rPr>
        <w:t>86</w:t>
      </w:r>
      <w:r>
        <w:rPr/>
        <w:t>, 102983.</w:t>
      </w:r>
      <w:bookmarkEnd w:id="104"/>
    </w:p>
    <w:p>
      <w:pPr>
        <w:pStyle w:val="Bibliography"/>
        <w:rPr/>
      </w:pPr>
      <w:bookmarkStart w:id="105" w:name="ref-yoo2025whole"/>
      <w:r>
        <w:rPr/>
        <w:t xml:space="preserve">Yoo, K., Haenlein, M., &amp; Hewett, K. (2025). A whole new world, a new fantastic point of view: Charting unexplored territories in consumer research with generative artificial intelligence. </w:t>
      </w:r>
      <w:r>
        <w:rPr>
          <w:i/>
          <w:iCs/>
        </w:rPr>
        <w:t>Journal of the Academy of Marketing Science</w:t>
      </w:r>
      <w:r>
        <w:rPr/>
        <w:t xml:space="preserve">, </w:t>
      </w:r>
      <w:r>
        <w:rPr>
          <w:i/>
          <w:iCs/>
        </w:rPr>
        <w:t>53</w:t>
      </w:r>
      <w:r>
        <w:rPr/>
        <w:t>(3), 723–759.</w:t>
      </w:r>
      <w:bookmarkEnd w:id="105"/>
    </w:p>
    <w:p>
      <w:pPr>
        <w:pStyle w:val="Bibliography"/>
        <w:rPr/>
      </w:pPr>
      <w:bookmarkStart w:id="106" w:name="ref-zhou2026large"/>
      <w:r>
        <w:rPr/>
        <w:t xml:space="preserve">ZHOU, L., LI, L., WANG, X., OU, H., HU, Q., LI, A., &amp; GU, C. (2026). Large language models capable of distinguishing between single and repeated gambles: Understanding and intervening in risky choice. </w:t>
      </w:r>
      <w:r>
        <w:rPr>
          <w:i/>
          <w:iCs/>
        </w:rPr>
        <w:t>Acta Psychologica Sinica</w:t>
      </w:r>
      <w:r>
        <w:rPr/>
        <w:t xml:space="preserve">, </w:t>
      </w:r>
      <w:r>
        <w:rPr>
          <w:i/>
          <w:iCs/>
        </w:rPr>
        <w:t>58</w:t>
      </w:r>
      <w:r>
        <w:rPr/>
        <w:t>(3), 416.</w:t>
      </w:r>
      <w:bookmarkEnd w:id="37"/>
      <w:bookmarkEnd w:id="106"/>
    </w:p>
    <w:p>
      <w:pPr>
        <w:pStyle w:val="Normal"/>
        <w:rPr/>
      </w:pPr>
      <w:r>
        <w:rPr/>
      </w:r>
      <w:bookmarkEnd w:id="36"/>
      <w:r>
        <w:br w:type="page"/>
      </w:r>
    </w:p>
    <w:p>
      <w:pPr>
        <w:pStyle w:val="Heading1"/>
        <w:spacing w:before="0" w:after="80"/>
        <w:rPr/>
      </w:pPr>
      <w:bookmarkStart w:id="107" w:name="tables-and-figures"/>
      <w:r>
        <w:rPr/>
        <w:t>Tables and figures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108" w:name="fig-framework"/>
            <w:r>
              <w:rPr/>
              <w:drawing>
                <wp:inline distT="0" distB="0" distL="0" distR="0">
                  <wp:extent cx="5943600" cy="193167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5943600" cy="1931670"/>
                          </a:xfrm>
                          <a:prstGeom prst="rect">
                            <a:avLst/>
                          </a:prstGeom>
                          <a:noFill/>
                        </pic:spPr>
                      </pic:pic>
                    </a:graphicData>
                  </a:graphic>
                </wp:inline>
              </w:drawing>
            </w:r>
          </w:p>
          <w:p>
            <w:pPr>
              <w:pStyle w:val="ImageCaption"/>
              <w:spacing w:before="200" w:after="120"/>
              <w:jc w:val="left"/>
              <w:rPr/>
            </w:pPr>
            <w:r>
              <w:rPr/>
              <w:t>Figure 2: The conceptual framework</w:t>
            </w:r>
            <w:bookmarkEnd w:id="108"/>
          </w:p>
        </w:tc>
      </w:tr>
    </w:tbl>
    <w:p>
      <w:pPr>
        <w:pStyle w:val="BodyText"/>
        <w:rPr/>
      </w:pPr>
      <w:r>
        <w:rPr/>
        <w:t xml:space="preserve"> </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109" w:name="fig-tool-lab-setup"/>
            <w:r>
              <w:rPr/>
              <w:drawing>
                <wp:inline distT="0" distB="0" distL="0" distR="0">
                  <wp:extent cx="5943600" cy="524319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5943600" cy="5243195"/>
                          </a:xfrm>
                          <a:prstGeom prst="rect">
                            <a:avLst/>
                          </a:prstGeom>
                          <a:noFill/>
                        </pic:spPr>
                      </pic:pic>
                    </a:graphicData>
                  </a:graphic>
                </wp:inline>
              </w:drawing>
            </w:r>
          </w:p>
          <w:p>
            <w:pPr>
              <w:pStyle w:val="ImageCaption"/>
              <w:spacing w:before="200" w:after="120"/>
              <w:jc w:val="left"/>
              <w:rPr/>
            </w:pPr>
            <w:r>
              <w:rPr/>
              <w:t xml:space="preserve">Figure 3: Tool-Lab setup for $10 cost per </w:t>
            </w:r>
            <w:r>
              <w:rPr>
                <w:i/>
                <w:iCs/>
              </w:rPr>
              <w:t>inspect_cell</w:t>
            </w:r>
            <w:r>
              <w:rPr/>
              <w:t xml:space="preserve"> tool call</w:t>
            </w:r>
            <w:bookmarkEnd w:id="109"/>
          </w:p>
        </w:tc>
      </w:tr>
    </w:tbl>
    <w:p>
      <w:pPr>
        <w:pStyle w:val="Normal"/>
        <w:rPr/>
      </w:pPr>
      <w:r>
        <w:rPr/>
      </w:r>
      <w:bookmarkEnd w:id="107"/>
      <w:r>
        <w:br w:type="page"/>
      </w:r>
    </w:p>
    <w:p>
      <w:pPr>
        <w:pStyle w:val="Heading1"/>
        <w:spacing w:before="0" w:after="80"/>
        <w:rPr/>
      </w:pPr>
      <w:bookmarkStart w:id="110" w:name="sec-appendix-s1a"/>
      <w:r>
        <w:rPr/>
        <w:t>Web appendix A: Study 1 Baseline details</w:t>
      </w:r>
    </w:p>
    <w:p>
      <w:pPr>
        <w:pStyle w:val="Heading2"/>
        <w:rPr/>
      </w:pPr>
      <w:bookmarkStart w:id="111" w:name="Xd24e957589fb9e24df9880974c62107390142e1"/>
      <w:r>
        <w:rPr/>
        <w:t>Choice set generation and Pareto filtering</w:t>
      </w:r>
    </w:p>
    <w:p>
      <w:pPr>
        <w:pStyle w:val="FirstParagraph"/>
        <w:rPr/>
      </w:pPr>
      <w:r>
        <w:rPr/>
        <w:t>To evaluate whether LLMs process fractional price endings rationally under full information, we constructed a four-alternative discrete choice experiment in the ground coffee category. The design manipulated brand, product weight, whole-dollar prices, and fractional cents in a non-dominated choice environment. We utilized the four best-selling ground coffee brands on Amazon.com (</w:t>
      </w:r>
      <w:r>
        <w:rPr>
          <w:i/>
          <w:iCs/>
        </w:rPr>
        <w:t>McCafé, Maxwell House, Starbucks, Folgers</w:t>
      </w:r>
      <w:r>
        <w:rPr/>
        <w:t>) and 11 packaging weights drawn from empirical retail distributions (</w:t>
      </w:r>
      <w:r>
        <w:rPr/>
      </w:r>
      <m:oMath xmlns:m="http://schemas.openxmlformats.org/officeDocument/2006/math">
        <m:r>
          <w:rPr>
            <w:rFonts w:ascii="Cambria Math" w:hAnsi="Cambria Math"/>
          </w:rPr>
          <m:t xml:space="preserve">W</m:t>
        </m:r>
        <m:r>
          <w:rPr>
            <w:rFonts w:ascii="Cambria Math" w:hAnsi="Cambria Math"/>
          </w:rPr>
          <m:t xml:space="preserve">∈</m:t>
        </m:r>
        <m:r>
          <w:rPr>
            <w:rFonts w:ascii="Cambria Math" w:hAnsi="Cambria Math"/>
          </w:rPr>
          <m:t xml:space="preserve">{</m:t>
        </m:r>
        <m:r>
          <w:rPr>
            <w:rFonts w:ascii="Cambria Math" w:hAnsi="Cambria Math"/>
          </w:rPr>
          <m:t xml:space="preserve">10.5</m:t>
        </m:r>
        <m:r>
          <w:rPr>
            <w:rFonts w:ascii="Cambria Math" w:hAnsi="Cambria Math"/>
          </w:rPr>
          <m:t xml:space="preserve">,</m:t>
        </m:r>
        <m:r>
          <w:rPr>
            <w:rFonts w:ascii="Cambria Math" w:hAnsi="Cambria Math"/>
          </w:rPr>
          <m:t xml:space="preserve">11.0</m:t>
        </m:r>
        <m:r>
          <w:rPr>
            <w:rFonts w:ascii="Cambria Math" w:hAnsi="Cambria Math"/>
          </w:rPr>
          <m:t xml:space="preserve">,</m:t>
        </m:r>
        <m:r>
          <w:rPr>
            <w:rFonts w:ascii="Cambria Math" w:hAnsi="Cambria Math"/>
          </w:rPr>
          <m:t xml:space="preserve">12.0</m:t>
        </m:r>
        <m:r>
          <w:rPr>
            <w:rFonts w:ascii="Cambria Math" w:hAnsi="Cambria Math"/>
          </w:rPr>
          <m:t xml:space="preserve">,</m:t>
        </m:r>
        <m:r>
          <w:rPr>
            <w:rFonts w:ascii="Cambria Math" w:hAnsi="Cambria Math"/>
          </w:rPr>
          <m:t xml:space="preserve">18.0</m:t>
        </m:r>
        <m:r>
          <w:rPr>
            <w:rFonts w:ascii="Cambria Math" w:hAnsi="Cambria Math"/>
          </w:rPr>
          <m:t xml:space="preserve">,</m:t>
        </m:r>
        <m:r>
          <w:rPr>
            <w:rFonts w:ascii="Cambria Math" w:hAnsi="Cambria Math"/>
          </w:rPr>
          <m:t xml:space="preserve">20.5</m:t>
        </m:r>
        <m:r>
          <w:rPr>
            <w:rFonts w:ascii="Cambria Math" w:hAnsi="Cambria Math"/>
          </w:rPr>
          <m:t xml:space="preserve">,</m:t>
        </m:r>
        <m:r>
          <w:rPr>
            <w:rFonts w:ascii="Cambria Math" w:hAnsi="Cambria Math"/>
          </w:rPr>
          <m:t xml:space="preserve">22.0</m:t>
        </m:r>
        <m:r>
          <w:rPr>
            <w:rFonts w:ascii="Cambria Math" w:hAnsi="Cambria Math"/>
          </w:rPr>
          <m:t xml:space="preserve">,</m:t>
        </m:r>
        <m:r>
          <w:rPr>
            <w:rFonts w:ascii="Cambria Math" w:hAnsi="Cambria Math"/>
          </w:rPr>
          <m:t xml:space="preserve">24.2</m:t>
        </m:r>
        <m:r>
          <w:rPr>
            <w:rFonts w:ascii="Cambria Math" w:hAnsi="Cambria Math"/>
          </w:rPr>
          <m:t xml:space="preserve">,</m:t>
        </m:r>
        <m:r>
          <w:rPr>
            <w:rFonts w:ascii="Cambria Math" w:hAnsi="Cambria Math"/>
          </w:rPr>
          <m:t xml:space="preserve">25.9</m:t>
        </m:r>
        <m:r>
          <w:rPr>
            <w:rFonts w:ascii="Cambria Math" w:hAnsi="Cambria Math"/>
          </w:rPr>
          <m:t xml:space="preserve">,</m:t>
        </m:r>
        <m:r>
          <w:rPr>
            <w:rFonts w:ascii="Cambria Math" w:hAnsi="Cambria Math"/>
          </w:rPr>
          <m:t xml:space="preserve">27.8</m:t>
        </m:r>
        <m:r>
          <w:rPr>
            <w:rFonts w:ascii="Cambria Math" w:hAnsi="Cambria Math"/>
          </w:rPr>
          <m:t xml:space="preserve">,</m:t>
        </m:r>
        <m:r>
          <w:rPr>
            <w:rFonts w:ascii="Cambria Math" w:hAnsi="Cambria Math"/>
          </w:rPr>
          <m:t xml:space="preserve">30.5</m:t>
        </m:r>
        <m:r>
          <w:rPr>
            <w:rFonts w:ascii="Cambria Math" w:hAnsi="Cambria Math"/>
          </w:rPr>
          <m:t xml:space="preserve">,</m:t>
        </m:r>
        <m:r>
          <w:rPr>
            <w:rFonts w:ascii="Cambria Math" w:hAnsi="Cambria Math"/>
          </w:rPr>
          <m:t xml:space="preserve">30.6</m:t>
        </m:r>
        <m:r>
          <w:rPr>
            <w:rFonts w:ascii="Cambria Math" w:hAnsi="Cambria Math"/>
          </w:rPr>
          <m:t xml:space="preserve">}</m:t>
        </m:r>
      </m:oMath>
      <w:r>
        <w:rPr/>
        <w:t xml:space="preserve"> ounces).</w:t>
      </w:r>
    </w:p>
    <w:p>
      <w:pPr>
        <w:pStyle w:val="BodyText"/>
        <w:rPr/>
      </w:pPr>
      <w:r>
        <w:rPr/>
        <w:t xml:space="preserve">To isolate the marginal utility of cents independently from whole dollars, whole dollars and cents were generated as orthogonal attributes. Whole-dollar values were drawn from 13 discrete price points spanning </w:t>
      </w:r>
      <w:r>
        <w:rPr/>
      </w:r>
      <m:oMath xmlns:m="http://schemas.openxmlformats.org/officeDocument/2006/math">
        <m:r>
          <w:rPr>
            <w:rFonts w:ascii="Cambria Math" w:hAnsi="Cambria Math"/>
          </w:rPr>
          <m:t xml:space="preserve">$</m:t>
        </m:r>
        <m:r>
          <w:rPr>
            <w:rFonts w:ascii="Cambria Math" w:hAnsi="Cambria Math"/>
          </w:rPr>
          <m:t xml:space="preserve">8</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20</m:t>
        </m:r>
      </m:oMath>
      <w:r>
        <w:rPr/>
        <w:t>. Fractional cent endings were drawn independently from the empirical retail distribution of Amazon coffee prices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15</m:t>
        </m:r>
        <m:r>
          <w:rPr>
            <w:rFonts w:ascii="Cambria Math" w:hAnsi="Cambria Math"/>
          </w:rPr>
          <m:t xml:space="preserve">,</m:t>
        </m:r>
        <m:r>
          <w:rPr>
            <w:rFonts w:ascii="Cambria Math" w:hAnsi="Cambria Math"/>
          </w:rPr>
          <m:t xml:space="preserve">57</m:t>
        </m:r>
        <m:r>
          <w:rPr>
            <w:rFonts w:ascii="Cambria Math" w:hAnsi="Cambria Math"/>
          </w:rPr>
          <m:t xml:space="preserve">,</m:t>
        </m:r>
        <m:r>
          <w:rPr>
            <w:rFonts w:ascii="Cambria Math" w:hAnsi="Cambria Math"/>
          </w:rPr>
          <m:t xml:space="preserve">60</m:t>
        </m:r>
        <m:r>
          <w:rPr>
            <w:rFonts w:ascii="Cambria Math" w:hAnsi="Cambria Math"/>
          </w:rPr>
          <m:t xml:space="preserve">,</m:t>
        </m:r>
        <m:r>
          <w:rPr>
            <w:rFonts w:ascii="Cambria Math" w:hAnsi="Cambria Math"/>
          </w:rPr>
          <m:t xml:space="preserve">61</m:t>
        </m:r>
        <m:r>
          <w:rPr>
            <w:rFonts w:ascii="Cambria Math" w:hAnsi="Cambria Math"/>
          </w:rPr>
          <m:t xml:space="preserve">,</m:t>
        </m:r>
        <m:r>
          <w:rPr>
            <w:rFonts w:ascii="Cambria Math" w:hAnsi="Cambria Math"/>
          </w:rPr>
          <m:t xml:space="preserve">63</m:t>
        </m:r>
        <m:r>
          <w:rPr>
            <w:rFonts w:ascii="Cambria Math" w:hAnsi="Cambria Math"/>
          </w:rPr>
          <m:t xml:space="preserve">,</m:t>
        </m:r>
        <m:r>
          <w:rPr>
            <w:rFonts w:ascii="Cambria Math" w:hAnsi="Cambria Math"/>
          </w:rPr>
          <m:t xml:space="preserve">75</m:t>
        </m:r>
        <m:r>
          <w:rPr>
            <w:rFonts w:ascii="Cambria Math" w:hAnsi="Cambria Math"/>
          </w:rPr>
          <m:t xml:space="preserve">,</m:t>
        </m:r>
        <m:r>
          <w:rPr>
            <w:rFonts w:ascii="Cambria Math" w:hAnsi="Cambria Math"/>
          </w:rPr>
          <m:t xml:space="preserve">84</m:t>
        </m:r>
        <m:r>
          <w:rPr>
            <w:rFonts w:ascii="Cambria Math" w:hAnsi="Cambria Math"/>
          </w:rPr>
          <m:t xml:space="preserve">,</m:t>
        </m:r>
        <m:r>
          <w:rPr>
            <w:rFonts w:ascii="Cambria Math" w:hAnsi="Cambria Math"/>
          </w:rPr>
          <m:t xml:space="preserve">96</m:t>
        </m:r>
        <m:r>
          <w:rPr>
            <w:rFonts w:ascii="Cambria Math" w:hAnsi="Cambria Math"/>
          </w:rPr>
          <m:t xml:space="preserve">,</m:t>
        </m:r>
        <m:r>
          <w:rPr>
            <w:rFonts w:ascii="Cambria Math" w:hAnsi="Cambria Math"/>
          </w:rPr>
          <m:t xml:space="preserve">97</m:t>
        </m:r>
        <m:r>
          <w:rPr>
            <w:rFonts w:ascii="Cambria Math" w:hAnsi="Cambria Math"/>
          </w:rPr>
          <m:t xml:space="preserve">,</m:t>
        </m:r>
        <m:r>
          <w:rPr>
            <w:rFonts w:ascii="Cambria Math" w:hAnsi="Cambria Math"/>
          </w:rPr>
          <m:t xml:space="preserve">99</m:t>
        </m:r>
        <m:r>
          <w:rPr>
            <w:rFonts w:ascii="Cambria Math" w:hAnsi="Cambria Math"/>
          </w:rPr>
          <m:t xml:space="preserve">}</m:t>
        </m:r>
      </m:oMath>
      <w:r>
        <w:rPr/>
        <w:t xml:space="preserve">). Crossing 4 brands </w:t>
      </w:r>
      <w:r>
        <w:rPr/>
      </w:r>
      <m:oMath xmlns:m="http://schemas.openxmlformats.org/officeDocument/2006/math">
        <m:r>
          <w:rPr>
            <w:rFonts w:ascii="Cambria Math" w:hAnsi="Cambria Math"/>
          </w:rPr>
          <m:t xml:space="preserve">×</m:t>
        </m:r>
      </m:oMath>
      <w:r>
        <w:rPr/>
        <w:t xml:space="preserve"> 11 weights </w:t>
      </w:r>
      <w:r>
        <w:rPr/>
      </w:r>
      <m:oMath xmlns:m="http://schemas.openxmlformats.org/officeDocument/2006/math">
        <m:r>
          <w:rPr>
            <w:rFonts w:ascii="Cambria Math" w:hAnsi="Cambria Math"/>
          </w:rPr>
          <m:t xml:space="preserve">×</m:t>
        </m:r>
      </m:oMath>
      <w:r>
        <w:rPr/>
        <w:t xml:space="preserve"> 13 whole dollars </w:t>
      </w:r>
      <w:r>
        <w:rPr/>
      </w:r>
      <m:oMath xmlns:m="http://schemas.openxmlformats.org/officeDocument/2006/math">
        <m:r>
          <w:rPr>
            <w:rFonts w:ascii="Cambria Math" w:hAnsi="Cambria Math"/>
          </w:rPr>
          <m:t xml:space="preserve">×</m:t>
        </m:r>
      </m:oMath>
      <w:r>
        <w:rPr/>
        <w:t xml:space="preserve"> 10 cent values yielded a candidate attribute universe of 5,720 unique product profiles.</w:t>
      </w:r>
    </w:p>
    <w:p>
      <w:pPr>
        <w:pStyle w:val="BodyText"/>
        <w:rPr/>
      </w:pPr>
      <w:r>
        <w:rPr/>
        <w:t xml:space="preserve">From these factorial profiles, we generated choice sets of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4</m:t>
        </m:r>
      </m:oMath>
      <w:r>
        <w:rPr/>
        <w:t xml:space="preserve"> alternatives. To ensure that alternatives forced compensatory economic trade-offs, choice sets were subjected to strict Pareto filtering: no alternative was permitted to dominate another alternative on both lower total price (</w:t>
      </w:r>
      <w:r>
        <w:rPr/>
      </w:r>
      <m:oMath xmlns:m="http://schemas.openxmlformats.org/officeDocument/2006/math">
        <m:r>
          <m:rPr>
            <m:lit/>
            <m:nor/>
          </m:rPr>
          <w:rPr>
            <w:rFonts w:ascii="Cambria Math" w:hAnsi="Cambria Math"/>
          </w:rPr>
          <m:t xml:space="preserve">Dollars</m:t>
        </m:r>
        <m:r>
          <w:rPr>
            <w:rFonts w:ascii="Cambria Math" w:hAnsi="Cambria Math"/>
          </w:rPr>
          <m:t xml:space="preserve">+</m:t>
        </m:r>
        <m:f>
          <m:fPr>
            <m:type m:val="lin"/>
          </m:fPr>
          <m:num>
            <m:r>
              <m:rPr>
                <m:lit/>
                <m:nor/>
              </m:rPr>
              <w:rPr>
                <w:rFonts w:ascii="Cambria Math" w:hAnsi="Cambria Math"/>
              </w:rPr>
              <m:t xml:space="preserve">Cents</m:t>
            </m:r>
          </m:num>
          <m:den>
            <m:r>
              <w:rPr>
                <w:rFonts w:ascii="Cambria Math" w:hAnsi="Cambria Math"/>
              </w:rPr>
              <m:t xml:space="preserve">100</m:t>
            </m:r>
          </m:den>
        </m:f>
      </m:oMath>
      <w:r>
        <w:rPr/>
        <w:t>) and higher product weight. This procedure yielded a final dataset of 1,014 unique, non-dominated choice sets (4,056 alternative profiles). Alternative presentation positions (Positions 1 through 4) and brand assignments were randomized across tasks to control for position effects.</w:t>
      </w:r>
      <w:bookmarkEnd w:id="111"/>
    </w:p>
    <w:p>
      <w:pPr>
        <w:pStyle w:val="Heading2"/>
        <w:rPr/>
      </w:pPr>
      <w:bookmarkStart w:id="112" w:name="design-balance-and-randomization-checks"/>
      <w:r>
        <w:rPr/>
        <w:t>Design balance and randomization checks</w:t>
      </w:r>
    </w:p>
    <w:p>
      <w:pPr>
        <w:pStyle w:val="FirstParagraph"/>
        <w:rPr/>
      </w:pPr>
      <w:r>
        <w:rPr/>
        <w:t>To confirm that the 1,014 choice sets provided orthogonal attribute variation, we evaluated design balance across the 4,056 alternative profiles. The presentation of brands across display positions was independent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r>
          <w:rPr>
            <w:rFonts w:ascii="Cambria Math" w:hAnsi="Cambria Math"/>
          </w:rPr>
          <m:t xml:space="preserve">(</m:t>
        </m:r>
        <m:r>
          <w:rPr>
            <w:rFonts w:ascii="Cambria Math" w:hAnsi="Cambria Math"/>
          </w:rPr>
          <m:t xml:space="preserve">9</m:t>
        </m:r>
        <m:r>
          <w:rPr>
            <w:rFonts w:ascii="Cambria Math" w:hAnsi="Cambria Math"/>
          </w:rPr>
          <m:t xml:space="preserve">)</m:t>
        </m:r>
        <m:r>
          <w:rPr>
            <w:rFonts w:ascii="Cambria Math" w:hAnsi="Cambria Math"/>
          </w:rPr>
          <m:t xml:space="preserve">=</m:t>
        </m:r>
        <m:r>
          <w:rPr>
            <w:rFonts w:ascii="Cambria Math" w:hAnsi="Cambria Math"/>
          </w:rPr>
          <m:t xml:space="preserve">9.21</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.418</m:t>
        </m:r>
      </m:oMath>
      <w:r>
        <w:rPr/>
        <w:t>), confirming that brand equity estimates are not confounded by presentation order. Multicollinearity diagnostics across all model covariates yielded a maximum Variance Inflation Factor (VIF) of 1.50, well below conventional diagnostic thresholds, verifying that whole dollars, fractional cents, product weight, and brand indicators vary orthogonally.</w:t>
      </w:r>
      <w:bookmarkEnd w:id="112"/>
    </w:p>
    <w:p>
      <w:pPr>
        <w:pStyle w:val="Heading2"/>
        <w:rPr/>
      </w:pPr>
      <w:r>
        <w:rPr/>
        <w:t>Delegating prompt and structured output schema</w:t>
      </w:r>
    </w:p>
    <w:p>
      <w:pPr>
        <w:pStyle w:val="FirstParagraph"/>
        <w:rPr/>
      </w:pPr>
      <w:r>
        <w:rPr/>
        <w:t>Each LLM was queried independently across all 1,014 choice sets using official provider client libraries. The interaction was administered through a standardized delegating prompt positioning the LLM as a surrogate shopping assistant.</w:t>
      </w:r>
    </w:p>
    <w:p>
      <w:pPr>
        <w:pStyle w:val="BodyText"/>
        <w:rPr/>
      </w:pPr>
      <w:r>
        <w:rPr/>
        <w:t xml:space="preserve">The prompt template and option formatting presented to the LLMs are shown in </w:t>
      </w:r>
      <w:hyperlink w:anchor="apptbl-s1a-prompt-template">
        <w:r>
          <w:rPr>
            <w:rStyle w:val="Hyperlink"/>
          </w:rPr>
          <w:t>Table W2</w:t>
        </w:r>
      </w:hyperlink>
      <w:r>
        <w:rPr/>
        <w:t>.</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W2: Delegating prompt template for Study 1 Baseline</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4571"/>
              <w:gridCol w:w="4573"/>
            </w:tblGrid>
            <w:tr>
              <w:trPr>
                <w:tblHeader w:val="true"/>
              </w:trPr>
              <w:tc>
                <w:tcPr>
                  <w:tcW w:w="4571" w:type="dxa"/>
                  <w:tcBorders/>
                  <w:vAlign w:val="center"/>
                </w:tcPr>
                <w:p>
                  <w:pPr>
                    <w:pStyle w:val="Compact"/>
                    <w:spacing w:before="36" w:after="36"/>
                    <w:rPr>
                      <w:b w:val="false"/>
                    </w:rPr>
                  </w:pPr>
                  <w:r>
                    <w:rPr>
                      <w:b w:val="false"/>
                    </w:rPr>
                  </w:r>
                </w:p>
              </w:tc>
              <w:tc>
                <w:tcPr>
                  <w:tcW w:w="4573" w:type="dxa"/>
                  <w:tcBorders/>
                  <w:vAlign w:val="center"/>
                </w:tcPr>
                <w:p>
                  <w:pPr>
                    <w:pStyle w:val="Compact"/>
                    <w:spacing w:before="36" w:after="36"/>
                    <w:jc w:val="center"/>
                    <w:rPr>
                      <w:b w:val="false"/>
                    </w:rPr>
                  </w:pPr>
                  <w:r>
                    <w:rPr>
                      <w:b w:val="false"/>
                    </w:rPr>
                    <w:t>Prompt template</w:t>
                  </w:r>
                </w:p>
              </w:tc>
            </w:tr>
            <w:tr>
              <w:trPr/>
              <w:tc>
                <w:tcPr>
                  <w:tcW w:w="4571" w:type="dxa"/>
                  <w:tcBorders>
                    <w:top w:val="nil"/>
                    <w:bottom w:val="nil"/>
                  </w:tcBorders>
                  <w:vAlign w:val="center"/>
                </w:tcPr>
                <w:p>
                  <w:pPr>
                    <w:pStyle w:val="Compact"/>
                    <w:spacing w:before="36" w:after="36"/>
                    <w:jc w:val="center"/>
                    <w:rPr/>
                  </w:pPr>
                  <w:r>
                    <w:rPr>
                      <w:b/>
                      <w:bCs/>
                    </w:rPr>
                    <w:t>System prompt</w:t>
                  </w:r>
                </w:p>
              </w:tc>
              <w:tc>
                <w:tcPr>
                  <w:tcW w:w="4573" w:type="dxa"/>
                  <w:tcBorders>
                    <w:top w:val="nil"/>
                    <w:bottom w:val="nil"/>
                  </w:tcBorders>
                  <w:vAlign w:val="center"/>
                </w:tcPr>
                <w:p>
                  <w:pPr>
                    <w:pStyle w:val="Compact"/>
                    <w:spacing w:before="36" w:after="36"/>
                    <w:jc w:val="center"/>
                    <w:rPr/>
                  </w:pPr>
                  <w:r>
                    <w:rPr/>
                    <w:t>You are a helpful shopping assistant.Your goal is to choose an alternative among the options given.Only output the digit of your final choice. Do not explain your answer or provide any additional text.</w:t>
                  </w:r>
                </w:p>
              </w:tc>
            </w:tr>
            <w:tr>
              <w:trPr/>
              <w:tc>
                <w:tcPr>
                  <w:tcW w:w="4571" w:type="dxa"/>
                  <w:tcBorders>
                    <w:top w:val="nil"/>
                  </w:tcBorders>
                  <w:vAlign w:val="center"/>
                </w:tcPr>
                <w:p>
                  <w:pPr>
                    <w:pStyle w:val="Compact"/>
                    <w:spacing w:before="36" w:after="36"/>
                    <w:jc w:val="center"/>
                    <w:rPr/>
                  </w:pPr>
                  <w:r>
                    <w:rPr>
                      <w:b/>
                      <w:bCs/>
                    </w:rPr>
                    <w:t>User prompt template</w:t>
                  </w:r>
                </w:p>
              </w:tc>
              <w:tc>
                <w:tcPr>
                  <w:tcW w:w="4573" w:type="dxa"/>
                  <w:tcBorders>
                    <w:top w:val="nil"/>
                  </w:tcBorders>
                  <w:vAlign w:val="center"/>
                </w:tcPr>
                <w:p>
                  <w:pPr>
                    <w:pStyle w:val="Compact"/>
                    <w:spacing w:before="36" w:after="36"/>
                    <w:jc w:val="center"/>
                    <w:rPr/>
                  </w:pPr>
                  <w:r>
                    <w:rPr/>
                    <w:t>You are buying ground coffee. Which option would you choose?Option 1: {brand_1}; Weight: {weight_1}oz; Price: ${price_1}Option 2: {brand_2}; Weight: {weight_2}oz; Price: ${price_2}Option 3: {brand_3}; Weight: {weight_3}oz; Price: ${price_3}Option 4: {brand_4}; Weight: {weight_4}oz; Price: ${price_4}</w:t>
                  </w:r>
                  <w:bookmarkStart w:id="113" w:name="apptbl-s1a-prompt-template"/>
                  <w:bookmarkEnd w:id="113"/>
                </w:p>
              </w:tc>
            </w:tr>
          </w:tbl>
          <w:p>
            <w:pPr>
              <w:pStyle w:val="Normal"/>
              <w:spacing w:before="0" w:after="200"/>
              <w:jc w:val="left"/>
              <w:rPr>
                <w:sz w:val="24"/>
              </w:rPr>
            </w:pPr>
            <w:r>
              <w:rPr>
                <w:sz w:val="24"/>
              </w:rPr>
            </w:r>
          </w:p>
        </w:tc>
      </w:tr>
    </w:tbl>
    <w:p>
      <w:pPr>
        <w:pStyle w:val="BodyText"/>
        <w:rPr/>
      </w:pPr>
      <w:r>
        <w:rPr>
          <w:i/>
          <w:iCs/>
        </w:rPr>
        <w:t>Note.</w:t>
      </w:r>
      <w:r>
        <w:rPr/>
        <w:t xml:space="preserve"> Placeholders </w:t>
      </w:r>
      <w:r>
        <w:rPr>
          <w:i/>
          <w:iCs/>
        </w:rPr>
        <w:t>{brand_i}</w:t>
      </w:r>
      <w:r>
        <w:rPr/>
        <w:t xml:space="preserve">, </w:t>
      </w:r>
      <w:r>
        <w:rPr>
          <w:i/>
          <w:iCs/>
        </w:rPr>
        <w:t>{weight_i}</w:t>
      </w:r>
      <w:r>
        <w:rPr/>
        <w:t xml:space="preserve">, and </w:t>
      </w:r>
      <w:r>
        <w:rPr>
          <w:i/>
          <w:iCs/>
        </w:rPr>
        <w:t>{price_i}</w:t>
      </w:r>
      <w:r>
        <w:rPr/>
        <w:t xml:space="preserve"> were populated dynamically across the 1,014 choice sets. Prices were presented in standard retail format (e.g., </w:t>
      </w:r>
      <w:r>
        <w:rPr>
          <w:i/>
          <w:iCs/>
        </w:rPr>
        <w:t>Price: $12.49</w:t>
      </w:r>
      <w:r>
        <w:rPr/>
        <w:t>). Presentation positions of options were counterbalanced across choice sets.</w:t>
      </w:r>
    </w:p>
    <w:p>
      <w:pPr>
        <w:pStyle w:val="BodyText"/>
        <w:rPr/>
      </w:pPr>
      <w:r>
        <w:rPr/>
        <w:t xml:space="preserve">To ensure deterministic parsing across providers, LLM responses were strictly constrained using provider-native structured outputs (Pydantic schema validation) to emit valid JSON matching the schema in </w:t>
      </w:r>
      <w:hyperlink w:anchor="apptbl-s1a-json-schema">
        <w:r>
          <w:rPr>
            <w:rStyle w:val="Hyperlink"/>
          </w:rPr>
          <w:t>Table W3</w:t>
        </w:r>
      </w:hyperlink>
      <w:r>
        <w:rPr/>
        <w:t>.</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W3: Structured JSON output schema for Study 1 Baseline</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3048"/>
              <w:gridCol w:w="3048"/>
              <w:gridCol w:w="3048"/>
            </w:tblGrid>
            <w:tr>
              <w:trPr>
                <w:tblHeader w:val="true"/>
              </w:trPr>
              <w:tc>
                <w:tcPr>
                  <w:tcW w:w="3048" w:type="dxa"/>
                  <w:tcBorders/>
                  <w:vAlign w:val="center"/>
                </w:tcPr>
                <w:p>
                  <w:pPr>
                    <w:pStyle w:val="Compact"/>
                    <w:spacing w:before="36" w:after="36"/>
                    <w:jc w:val="center"/>
                    <w:rPr>
                      <w:b w:val="false"/>
                    </w:rPr>
                  </w:pPr>
                  <w:r>
                    <w:rPr>
                      <w:b w:val="false"/>
                    </w:rPr>
                    <w:t>Field</w:t>
                  </w:r>
                </w:p>
              </w:tc>
              <w:tc>
                <w:tcPr>
                  <w:tcW w:w="3048" w:type="dxa"/>
                  <w:tcBorders/>
                  <w:vAlign w:val="center"/>
                </w:tcPr>
                <w:p>
                  <w:pPr>
                    <w:pStyle w:val="Compact"/>
                    <w:spacing w:before="36" w:after="36"/>
                    <w:jc w:val="center"/>
                    <w:rPr>
                      <w:b w:val="false"/>
                    </w:rPr>
                  </w:pPr>
                  <w:r>
                    <w:rPr>
                      <w:b w:val="false"/>
                    </w:rPr>
                    <w:t>Type</w:t>
                  </w:r>
                </w:p>
              </w:tc>
              <w:tc>
                <w:tcPr>
                  <w:tcW w:w="3048" w:type="dxa"/>
                  <w:tcBorders/>
                  <w:vAlign w:val="center"/>
                </w:tcPr>
                <w:p>
                  <w:pPr>
                    <w:pStyle w:val="Compact"/>
                    <w:spacing w:before="36" w:after="36"/>
                    <w:jc w:val="center"/>
                    <w:rPr>
                      <w:b w:val="false"/>
                    </w:rPr>
                  </w:pPr>
                  <w:r>
                    <w:rPr>
                      <w:b w:val="false"/>
                    </w:rPr>
                    <w:t>Description</w:t>
                  </w:r>
                </w:p>
              </w:tc>
            </w:tr>
            <w:tr>
              <w:trPr/>
              <w:tc>
                <w:tcPr>
                  <w:tcW w:w="3048" w:type="dxa"/>
                  <w:tcBorders>
                    <w:top w:val="nil"/>
                  </w:tcBorders>
                  <w:vAlign w:val="center"/>
                </w:tcPr>
                <w:p>
                  <w:pPr>
                    <w:pStyle w:val="Compact"/>
                    <w:spacing w:before="36" w:after="36"/>
                    <w:jc w:val="center"/>
                    <w:rPr/>
                  </w:pPr>
                  <w:r>
                    <w:rPr>
                      <w:i/>
                      <w:iCs/>
                    </w:rPr>
                    <w:t>choice</w:t>
                  </w:r>
                </w:p>
              </w:tc>
              <w:tc>
                <w:tcPr>
                  <w:tcW w:w="3048" w:type="dxa"/>
                  <w:tcBorders>
                    <w:top w:val="nil"/>
                  </w:tcBorders>
                  <w:vAlign w:val="center"/>
                </w:tcPr>
                <w:p>
                  <w:pPr>
                    <w:pStyle w:val="Compact"/>
                    <w:spacing w:before="36" w:after="36"/>
                    <w:jc w:val="center"/>
                    <w:rPr/>
                  </w:pPr>
                  <w:r>
                    <w:rPr>
                      <w:i/>
                      <w:iCs/>
                    </w:rPr>
                    <w:t>integer</w:t>
                  </w:r>
                </w:p>
              </w:tc>
              <w:tc>
                <w:tcPr>
                  <w:tcW w:w="3048" w:type="dxa"/>
                  <w:tcBorders>
                    <w:top w:val="nil"/>
                  </w:tcBorders>
                  <w:vAlign w:val="center"/>
                </w:tcPr>
                <w:p>
                  <w:pPr>
                    <w:pStyle w:val="Compact"/>
                    <w:spacing w:before="36" w:after="36"/>
                    <w:jc w:val="center"/>
                    <w:rPr/>
                  </w:pPr>
                  <w:r>
                    <w:rPr/>
                    <w:t>The digit of the option of your choice (</w:t>
                  </w:r>
                  <w:r>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3</m:t>
                    </m:r>
                    <m:r>
                      <w:rPr>
                        <w:rFonts w:ascii="Cambria Math" w:hAnsi="Cambria Math"/>
                      </w:rPr>
                      <m:t xml:space="preserve">,</m:t>
                    </m:r>
                    <m:r>
                      <m:rPr>
                        <m:lit/>
                        <m:nor/>
                      </m:rPr>
                      <w:rPr>
                        <w:rFonts w:ascii="Cambria Math" w:hAnsi="Cambria Math"/>
                      </w:rPr>
                      <m:t xml:space="preserve">or</m:t>
                    </m:r>
                    <m:r>
                      <w:rPr>
                        <w:rFonts w:ascii="Cambria Math" w:hAnsi="Cambria Math"/>
                      </w:rPr>
                      <m:t xml:space="preserve">4</m:t>
                    </m:r>
                  </m:oMath>
                  <w:r>
                    <w:rPr/>
                    <w:t>).</w:t>
                  </w:r>
                  <w:bookmarkStart w:id="114" w:name="apptbl-s1a-json-schema"/>
                  <w:bookmarkEnd w:id="114"/>
                </w:p>
              </w:tc>
            </w:tr>
          </w:tbl>
          <w:p>
            <w:pPr>
              <w:pStyle w:val="Normal"/>
              <w:spacing w:before="0" w:after="200"/>
              <w:jc w:val="left"/>
              <w:rPr>
                <w:sz w:val="24"/>
              </w:rPr>
            </w:pPr>
            <w:r>
              <w:rPr>
                <w:sz w:val="24"/>
              </w:rPr>
            </w:r>
            <w:bookmarkStart w:id="115" w:name="Xcc29307e4e578556219d91235d6047b28a9aa27"/>
            <w:bookmarkEnd w:id="115"/>
          </w:p>
        </w:tc>
      </w:tr>
    </w:tbl>
    <w:p>
      <w:pPr>
        <w:pStyle w:val="Heading2"/>
        <w:rPr/>
      </w:pPr>
      <w:r>
        <w:rPr/>
        <w:t>Econometric model and utility specification</w:t>
      </w:r>
    </w:p>
    <w:p>
      <w:pPr>
        <w:pStyle w:val="FirstParagraph"/>
        <w:rPr/>
      </w:pPr>
      <w:r>
        <w:rPr/>
        <w:t xml:space="preserve">To analyze discrete choices under full information, we estimate McFadden’s conditional logit model independently for each of the eight evaluated LLMs (McFadden 1972). Let </w:t>
      </w:r>
      <w:r>
        <w:rPr/>
      </w:r>
      <m:oMath xmlns:m="http://schemas.openxmlformats.org/officeDocument/2006/math">
        <m:sSub>
          <m:e>
            <m:r>
              <w:rPr>
                <w:rFonts w:ascii="Cambria Math" w:hAnsi="Cambria Math"/>
              </w:rPr>
              <m:t xml:space="preserve">Y</m:t>
            </m:r>
          </m:e>
          <m:sub>
            <m:r>
              <w:rPr>
                <w:rFonts w:ascii="Cambria Math" w:hAnsi="Cambria Math"/>
              </w:rPr>
              <m:t xml:space="preserve">i</m:t>
            </m:r>
            <m:r>
              <w:rPr>
                <w:rFonts w:ascii="Cambria Math" w:hAnsi="Cambria Math"/>
              </w:rPr>
              <m:t xml:space="preserve">t</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4</m:t>
        </m:r>
        <m:r>
          <w:rPr>
            <w:rFonts w:ascii="Cambria Math" w:hAnsi="Cambria Math"/>
          </w:rPr>
          <m:t xml:space="preserve">}</m:t>
        </m:r>
      </m:oMath>
      <w:r>
        <w:rPr/>
        <w:t xml:space="preserve"> denote the discrete option selected by the LLM in choice task </w:t>
      </w:r>
      <w:r>
        <w:rPr/>
      </w:r>
      <m:oMath xmlns:m="http://schemas.openxmlformats.org/officeDocument/2006/math">
        <m:r>
          <w:rPr>
            <w:rFonts w:ascii="Cambria Math" w:hAnsi="Cambria Math"/>
          </w:rPr>
          <m:t xml:space="preserve">t</m:t>
        </m:r>
      </m:oMath>
      <w:r>
        <w:rPr/>
        <w:t xml:space="preserve">. The probability that option </w:t>
      </w:r>
      <w:r>
        <w:rPr/>
      </w:r>
      <m:oMath xmlns:m="http://schemas.openxmlformats.org/officeDocument/2006/math">
        <m:r>
          <w:rPr>
            <w:rFonts w:ascii="Cambria Math" w:hAnsi="Cambria Math"/>
          </w:rPr>
          <m:t xml:space="preserve">j</m:t>
        </m:r>
      </m:oMath>
      <w:r>
        <w:rPr/>
        <w:t xml:space="preserve"> is chosen from choice set </w:t>
      </w:r>
      <w:r>
        <w:rPr/>
      </w:r>
      <m:oMath xmlns:m="http://schemas.openxmlformats.org/officeDocument/2006/math">
        <m:r>
          <w:rPr>
            <w:rFonts w:ascii="Cambria Math" w:hAnsi="Cambria Math"/>
          </w:rPr>
          <m:t xml:space="preserve">t</m:t>
        </m:r>
      </m:oMath>
      <w:r>
        <w:rPr/>
        <w:t xml:space="preserve"> is:</w:t>
      </w:r>
    </w:p>
    <w:p>
      <w:pPr>
        <w:pStyle w:val="BodyText"/>
        <w:jc w:val="center"/>
        <w:rPr/>
      </w:pPr>
      <w:r>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m:t>
          </m:r>
          <m:sSub>
            <m:e>
              <m:r>
                <w:rPr>
                  <w:rFonts w:ascii="Cambria Math" w:hAnsi="Cambria Math"/>
                </w:rPr>
                <m:t xml:space="preserve">Y</m:t>
              </m:r>
            </m:e>
            <m:sub>
              <m:r>
                <w:rPr>
                  <w:rFonts w:ascii="Cambria Math" w:hAnsi="Cambria Math"/>
                </w:rPr>
                <m:t xml:space="preserve">i</m:t>
              </m:r>
              <m:r>
                <w:rPr>
                  <w:rFonts w:ascii="Cambria Math" w:hAnsi="Cambria Math"/>
                </w:rPr>
                <m:t xml:space="preserve">t</m:t>
              </m:r>
            </m:sub>
          </m:sSub>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m:t>
          </m:r>
          <m:f>
            <m:num>
              <m:r>
                <w:rPr>
                  <w:rFonts w:ascii="Cambria Math" w:hAnsi="Cambria Math"/>
                </w:rPr>
                <m:t xml:space="preserve">exp</m:t>
              </m:r>
              <m:r>
                <w:rPr>
                  <w:rFonts w:ascii="Cambria Math" w:hAnsi="Cambria Math"/>
                </w:rPr>
                <m:t xml:space="preserve">(</m:t>
              </m:r>
              <m:sSub>
                <m:e>
                  <m:r>
                    <w:rPr>
                      <w:rFonts w:ascii="Cambria Math" w:hAnsi="Cambria Math"/>
                    </w:rPr>
                    <m:t xml:space="preserve">V</m:t>
                  </m:r>
                </m:e>
                <m:sub>
                  <m:r>
                    <w:rPr>
                      <w:rFonts w:ascii="Cambria Math" w:hAnsi="Cambria Math"/>
                    </w:rPr>
                    <m:t xml:space="preserve">j</m:t>
                  </m:r>
                  <m:r>
                    <w:rPr>
                      <w:rFonts w:ascii="Cambria Math" w:hAnsi="Cambria Math"/>
                    </w:rPr>
                    <m:t xml:space="preserve">t</m:t>
                  </m:r>
                </m:sub>
              </m:sSub>
              <m:r>
                <w:rPr>
                  <w:rFonts w:ascii="Cambria Math" w:hAnsi="Cambria Math"/>
                </w:rPr>
                <m:t xml:space="preserve">)</m:t>
              </m:r>
            </m:num>
            <m:den>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4</m:t>
                  </m:r>
                </m:sup>
                <m:e>
                  <m:r>
                    <w:rPr>
                      <w:rFonts w:ascii="Cambria Math" w:hAnsi="Cambria Math"/>
                    </w:rPr>
                    <m:t xml:space="preserve">exp</m:t>
                  </m:r>
                </m:e>
              </m:nary>
              <m:r>
                <w:rPr>
                  <w:rFonts w:ascii="Cambria Math" w:hAnsi="Cambria Math"/>
                </w:rPr>
                <m:t xml:space="preserve">(</m:t>
              </m:r>
              <m:sSub>
                <m:e>
                  <m:r>
                    <w:rPr>
                      <w:rFonts w:ascii="Cambria Math" w:hAnsi="Cambria Math"/>
                    </w:rPr>
                    <m:t xml:space="preserve">V</m:t>
                  </m:r>
                </m:e>
                <m:sub>
                  <m:r>
                    <w:rPr>
                      <w:rFonts w:ascii="Cambria Math" w:hAnsi="Cambria Math"/>
                    </w:rPr>
                    <m:t xml:space="preserve">k</m:t>
                  </m:r>
                  <m:r>
                    <w:rPr>
                      <w:rFonts w:ascii="Cambria Math" w:hAnsi="Cambria Math"/>
                    </w:rPr>
                    <m:t xml:space="preserve">t</m:t>
                  </m:r>
                </m:sub>
              </m:sSub>
              <m:r>
                <w:rPr>
                  <w:rFonts w:ascii="Cambria Math" w:hAnsi="Cambria Math"/>
                </w:rPr>
                <m:t xml:space="preserve">)</m:t>
              </m:r>
            </m:den>
          </m:f>
        </m:oMath>
      </m:oMathPara>
    </w:p>
    <w:p>
      <w:pPr>
        <w:pStyle w:val="FirstParagraph"/>
        <w:rPr/>
      </w:pPr>
      <w:r>
        <w:rPr/>
        <w:t>The deterministic utility component (</w:t>
      </w:r>
      <w:r>
        <w:rPr/>
      </w:r>
      <m:oMath xmlns:m="http://schemas.openxmlformats.org/officeDocument/2006/math">
        <m:sSub>
          <m:e>
            <m:r>
              <w:rPr>
                <w:rFonts w:ascii="Cambria Math" w:hAnsi="Cambria Math"/>
              </w:rPr>
              <m:t xml:space="preserve">V</m:t>
            </m:r>
          </m:e>
          <m:sub>
            <m:r>
              <w:rPr>
                <w:rFonts w:ascii="Cambria Math" w:hAnsi="Cambria Math"/>
              </w:rPr>
              <m:t xml:space="preserve">j</m:t>
            </m:r>
            <m:r>
              <w:rPr>
                <w:rFonts w:ascii="Cambria Math" w:hAnsi="Cambria Math"/>
              </w:rPr>
              <m:t xml:space="preserve">t</m:t>
            </m:r>
          </m:sub>
        </m:sSub>
      </m:oMath>
      <w:r>
        <w:rPr/>
        <w:t>) is parameterized as:</w:t>
      </w:r>
    </w:p>
    <w:p>
      <w:pPr>
        <w:pStyle w:val="BodyText"/>
        <w:jc w:val="center"/>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j</m:t>
              </m:r>
              <m:r>
                <w:rPr>
                  <w:rFonts w:ascii="Cambria Math" w:hAnsi="Cambria Math"/>
                </w:rPr>
                <m:t xml:space="preserve">t</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W</m:t>
              </m:r>
            </m:sub>
          </m:sSub>
          <m:sSub>
            <m:e>
              <m:r>
                <m:rPr>
                  <m:lit/>
                  <m:nor/>
                </m:rPr>
                <w:rPr>
                  <w:rFonts w:ascii="Cambria Math" w:hAnsi="Cambria Math"/>
                </w:rPr>
                <m:t xml:space="preserve">Weight</m:t>
              </m:r>
            </m:e>
            <m:sub>
              <m:r>
                <w:rPr>
                  <w:rFonts w:ascii="Cambria Math" w:hAnsi="Cambria Math"/>
                </w:rPr>
                <m:t xml:space="preserve">j</m:t>
              </m:r>
              <m:r>
                <w:rPr>
                  <w:rFonts w:ascii="Cambria Math" w:hAnsi="Cambria Math"/>
                </w:rPr>
                <m:t xml:space="preserve">t</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D</m:t>
              </m:r>
            </m:sub>
          </m:sSub>
          <m:sSub>
            <m:e>
              <m:r>
                <m:rPr>
                  <m:lit/>
                  <m:nor/>
                </m:rPr>
                <w:rPr>
                  <w:rFonts w:ascii="Cambria Math" w:hAnsi="Cambria Math"/>
                </w:rPr>
                <m:t xml:space="preserve">Dollars</m:t>
              </m:r>
            </m:e>
            <m:sub>
              <m:r>
                <w:rPr>
                  <w:rFonts w:ascii="Cambria Math" w:hAnsi="Cambria Math"/>
                </w:rPr>
                <m:t xml:space="preserve">j</m:t>
              </m:r>
              <m:r>
                <w:rPr>
                  <w:rFonts w:ascii="Cambria Math" w:hAnsi="Cambria Math"/>
                </w:rPr>
                <m:t xml:space="preserve">t</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C</m:t>
              </m:r>
            </m:sub>
          </m:sSub>
          <m:sSub>
            <m:e>
              <m:r>
                <m:rPr>
                  <m:lit/>
                  <m:nor/>
                </m:rPr>
                <w:rPr>
                  <w:rFonts w:ascii="Cambria Math" w:hAnsi="Cambria Math"/>
                </w:rPr>
                <m:t xml:space="preserve">Cents($)</m:t>
              </m:r>
            </m:e>
            <m:sub>
              <m:r>
                <w:rPr>
                  <w:rFonts w:ascii="Cambria Math" w:hAnsi="Cambria Math"/>
                </w:rPr>
                <m:t xml:space="preserve">j</m:t>
              </m:r>
              <m:r>
                <w:rPr>
                  <w:rFonts w:ascii="Cambria Math" w:hAnsi="Cambria Math"/>
                </w:rPr>
                <m:t xml:space="preserve">t</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m:t>
              </m:r>
            </m:sup>
          </m:sSup>
          <m:sSub>
            <m:e>
              <m:r>
                <w:rPr>
                  <w:rFonts w:ascii="Cambria Math" w:hAnsi="Cambria Math"/>
                </w:rPr>
                <m:t xml:space="preserve">B</m:t>
              </m:r>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d</m:t>
              </m:r>
            </m:e>
            <m:sub>
              <m:r>
                <w:rPr>
                  <w:rFonts w:ascii="Cambria Math" w:hAnsi="Cambria Math"/>
                </w:rPr>
                <m:t xml:space="preserve">j</m:t>
              </m:r>
              <m:r>
                <w:rPr>
                  <w:rFonts w:ascii="Cambria Math" w:hAnsi="Cambria Math"/>
                </w:rPr>
                <m:t xml:space="preserve">t</m:t>
              </m:r>
            </m:sub>
          </m:sSub>
          <m:r>
            <w:rPr>
              <w:rFonts w:ascii="Cambria Math" w:hAnsi="Cambria Math"/>
            </w:rPr>
            <m:t xml:space="preserve">+</m:t>
          </m:r>
          <m:sSup>
            <m:e>
              <m:r>
                <w:rPr>
                  <w:rFonts w:ascii="Cambria Math" w:hAnsi="Cambria Math"/>
                </w:rPr>
                <m:t xml:space="preserve">γ</m:t>
              </m:r>
            </m:e>
            <m:sup>
              <m:r>
                <w:rPr>
                  <w:rFonts w:ascii="Cambria Math" w:hAnsi="Cambria Math"/>
                </w:rPr>
                <m:t xml:space="preserve">′</m:t>
              </m:r>
            </m:sup>
          </m:sSup>
          <m:sSub>
            <m:e>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i</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e>
            <m:sub>
              <m:r>
                <w:rPr>
                  <w:rFonts w:ascii="Cambria Math" w:hAnsi="Cambria Math"/>
                </w:rPr>
                <m:t xml:space="preserve">j</m:t>
              </m:r>
              <m:r>
                <w:rPr>
                  <w:rFonts w:ascii="Cambria Math" w:hAnsi="Cambria Math"/>
                </w:rPr>
                <m:t xml:space="preserve">t</m:t>
              </m:r>
            </m:sub>
          </m:sSub>
        </m:oMath>
      </m:oMathPara>
    </w:p>
    <w:p>
      <w:pPr>
        <w:pStyle w:val="FirstParagraph"/>
        <w:rPr/>
      </w:pPr>
      <w:r>
        <w:rPr/>
        <w:t xml:space="preserve">In this specification, </w:t>
      </w:r>
      <w:r>
        <w:rPr/>
      </w:r>
      <m:oMath xmlns:m="http://schemas.openxmlformats.org/officeDocument/2006/math">
        <m:sSub>
          <m:e>
            <m:r>
              <m:rPr>
                <m:lit/>
                <m:nor/>
              </m:rPr>
              <w:rPr>
                <w:rFonts w:ascii="Cambria Math" w:hAnsi="Cambria Math"/>
              </w:rPr>
              <m:t xml:space="preserve">Weight</m:t>
            </m:r>
          </m:e>
          <m:sub>
            <m:r>
              <w:rPr>
                <w:rFonts w:ascii="Cambria Math" w:hAnsi="Cambria Math"/>
              </w:rPr>
              <m:t xml:space="preserve">j</m:t>
            </m:r>
            <m:r>
              <w:rPr>
                <w:rFonts w:ascii="Cambria Math" w:hAnsi="Cambria Math"/>
              </w:rPr>
              <m:t xml:space="preserve">t</m:t>
            </m:r>
          </m:sub>
        </m:sSub>
      </m:oMath>
      <w:r>
        <w:rPr/>
        <w:t xml:space="preserve"> is the physical weight of the coffee product in ounces. To place whole dollars and fractional cents on an identical dollar-denominated scale, </w:t>
      </w:r>
      <w:r>
        <w:rPr/>
      </w:r>
      <m:oMath xmlns:m="http://schemas.openxmlformats.org/officeDocument/2006/math">
        <m:sSub>
          <m:e>
            <m:r>
              <m:rPr>
                <m:lit/>
                <m:nor/>
              </m:rPr>
              <w:rPr>
                <w:rFonts w:ascii="Cambria Math" w:hAnsi="Cambria Math"/>
              </w:rPr>
              <m:t xml:space="preserve">Dollars</m:t>
            </m:r>
          </m:e>
          <m:sub>
            <m:r>
              <w:rPr>
                <w:rFonts w:ascii="Cambria Math" w:hAnsi="Cambria Math"/>
              </w:rPr>
              <m:t xml:space="preserve">j</m:t>
            </m:r>
            <m:r>
              <w:rPr>
                <w:rFonts w:ascii="Cambria Math" w:hAnsi="Cambria Math"/>
              </w:rPr>
              <m:t xml:space="preserve">t</m:t>
            </m:r>
          </m:sub>
        </m:sSub>
      </m:oMath>
      <w:r>
        <w:rPr/>
        <w:t xml:space="preserve"> represents the integer dollar component of the price (</w:t>
      </w:r>
      <w:r>
        <w:rPr/>
      </w:r>
      <m:oMath xmlns:m="http://schemas.openxmlformats.org/officeDocument/2006/math">
        <m:r>
          <w:rPr>
            <w:rFonts w:ascii="Cambria Math" w:hAnsi="Cambria Math"/>
          </w:rPr>
          <m:t xml:space="preserve">$</m:t>
        </m:r>
        <m:r>
          <w:rPr>
            <w:rFonts w:ascii="Cambria Math" w:hAnsi="Cambria Math"/>
          </w:rPr>
          <m:t xml:space="preserve">8</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20</m:t>
        </m:r>
      </m:oMath>
      <w:r>
        <w:rPr/>
        <w:t xml:space="preserve">), and </w:t>
      </w:r>
      <w:r>
        <w:rPr/>
      </w:r>
      <m:oMath xmlns:m="http://schemas.openxmlformats.org/officeDocument/2006/math">
        <m:sSub>
          <m:e>
            <m:r>
              <m:rPr>
                <m:lit/>
                <m:nor/>
              </m:rPr>
              <w:rPr>
                <w:rFonts w:ascii="Cambria Math" w:hAnsi="Cambria Math"/>
              </w:rPr>
              <m:t xml:space="preserve">Cents($)</m:t>
            </m:r>
          </m:e>
          <m:sub>
            <m:r>
              <w:rPr>
                <w:rFonts w:ascii="Cambria Math" w:hAnsi="Cambria Math"/>
              </w:rPr>
              <m:t xml:space="preserve">j</m:t>
            </m:r>
            <m:r>
              <w:rPr>
                <w:rFonts w:ascii="Cambria Math" w:hAnsi="Cambria Math"/>
              </w:rPr>
              <m:t xml:space="preserve">t</m:t>
            </m:r>
          </m:sub>
        </m:sSub>
      </m:oMath>
      <w:r>
        <w:rPr/>
        <w:t xml:space="preserve"> represents the fractional cent component converted to dollar units (</w:t>
      </w:r>
      <w:r>
        <w:rPr/>
      </w:r>
      <m:oMath xmlns:m="http://schemas.openxmlformats.org/officeDocument/2006/math">
        <m:f>
          <m:fPr>
            <m:type m:val="lin"/>
          </m:fPr>
          <m:num>
            <m:sSub>
              <m:e>
                <m:r>
                  <m:rPr>
                    <m:lit/>
                    <m:nor/>
                  </m:rPr>
                  <w:rPr>
                    <w:rFonts w:ascii="Cambria Math" w:hAnsi="Cambria Math"/>
                  </w:rPr>
                  <m:t xml:space="preserve">Cents</m:t>
                </m:r>
              </m:e>
              <m:sub>
                <m:r>
                  <w:rPr>
                    <w:rFonts w:ascii="Cambria Math" w:hAnsi="Cambria Math"/>
                  </w:rPr>
                  <m:t xml:space="preserve">j</m:t>
                </m:r>
                <m:r>
                  <w:rPr>
                    <w:rFonts w:ascii="Cambria Math" w:hAnsi="Cambria Math"/>
                  </w:rPr>
                  <m:t xml:space="preserve">t</m:t>
                </m:r>
              </m:sub>
            </m:sSub>
          </m:num>
          <m:den>
            <m:r>
              <w:rPr>
                <w:rFonts w:ascii="Cambria Math" w:hAnsi="Cambria Math"/>
              </w:rPr>
              <m:t xml:space="preserve">100</m:t>
            </m:r>
          </m:den>
        </m:f>
      </m:oMath>
      <w:r>
        <w:rPr/>
        <w:t xml:space="preserve">). Consequently, both </w:t>
      </w:r>
      <w:r>
        <w:rPr/>
      </w:r>
      <m:oMath xmlns:m="http://schemas.openxmlformats.org/officeDocument/2006/math">
        <m:sSub>
          <m:e>
            <m:r>
              <w:rPr>
                <w:rFonts w:ascii="Cambria Math" w:hAnsi="Cambria Math"/>
              </w:rPr>
              <m:t xml:space="preserve">β</m:t>
            </m:r>
          </m:e>
          <m:sub>
            <m:r>
              <w:rPr>
                <w:rFonts w:ascii="Cambria Math" w:hAnsi="Cambria Math"/>
              </w:rPr>
              <m:t xml:space="preserve">D</m:t>
            </m:r>
          </m:sub>
        </m:sSub>
      </m:oMath>
      <w:r>
        <w:rPr/>
        <w:t xml:space="preserve"> and </w:t>
      </w:r>
      <w:r>
        <w:rPr/>
      </w:r>
      <m:oMath xmlns:m="http://schemas.openxmlformats.org/officeDocument/2006/math">
        <m:sSub>
          <m:e>
            <m:r>
              <w:rPr>
                <w:rFonts w:ascii="Cambria Math" w:hAnsi="Cambria Math"/>
              </w:rPr>
              <m:t xml:space="preserve">β</m:t>
            </m:r>
          </m:e>
          <m:sub>
            <m:r>
              <w:rPr>
                <w:rFonts w:ascii="Cambria Math" w:hAnsi="Cambria Math"/>
              </w:rPr>
              <m:t xml:space="preserve">C</m:t>
            </m:r>
          </m:sub>
        </m:sSub>
      </m:oMath>
      <w:r>
        <w:rPr/>
        <w:t xml:space="preserve"> express the marginal disutility of a one-dollar increase in price. Finally, </w:t>
      </w:r>
      <w:r>
        <w:rPr/>
      </w:r>
      <m:oMath xmlns:m="http://schemas.openxmlformats.org/officeDocument/2006/math">
        <m:sSub>
          <m:e>
            <m:r>
              <w:rPr>
                <w:rFonts w:ascii="Cambria Math" w:hAnsi="Cambria Math"/>
              </w:rPr>
              <m:t xml:space="preserve">B</m:t>
            </m:r>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d</m:t>
            </m:r>
          </m:e>
          <m:sub>
            <m:r>
              <w:rPr>
                <w:rFonts w:ascii="Cambria Math" w:hAnsi="Cambria Math"/>
              </w:rPr>
              <m:t xml:space="preserve">j</m:t>
            </m:r>
            <m:r>
              <w:rPr>
                <w:rFonts w:ascii="Cambria Math" w:hAnsi="Cambria Math"/>
              </w:rPr>
              <m:t xml:space="preserve">t</m:t>
            </m:r>
          </m:sub>
        </m:sSub>
      </m:oMath>
      <w:r>
        <w:rPr/>
        <w:t xml:space="preserve"> is a vector of indicator variables capturing brand equity for </w:t>
      </w:r>
      <w:r>
        <w:rPr>
          <w:i/>
          <w:iCs/>
        </w:rPr>
        <w:t>Maxwell House, McCafé</w:t>
      </w:r>
      <w:r>
        <w:rPr/>
        <w:t xml:space="preserve">, and </w:t>
      </w:r>
      <w:r>
        <w:rPr>
          <w:i/>
          <w:iCs/>
        </w:rPr>
        <w:t>Starbucks</w:t>
      </w:r>
      <w:r>
        <w:rPr/>
        <w:t xml:space="preserve"> relative to </w:t>
      </w:r>
      <w:r>
        <w:rPr>
          <w:i/>
          <w:iCs/>
        </w:rPr>
        <w:t>Folgers</w:t>
      </w:r>
      <w:r>
        <w:rPr/>
        <w:t xml:space="preserve">, and </w:t>
      </w:r>
      <w:r>
        <w:rPr/>
      </w:r>
      <m:oMath xmlns:m="http://schemas.openxmlformats.org/officeDocument/2006/math">
        <m:sSub>
          <m:e>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i</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e>
          <m:sub>
            <m:r>
              <w:rPr>
                <w:rFonts w:ascii="Cambria Math" w:hAnsi="Cambria Math"/>
              </w:rPr>
              <m:t xml:space="preserve">j</m:t>
            </m:r>
            <m:r>
              <w:rPr>
                <w:rFonts w:ascii="Cambria Math" w:hAnsi="Cambria Math"/>
              </w:rPr>
              <m:t xml:space="preserve">t</m:t>
            </m:r>
          </m:sub>
        </m:sSub>
      </m:oMath>
      <w:r>
        <w:rPr/>
        <w:t xml:space="preserve"> is a vector of indicator variables capturing presentation position effects for Positions 2, 3, and 4 relative to Position 1.</w:t>
      </w:r>
    </w:p>
    <w:p>
      <w:pPr>
        <w:pStyle w:val="Heading3"/>
        <w:rPr/>
      </w:pPr>
      <w:bookmarkStart w:id="116" w:name="test-of-cent-vs.-dollar-sensitivity"/>
      <w:r>
        <w:rPr/>
        <w:t>Test of cent vs. dollar sensitivity</w:t>
      </w:r>
    </w:p>
    <w:p>
      <w:pPr>
        <w:pStyle w:val="FirstParagraph"/>
        <w:rPr/>
      </w:pPr>
      <w:r>
        <w:rPr/>
        <w:t>Under normative utility maximization, a consumer must be equally sensitive to a one-dollar increase in whole dollars and a one-dollar increase composed of 100 fractional cents. Rational economic price sensitivity requires:</w:t>
      </w:r>
    </w:p>
    <w:p>
      <w:pPr>
        <w:pStyle w:val="BodyText"/>
        <w:jc w:val="center"/>
        <w:rPr/>
      </w:pPr>
      <w:r>
        <w:rPr/>
      </w:r>
      <m:oMathPara xmlns:m="http://schemas.openxmlformats.org/officeDocument/2006/math">
        <m:oMathParaPr>
          <m:jc m:val="center"/>
        </m:oMathParaPr>
        <m:oMath>
          <m:f>
            <m:num>
              <m:sSub>
                <m:e>
                  <m:r>
                    <w:rPr>
                      <w:rFonts w:ascii="Cambria Math" w:hAnsi="Cambria Math"/>
                    </w:rPr>
                    <m:t xml:space="preserve">β</m:t>
                  </m:r>
                </m:e>
                <m:sub>
                  <m:r>
                    <w:rPr>
                      <w:rFonts w:ascii="Cambria Math" w:hAnsi="Cambria Math"/>
                    </w:rPr>
                    <m:t xml:space="preserve">C</m:t>
                  </m:r>
                </m:sub>
              </m:sSub>
            </m:num>
            <m:den>
              <m:sSub>
                <m:e>
                  <m:r>
                    <w:rPr>
                      <w:rFonts w:ascii="Cambria Math" w:hAnsi="Cambria Math"/>
                    </w:rPr>
                    <m:t xml:space="preserve">β</m:t>
                  </m:r>
                </m:e>
                <m:sub>
                  <m:r>
                    <w:rPr>
                      <w:rFonts w:ascii="Cambria Math" w:hAnsi="Cambria Math"/>
                    </w:rPr>
                    <m:t xml:space="preserve">D</m:t>
                  </m:r>
                </m:sub>
              </m:sSub>
            </m:den>
          </m:f>
          <m:r>
            <w:rPr>
              <w:rFonts w:ascii="Cambria Math" w:hAnsi="Cambria Math"/>
            </w:rPr>
            <m:t xml:space="preserve">=</m:t>
          </m:r>
          <m:r>
            <w:rPr>
              <w:rFonts w:ascii="Cambria Math" w:hAnsi="Cambria Math"/>
            </w:rPr>
            <m:t xml:space="preserve">1.00</m:t>
          </m:r>
        </m:oMath>
      </m:oMathPara>
    </w:p>
    <w:p>
      <w:pPr>
        <w:pStyle w:val="FirstParagraph"/>
        <w:rPr/>
      </w:pPr>
      <w:r>
        <w:rPr/>
        <w:t xml:space="preserve">A ratio </w:t>
      </w:r>
      <w:r>
        <w:rPr/>
      </w:r>
      <m:oMath xmlns:m="http://schemas.openxmlformats.org/officeDocument/2006/math">
        <m:f>
          <m:fPr>
            <m:type m:val="lin"/>
          </m:fPr>
          <m:num>
            <m:sSub>
              <m:e>
                <m:r>
                  <w:rPr>
                    <w:rFonts w:ascii="Cambria Math" w:hAnsi="Cambria Math"/>
                  </w:rPr>
                  <m:t xml:space="preserve">β</m:t>
                </m:r>
              </m:e>
              <m:sub>
                <m:r>
                  <w:rPr>
                    <w:rFonts w:ascii="Cambria Math" w:hAnsi="Cambria Math"/>
                  </w:rPr>
                  <m:t xml:space="preserve">C</m:t>
                </m:r>
              </m:sub>
            </m:sSub>
          </m:num>
          <m:den>
            <m:sSub>
              <m:e>
                <m:r>
                  <w:rPr>
                    <w:rFonts w:ascii="Cambria Math" w:hAnsi="Cambria Math"/>
                  </w:rPr>
                  <m:t xml:space="preserve">β</m:t>
                </m:r>
              </m:e>
              <m:sub>
                <m:r>
                  <w:rPr>
                    <w:rFonts w:ascii="Cambria Math" w:hAnsi="Cambria Math"/>
                  </w:rPr>
                  <m:t xml:space="preserve">D</m:t>
                </m:r>
              </m:sub>
            </m:sSub>
          </m:den>
        </m:f>
        <m:r>
          <w:rPr>
            <w:rFonts w:ascii="Cambria Math" w:hAnsi="Cambria Math"/>
          </w:rPr>
          <m:t xml:space="preserve">&lt;</m:t>
        </m:r>
        <m:r>
          <w:rPr>
            <w:rFonts w:ascii="Cambria Math" w:hAnsi="Cambria Math"/>
          </w:rPr>
          <m:t xml:space="preserve">1.00</m:t>
        </m:r>
      </m:oMath>
      <w:r>
        <w:rPr/>
        <w:t xml:space="preserve"> indicates cent discounting [i.e., inattention to cents relative to whole dollars, consistent with human left-digit bias; Thomas and Morwitz (2005)]. Conversely, a ratio </w:t>
      </w:r>
      <w:r>
        <w:rPr/>
      </w:r>
      <m:oMath xmlns:m="http://schemas.openxmlformats.org/officeDocument/2006/math">
        <m:r>
          <w:rPr>
            <w:rFonts w:ascii="Cambria Math" w:hAnsi="Cambria Math"/>
          </w:rPr>
          <m:t xml:space="preserve">1.00</m:t>
        </m:r>
      </m:oMath>
      <w:r>
        <w:rPr/>
        <w:t xml:space="preserve"> indicates disproportionate cent avoidance. Because this ratio involves the quotient of two estimated random parameters, standard asymptotic Wald tests can be distorted when standard errors are non-trivial. We therefore compute exact 95% confidence intervals using Fieller’s theorem (Fieller 1954), which accounts for the sampling covariance between </w:t>
      </w:r>
      <w:r>
        <w:rPr/>
      </w:r>
      <m:oMath xmlns:m="http://schemas.openxmlformats.org/officeDocument/2006/math">
        <m:sSub>
          <m:e>
            <m:acc>
              <m:accPr>
                <m:chr m:val="^"/>
              </m:accPr>
              <m:e>
                <m:r>
                  <w:rPr>
                    <w:rFonts w:ascii="Cambria Math" w:hAnsi="Cambria Math"/>
                  </w:rPr>
                  <m:t xml:space="preserve">β</m:t>
                </m:r>
              </m:e>
            </m:acc>
          </m:e>
          <m:sub>
            <m:r>
              <w:rPr>
                <w:rFonts w:ascii="Cambria Math" w:hAnsi="Cambria Math"/>
              </w:rPr>
              <m:t xml:space="preserve">C</m:t>
            </m:r>
          </m:sub>
        </m:sSub>
      </m:oMath>
      <w:r>
        <w:rPr/>
        <w:t xml:space="preserve"> and </w:t>
      </w:r>
      <w:r>
        <w:rPr/>
      </w:r>
      <m:oMath xmlns:m="http://schemas.openxmlformats.org/officeDocument/2006/math">
        <m:sSub>
          <m:e>
            <m:acc>
              <m:accPr>
                <m:chr m:val="^"/>
              </m:accPr>
              <m:e>
                <m:r>
                  <w:rPr>
                    <w:rFonts w:ascii="Cambria Math" w:hAnsi="Cambria Math"/>
                  </w:rPr>
                  <m:t xml:space="preserve">β</m:t>
                </m:r>
              </m:e>
            </m:acc>
          </m:e>
          <m:sub>
            <m:r>
              <w:rPr>
                <w:rFonts w:ascii="Cambria Math" w:hAnsi="Cambria Math"/>
              </w:rPr>
              <m:t xml:space="preserve">D</m:t>
            </m:r>
          </m:sub>
        </m:sSub>
      </m:oMath>
      <w:r>
        <w:rPr/>
        <w:t>.</w:t>
      </w:r>
    </w:p>
    <w:p>
      <w:pPr>
        <w:pStyle w:val="BodyText"/>
        <w:rPr/>
      </w:pPr>
      <w:r>
        <w:rPr/>
        <w:t xml:space="preserve">Parameter estimates across all eight LLMs are reported in </w:t>
      </w:r>
      <w:hyperlink w:anchor="apptbl-s1a-realistic-cents">
        <w:r>
          <w:rPr>
            <w:rStyle w:val="Hyperlink"/>
          </w:rPr>
          <w:t>Table W1</w:t>
        </w:r>
      </w:hyperlink>
      <w:r>
        <w:rPr/>
        <w:t xml:space="preserve">, and the formal Fieller ratio tests are reported in </w:t>
      </w:r>
      <w:hyperlink w:anchor="apptbl-s1a-cent-dollar-ratio">
        <w:r>
          <w:rPr>
            <w:rStyle w:val="Hyperlink"/>
          </w:rPr>
          <w:t>Table W8</w:t>
        </w:r>
      </w:hyperlink>
      <w:r>
        <w:rPr/>
        <w:t>.</w:t>
      </w:r>
      <w:bookmarkEnd w:id="110"/>
      <w:bookmarkEnd w:id="116"/>
    </w:p>
    <w:p>
      <w:pPr>
        <w:pStyle w:val="Heading1"/>
        <w:rPr/>
      </w:pPr>
      <w:bookmarkStart w:id="117" w:name="sec-appendix-s2a"/>
      <w:r>
        <w:rPr/>
        <w:t>Web appendix B: Study 2 Baseline details</w:t>
      </w:r>
    </w:p>
    <w:p>
      <w:pPr>
        <w:pStyle w:val="Heading2"/>
        <w:rPr/>
      </w:pPr>
      <w:bookmarkStart w:id="118" w:name="X3569c8dff21f7cd7c786b1645d2a315702ace93"/>
      <w:r>
        <w:rPr/>
        <w:t>Choice set generation and Pareto filtering</w:t>
      </w:r>
    </w:p>
    <w:p>
      <w:pPr>
        <w:pStyle w:val="FirstParagraph"/>
        <w:rPr/>
      </w:pPr>
      <w:r>
        <w:rPr/>
        <w:t>To evaluate whether LLMs can synthesize promotional cues and product attributes when information acquisition is frictionless, we constructed a four-alternative discrete choice experiment following the general procedure in Web Appendix A. The design utilized the same four brands (</w:t>
      </w:r>
      <w:r>
        <w:rPr>
          <w:i/>
          <w:iCs/>
        </w:rPr>
        <w:t>McCafé, Maxwell House, Starbucks, Folgers</w:t>
      </w:r>
      <w:r>
        <w:rPr/>
        <w:t>), 13 whole-dollar price points (</w:t>
      </w:r>
      <w:r>
        <w:rPr/>
      </w:r>
      <m:oMath xmlns:m="http://schemas.openxmlformats.org/officeDocument/2006/math">
        <m:r>
          <w:rPr>
            <w:rFonts w:ascii="Cambria Math" w:hAnsi="Cambria Math"/>
          </w:rPr>
          <m:t xml:space="preserve">$</m:t>
        </m:r>
        <m:r>
          <w:rPr>
            <w:rFonts w:ascii="Cambria Math" w:hAnsi="Cambria Math"/>
          </w:rPr>
          <m:t xml:space="preserve">8</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20</m:t>
        </m:r>
      </m:oMath>
      <w:r>
        <w:rPr/>
        <w:t>), and 10 empirical cent values, crossed with 11 empirical retail packaging weights (Study 1 Baseline).</w:t>
      </w:r>
    </w:p>
    <w:p>
      <w:pPr>
        <w:pStyle w:val="BodyText"/>
        <w:rPr/>
      </w:pPr>
      <w:r>
        <w:rPr/>
        <w:t xml:space="preserve">From the resulting 5,720 candidate profiles, we generated choice sets of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4</m:t>
        </m:r>
      </m:oMath>
      <w:r>
        <w:rPr/>
        <w:t xml:space="preserve"> alternatives. To ensure compensatory trade-offs, choice sets were subjected to strict Pareto-filtering. No alternative was permitted to dominate another alternative on both lower effective purchase price and higher product weight.</w:t>
      </w:r>
    </w:p>
    <w:p>
      <w:pPr>
        <w:pStyle w:val="BodyText"/>
        <w:rPr/>
      </w:pPr>
      <w:r>
        <w:rPr/>
        <w:t>Across the retained choice sets, a promotional discount manipulation was assigned to a random 50% of alternatives (two per choice set). Discounts were drawn from a discrete uniform distribution spanning 5% to 40% in 5% increments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m:t>
        </m:r>
        <m:r>
          <w:rPr>
            <w:rFonts w:ascii="Cambria Math" w:hAnsi="Cambria Math"/>
          </w:rPr>
          <m:t xml:space="preserve">5</m:t>
        </m:r>
        <m:r>
          <m:rPr>
            <m:lit/>
            <m:nor/>
          </m:rPr>
          <w:rPr>
            <w:rFonts w:ascii="Cambria Math" w:hAnsi="Cambria Math"/>
          </w:rPr>
          <m:t xml:space="preserve">%</m:t>
        </m:r>
        <m:r>
          <w:rPr>
            <w:rFonts w:ascii="Cambria Math" w:hAnsi="Cambria Math"/>
          </w:rPr>
          <m:t xml:space="preserve">,</m:t>
        </m:r>
        <m:r>
          <w:rPr>
            <w:rFonts w:ascii="Cambria Math" w:hAnsi="Cambria Math"/>
          </w:rPr>
          <m:t xml:space="preserve">10</m:t>
        </m:r>
        <m:r>
          <m:rPr>
            <m:lit/>
            <m:nor/>
          </m:rPr>
          <w:rPr>
            <w:rFonts w:ascii="Cambria Math" w:hAnsi="Cambria Math"/>
          </w:rPr>
          <m:t xml:space="preserve">%</m:t>
        </m:r>
        <m:r>
          <w:rPr>
            <w:rFonts w:ascii="Cambria Math" w:hAnsi="Cambria Math"/>
          </w:rPr>
          <m:t xml:space="preserve">,</m:t>
        </m:r>
        <m:r>
          <w:rPr>
            <w:rFonts w:ascii="Cambria Math" w:hAnsi="Cambria Math"/>
          </w:rPr>
          <m:t xml:space="preserve">15</m:t>
        </m:r>
        <m:r>
          <m:rPr>
            <m:lit/>
            <m:nor/>
          </m:rPr>
          <w:rPr>
            <w:rFonts w:ascii="Cambria Math" w:hAnsi="Cambria Math"/>
          </w:rPr>
          <m:t xml:space="preserve">%</m:t>
        </m:r>
        <m:r>
          <w:rPr>
            <w:rFonts w:ascii="Cambria Math" w:hAnsi="Cambria Math"/>
          </w:rPr>
          <m:t xml:space="preserve">,</m:t>
        </m:r>
        <m:r>
          <w:rPr>
            <w:rFonts w:ascii="Cambria Math" w:hAnsi="Cambria Math"/>
          </w:rPr>
          <m:t xml:space="preserve">20</m:t>
        </m:r>
        <m:r>
          <m:rPr>
            <m:lit/>
            <m:nor/>
          </m:rPr>
          <w:rPr>
            <w:rFonts w:ascii="Cambria Math" w:hAnsi="Cambria Math"/>
          </w:rPr>
          <m:t xml:space="preserve">%</m:t>
        </m:r>
        <m:r>
          <w:rPr>
            <w:rFonts w:ascii="Cambria Math" w:hAnsi="Cambria Math"/>
          </w:rPr>
          <m:t xml:space="preserve">,</m:t>
        </m:r>
        <m:r>
          <w:rPr>
            <w:rFonts w:ascii="Cambria Math" w:hAnsi="Cambria Math"/>
          </w:rPr>
          <m:t xml:space="preserve">25</m:t>
        </m:r>
        <m:r>
          <m:rPr>
            <m:lit/>
            <m:nor/>
          </m:rPr>
          <w:rPr>
            <w:rFonts w:ascii="Cambria Math" w:hAnsi="Cambria Math"/>
          </w:rPr>
          <m:t xml:space="preserve">%</m:t>
        </m:r>
        <m:r>
          <w:rPr>
            <w:rFonts w:ascii="Cambria Math" w:hAnsi="Cambria Math"/>
          </w:rPr>
          <m:t xml:space="preserve">,</m:t>
        </m:r>
        <m:r>
          <w:rPr>
            <w:rFonts w:ascii="Cambria Math" w:hAnsi="Cambria Math"/>
          </w:rPr>
          <m:t xml:space="preserve">30</m:t>
        </m:r>
        <m:r>
          <m:rPr>
            <m:lit/>
            <m:nor/>
          </m:rPr>
          <w:rPr>
            <w:rFonts w:ascii="Cambria Math" w:hAnsi="Cambria Math"/>
          </w:rPr>
          <m:t xml:space="preserve">%</m:t>
        </m:r>
        <m:r>
          <w:rPr>
            <w:rFonts w:ascii="Cambria Math" w:hAnsi="Cambria Math"/>
          </w:rPr>
          <m:t xml:space="preserve">,</m:t>
        </m:r>
        <m:r>
          <w:rPr>
            <w:rFonts w:ascii="Cambria Math" w:hAnsi="Cambria Math"/>
          </w:rPr>
          <m:t xml:space="preserve">35</m:t>
        </m:r>
        <m:r>
          <m:rPr>
            <m:lit/>
            <m:nor/>
          </m:rPr>
          <w:rPr>
            <w:rFonts w:ascii="Cambria Math" w:hAnsi="Cambria Math"/>
          </w:rPr>
          <m:t xml:space="preserve">%</m:t>
        </m:r>
        <m:r>
          <w:rPr>
            <w:rFonts w:ascii="Cambria Math" w:hAnsi="Cambria Math"/>
          </w:rPr>
          <m:t xml:space="preserve">,</m:t>
        </m:r>
        <m:r>
          <w:rPr>
            <w:rFonts w:ascii="Cambria Math" w:hAnsi="Cambria Math"/>
          </w:rPr>
          <m:t xml:space="preserve">40</m:t>
        </m:r>
        <m:r>
          <m:rPr>
            <m:lit/>
            <m:nor/>
          </m:rPr>
          <w:rPr>
            <w:rFonts w:ascii="Cambria Math" w:hAnsi="Cambria Math"/>
          </w:rPr>
          <m:t xml:space="preserve">%</m:t>
        </m:r>
        <m:r>
          <w:rPr>
            <w:rFonts w:ascii="Cambria Math" w:hAnsi="Cambria Math"/>
          </w:rPr>
          <m:t xml:space="preserve">}</m:t>
        </m:r>
      </m:oMath>
      <w:r>
        <w:rPr/>
        <w:t>). Net purchase prices were withheld from the stimulus presentation. Therefore, to determine actual dollar cost, the AI agent had to compute:</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Net Price</m:t>
              </m:r>
            </m:e>
            <m:sub>
              <m:r>
                <w:rPr>
                  <w:rFonts w:ascii="Cambria Math" w:hAnsi="Cambria Math"/>
                </w:rPr>
                <m:t xml:space="preserve">j</m:t>
              </m:r>
              <m:r>
                <w:rPr>
                  <w:rFonts w:ascii="Cambria Math" w:hAnsi="Cambria Math"/>
                </w:rPr>
                <m:t xml:space="preserve">t</m:t>
              </m:r>
            </m:sub>
          </m:sSub>
          <m:r>
            <w:rPr>
              <w:rFonts w:ascii="Cambria Math" w:hAnsi="Cambria Math"/>
            </w:rPr>
            <m:t xml:space="preserve">=</m:t>
          </m:r>
          <m:sSub>
            <m:e>
              <m:r>
                <m:rPr>
                  <m:lit/>
                  <m:nor/>
                </m:rPr>
                <w:rPr>
                  <w:rFonts w:ascii="Cambria Math" w:hAnsi="Cambria Math"/>
                </w:rPr>
                <m:t xml:space="preserve">ListPrice</m:t>
              </m:r>
            </m:e>
            <m:sub>
              <m:r>
                <w:rPr>
                  <w:rFonts w:ascii="Cambria Math" w:hAnsi="Cambria Math"/>
                </w:rPr>
                <m:t xml:space="preserve">j</m:t>
              </m:r>
              <m:r>
                <w:rPr>
                  <w:rFonts w:ascii="Cambria Math" w:hAnsi="Cambria Math"/>
                </w:rPr>
                <m:t xml:space="preserve">t</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f>
                <m:num>
                  <m:sSub>
                    <m:e>
                      <m:r>
                        <m:rPr>
                          <m:lit/>
                          <m:nor/>
                        </m:rPr>
                        <w:rPr>
                          <w:rFonts w:ascii="Cambria Math" w:hAnsi="Cambria Math"/>
                        </w:rPr>
                        <m:t xml:space="preserve">DiscountPercentage</m:t>
                      </m:r>
                    </m:e>
                    <m:sub>
                      <m:r>
                        <w:rPr>
                          <w:rFonts w:ascii="Cambria Math" w:hAnsi="Cambria Math"/>
                        </w:rPr>
                        <m:t xml:space="preserve">j</m:t>
                      </m:r>
                      <m:r>
                        <w:rPr>
                          <w:rFonts w:ascii="Cambria Math" w:hAnsi="Cambria Math"/>
                        </w:rPr>
                        <m:t xml:space="preserve">t</m:t>
                      </m:r>
                    </m:sub>
                  </m:sSub>
                </m:num>
                <m:den>
                  <m:r>
                    <w:rPr>
                      <w:rFonts w:ascii="Cambria Math" w:hAnsi="Cambria Math"/>
                    </w:rPr>
                    <m:t xml:space="preserve">100</m:t>
                  </m:r>
                </m:den>
              </m:f>
            </m:e>
          </m:d>
        </m:oMath>
      </m:oMathPara>
    </w:p>
    <w:p>
      <w:pPr>
        <w:pStyle w:val="FirstParagraph"/>
        <w:rPr/>
      </w:pPr>
      <w:r>
        <w:rPr/>
        <w:t>This yielded a final dataset of 1,149 unique, non-dominated choice sets (4,596 alternative profiles). Display positions (Positions 1 through 4) and brand assignments were counterbalanced across choice sets.</w:t>
      </w:r>
      <w:bookmarkEnd w:id="118"/>
    </w:p>
    <w:p>
      <w:pPr>
        <w:pStyle w:val="Heading2"/>
        <w:rPr/>
      </w:pPr>
      <w:bookmarkStart w:id="119" w:name="X2bcb34df348b3f3c12ac7ef8d924c42e8d0d2d8"/>
      <w:r>
        <w:rPr/>
        <w:t>Design balance and randomization checks</w:t>
      </w:r>
    </w:p>
    <w:p>
      <w:pPr>
        <w:pStyle w:val="FirstParagraph"/>
        <w:rPr/>
      </w:pPr>
      <w:r>
        <w:rPr/>
        <w:t>To confirm that the 1,149 choice sets provided orthogonal attribute variation, we evaluated design balance across the 4,596 alternative profiles. The assignment of promotional discounts was balanced across all four brands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m:t>
        </m:r>
        <m:r>
          <w:rPr>
            <w:rFonts w:ascii="Cambria Math" w:hAnsi="Cambria Math"/>
          </w:rPr>
          <m:t xml:space="preserve">2.42</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.491</m:t>
        </m:r>
      </m:oMath>
      <w:r>
        <w:rPr/>
        <w:t>), confirming that discount frequency does not confound brand equity. Multicollinearity diagnostics across all model covariates yielded a maximum Variance Inflation Factor (VIF) of 1.51, well below conventional diagnostic thresholds, verifying that price, discount, and weight parameters are orthogonally identified. Finally, while the large sample size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596</m:t>
        </m:r>
      </m:oMath>
      <w:r>
        <w:rPr/>
        <w:t>) detects a minor deviation in brand presentation across display positions (</w:t>
      </w:r>
      <w:r>
        <w:rPr/>
      </w:r>
      <m:oMath xmlns:m="http://schemas.openxmlformats.org/officeDocument/2006/math">
        <m:sSup>
          <m:e>
            <m:r>
              <w:rPr>
                <w:rFonts w:ascii="Cambria Math" w:hAnsi="Cambria Math"/>
              </w:rPr>
              <m:t xml:space="preserve">χ</m:t>
            </m:r>
          </m:e>
          <m:sup>
            <m:r>
              <w:rPr>
                <w:rFonts w:ascii="Cambria Math" w:hAnsi="Cambria Math"/>
              </w:rPr>
              <m:t xml:space="preserve">2</m:t>
            </m:r>
          </m:sup>
        </m:sSup>
        <m:r>
          <w:rPr>
            <w:rFonts w:ascii="Cambria Math" w:hAnsi="Cambria Math"/>
          </w:rPr>
          <m:t xml:space="preserve">(</m:t>
        </m:r>
        <m:r>
          <w:rPr>
            <w:rFonts w:ascii="Cambria Math" w:hAnsi="Cambria Math"/>
          </w:rPr>
          <m:t xml:space="preserve">9</m:t>
        </m:r>
        <m:r>
          <w:rPr>
            <w:rFonts w:ascii="Cambria Math" w:hAnsi="Cambria Math"/>
          </w:rPr>
          <m:t xml:space="preserve">)</m:t>
        </m:r>
        <m:r>
          <w:rPr>
            <w:rFonts w:ascii="Cambria Math" w:hAnsi="Cambria Math"/>
          </w:rPr>
          <m:t xml:space="preserve">=</m:t>
        </m:r>
        <m:r>
          <w:rPr>
            <w:rFonts w:ascii="Cambria Math" w:hAnsi="Cambria Math"/>
          </w:rPr>
          <m:t xml:space="preserve">23.60</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.005</m:t>
        </m:r>
      </m:oMath>
      <w:r>
        <w:rPr/>
        <w:t xml:space="preserve">), the substantive association is negligible (Cramér’s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0.041</m:t>
        </m:r>
      </m:oMath>
      <w:r>
        <w:rPr/>
        <w:t>); this variation is directly controlled for by including display position fixed effects in all conditional logit specifications.</w:t>
      </w:r>
      <w:bookmarkEnd w:id="119"/>
    </w:p>
    <w:p>
      <w:pPr>
        <w:pStyle w:val="Heading2"/>
        <w:rPr/>
      </w:pPr>
      <w:bookmarkStart w:id="120" w:name="X1b2133fdcc76b8abd3ba3b7479f75b38dff2ac2"/>
      <w:r>
        <w:rPr/>
        <w:t>Delegating prompt and structured output schema</w:t>
      </w:r>
    </w:p>
    <w:p>
      <w:pPr>
        <w:pStyle w:val="FirstParagraph"/>
        <w:rPr/>
      </w:pPr>
      <w:r>
        <w:rPr/>
        <w:t xml:space="preserve">The role and prompt protocol followed the implementation in Web Appendix A. The prompt template and option formatting presented to the LLMs are shown in </w:t>
      </w:r>
      <w:hyperlink w:anchor="apptbl-s2a-prompt-template">
        <w:r>
          <w:rPr>
            <w:rStyle w:val="Hyperlink"/>
          </w:rPr>
          <w:t>Table W4</w:t>
        </w:r>
      </w:hyperlink>
      <w:r>
        <w:rPr/>
        <w:t>.</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W4: Delegating prompt template for Study 2 Baseline</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4571"/>
              <w:gridCol w:w="4573"/>
            </w:tblGrid>
            <w:tr>
              <w:trPr>
                <w:tblHeader w:val="true"/>
              </w:trPr>
              <w:tc>
                <w:tcPr>
                  <w:tcW w:w="4571" w:type="dxa"/>
                  <w:tcBorders/>
                  <w:vAlign w:val="center"/>
                </w:tcPr>
                <w:p>
                  <w:pPr>
                    <w:pStyle w:val="Compact"/>
                    <w:spacing w:before="36" w:after="36"/>
                    <w:rPr>
                      <w:b w:val="false"/>
                    </w:rPr>
                  </w:pPr>
                  <w:r>
                    <w:rPr>
                      <w:b w:val="false"/>
                    </w:rPr>
                  </w:r>
                </w:p>
              </w:tc>
              <w:tc>
                <w:tcPr>
                  <w:tcW w:w="4573" w:type="dxa"/>
                  <w:tcBorders/>
                  <w:vAlign w:val="center"/>
                </w:tcPr>
                <w:p>
                  <w:pPr>
                    <w:pStyle w:val="Compact"/>
                    <w:spacing w:before="36" w:after="36"/>
                    <w:jc w:val="center"/>
                    <w:rPr>
                      <w:b w:val="false"/>
                    </w:rPr>
                  </w:pPr>
                  <w:r>
                    <w:rPr>
                      <w:b w:val="false"/>
                    </w:rPr>
                    <w:t>Prompt template</w:t>
                  </w:r>
                </w:p>
              </w:tc>
            </w:tr>
            <w:tr>
              <w:trPr/>
              <w:tc>
                <w:tcPr>
                  <w:tcW w:w="4571" w:type="dxa"/>
                  <w:tcBorders>
                    <w:top w:val="nil"/>
                    <w:bottom w:val="nil"/>
                  </w:tcBorders>
                  <w:vAlign w:val="center"/>
                </w:tcPr>
                <w:p>
                  <w:pPr>
                    <w:pStyle w:val="Compact"/>
                    <w:spacing w:before="36" w:after="36"/>
                    <w:jc w:val="center"/>
                    <w:rPr/>
                  </w:pPr>
                  <w:r>
                    <w:rPr>
                      <w:b/>
                      <w:bCs/>
                    </w:rPr>
                    <w:t>System prompt</w:t>
                  </w:r>
                </w:p>
              </w:tc>
              <w:tc>
                <w:tcPr>
                  <w:tcW w:w="4573" w:type="dxa"/>
                  <w:tcBorders>
                    <w:top w:val="nil"/>
                    <w:bottom w:val="nil"/>
                  </w:tcBorders>
                  <w:vAlign w:val="center"/>
                </w:tcPr>
                <w:p>
                  <w:pPr>
                    <w:pStyle w:val="Compact"/>
                    <w:spacing w:before="36" w:after="36"/>
                    <w:jc w:val="center"/>
                    <w:rPr/>
                  </w:pPr>
                  <w:r>
                    <w:rPr/>
                    <w:t>You are a helpful shopping assistant.Your goal is to choose an alternative among the options given.Only output the digit of your final choice. Do not explain your answer or provide any additional text.</w:t>
                  </w:r>
                </w:p>
              </w:tc>
            </w:tr>
            <w:tr>
              <w:trPr/>
              <w:tc>
                <w:tcPr>
                  <w:tcW w:w="4571" w:type="dxa"/>
                  <w:tcBorders>
                    <w:top w:val="nil"/>
                  </w:tcBorders>
                  <w:vAlign w:val="center"/>
                </w:tcPr>
                <w:p>
                  <w:pPr>
                    <w:pStyle w:val="Compact"/>
                    <w:spacing w:before="36" w:after="36"/>
                    <w:jc w:val="center"/>
                    <w:rPr/>
                  </w:pPr>
                  <w:r>
                    <w:rPr>
                      <w:b/>
                      <w:bCs/>
                    </w:rPr>
                    <w:t>User prompt template</w:t>
                  </w:r>
                </w:p>
              </w:tc>
              <w:tc>
                <w:tcPr>
                  <w:tcW w:w="4573" w:type="dxa"/>
                  <w:tcBorders>
                    <w:top w:val="nil"/>
                  </w:tcBorders>
                  <w:vAlign w:val="center"/>
                </w:tcPr>
                <w:p>
                  <w:pPr>
                    <w:pStyle w:val="Compact"/>
                    <w:spacing w:before="36" w:after="36"/>
                    <w:jc w:val="center"/>
                    <w:rPr/>
                  </w:pPr>
                  <w:r>
                    <w:rPr/>
                    <w:t>You are buying ground coffee. Which option would you choose?Option 1: {brand_1}; Weight: {weight_1}oz; List price: ${list_price_1}; {discount_text_1}Option 2: {brand_2}; Weight: {weight_2}oz; List price: ${list_price_2}; {discount_text_2}Option 3: {brand_3}; Weight: {weight_3}oz; List price: ${list_price_3}; {discount_text_3}Option 4: {brand_4}; Weight: {weight_4}oz; List price: ${list_price_4}; {discount_text_4}</w:t>
                  </w:r>
                  <w:bookmarkStart w:id="121" w:name="apptbl-s2a-prompt-template"/>
                  <w:bookmarkEnd w:id="121"/>
                </w:p>
              </w:tc>
            </w:tr>
          </w:tbl>
          <w:p>
            <w:pPr>
              <w:pStyle w:val="Normal"/>
              <w:spacing w:before="0" w:after="200"/>
              <w:jc w:val="left"/>
              <w:rPr>
                <w:sz w:val="24"/>
              </w:rPr>
            </w:pPr>
            <w:r>
              <w:rPr>
                <w:sz w:val="24"/>
              </w:rPr>
            </w:r>
          </w:p>
        </w:tc>
      </w:tr>
    </w:tbl>
    <w:p>
      <w:pPr>
        <w:pStyle w:val="BodyText"/>
        <w:rPr/>
      </w:pPr>
      <w:r>
        <w:rPr>
          <w:i/>
          <w:iCs/>
        </w:rPr>
        <w:t>Note.</w:t>
      </w:r>
      <w:r>
        <w:rPr/>
        <w:t xml:space="preserve"> Placeholders </w:t>
      </w:r>
      <w:r>
        <w:rPr>
          <w:i/>
          <w:iCs/>
        </w:rPr>
        <w:t>{brand_i}</w:t>
      </w:r>
      <w:r>
        <w:rPr/>
        <w:t xml:space="preserve">, </w:t>
      </w:r>
      <w:r>
        <w:rPr>
          <w:i/>
          <w:iCs/>
        </w:rPr>
        <w:t>{weight_i}</w:t>
      </w:r>
      <w:r>
        <w:rPr/>
        <w:t xml:space="preserve">, and </w:t>
      </w:r>
      <w:r>
        <w:rPr>
          <w:i/>
          <w:iCs/>
        </w:rPr>
        <w:t>{list_price_i}</w:t>
      </w:r>
      <w:r>
        <w:rPr/>
        <w:t xml:space="preserve"> were populated dynamically across the 1,149 choice sets. For alternatives assigned to the promotional condition, </w:t>
      </w:r>
      <w:r>
        <w:rPr>
          <w:i/>
          <w:iCs/>
        </w:rPr>
        <w:t>{discount_text_i}</w:t>
      </w:r>
      <w:r>
        <w:rPr/>
        <w:t xml:space="preserve"> was populated as </w:t>
      </w:r>
      <w:r>
        <w:rPr>
          <w:i/>
          <w:iCs/>
        </w:rPr>
        <w:t>%{discount_i} discount</w:t>
      </w:r>
      <w:r>
        <w:rPr/>
        <w:t xml:space="preserve"> (e.g., </w:t>
      </w:r>
      <w:r>
        <w:rPr>
          <w:i/>
          <w:iCs/>
        </w:rPr>
        <w:t>%20 discount</w:t>
      </w:r>
      <w:r>
        <w:rPr/>
        <w:t>); for non-discounted alternatives, it was left blank. Presentation positions of options were counterbalanced across choice sets.</w:t>
      </w:r>
    </w:p>
    <w:p>
      <w:pPr>
        <w:pStyle w:val="BodyText"/>
        <w:rPr/>
      </w:pPr>
      <w:r>
        <w:rPr/>
        <w:t xml:space="preserve">To ensure deterministic parsing across providers, LLM responses were strictly constrained using provider-native structured outputs (Pydantic schema validation) to emit valid JSON matching the identical schema defined in </w:t>
      </w:r>
      <w:hyperlink w:anchor="apptbl-s1a-json-schema">
        <w:r>
          <w:rPr>
            <w:rStyle w:val="Hyperlink"/>
          </w:rPr>
          <w:t>Table W3</w:t>
        </w:r>
      </w:hyperlink>
      <w:r>
        <w:rPr/>
        <w:t>.</w:t>
      </w:r>
      <w:bookmarkEnd w:id="120"/>
    </w:p>
    <w:p>
      <w:pPr>
        <w:pStyle w:val="Heading2"/>
        <w:rPr/>
      </w:pPr>
      <w:bookmarkStart w:id="122" w:name="Xc8011b28c6230ba6449d8f6394390214e19926c"/>
      <w:r>
        <w:rPr/>
        <w:t>Econometric model and utility specification</w:t>
      </w:r>
    </w:p>
    <w:p>
      <w:pPr>
        <w:pStyle w:val="FirstParagraph"/>
        <w:rPr/>
      </w:pPr>
      <w:r>
        <w:rPr/>
        <w:t>We estimate McFadden’s conditional logit model using the random utility framework specified in Web Appendix A. To evaluate promotional discounting, the deterministic utility component (</w:t>
      </w:r>
      <w:r>
        <w:rPr/>
      </w:r>
      <m:oMath xmlns:m="http://schemas.openxmlformats.org/officeDocument/2006/math">
        <m:sSub>
          <m:e>
            <m:r>
              <w:rPr>
                <w:rFonts w:ascii="Cambria Math" w:hAnsi="Cambria Math"/>
              </w:rPr>
              <m:t xml:space="preserve">V</m:t>
            </m:r>
          </m:e>
          <m:sub>
            <m:r>
              <w:rPr>
                <w:rFonts w:ascii="Cambria Math" w:hAnsi="Cambria Math"/>
              </w:rPr>
              <m:t xml:space="preserve">j</m:t>
            </m:r>
            <m:r>
              <w:rPr>
                <w:rFonts w:ascii="Cambria Math" w:hAnsi="Cambria Math"/>
              </w:rPr>
              <m:t xml:space="preserve">t</m:t>
            </m:r>
          </m:sub>
        </m:sSub>
      </m:oMath>
      <w:r>
        <w:rPr/>
        <w:t>) is parameterized as:</w:t>
      </w:r>
    </w:p>
    <w:p>
      <w:pPr>
        <w:pStyle w:val="BodyText"/>
        <w:jc w:val="center"/>
        <w:rPr/>
      </w:pPr>
      <w:r>
        <w:rPr/>
      </w:r>
      <m:oMathPara xmlns:m="http://schemas.openxmlformats.org/officeDocument/2006/math">
        <m:oMathParaPr>
          <m:jc m:val="center"/>
        </m:oMathParaPr>
        <m:oMath>
          <m:sSub>
            <m:e>
              <m:r>
                <w:rPr>
                  <w:rFonts w:ascii="Cambria Math" w:hAnsi="Cambria Math"/>
                </w:rPr>
                <m:t xml:space="preserve">V</m:t>
              </m:r>
            </m:e>
            <m:sub>
              <m:r>
                <w:rPr>
                  <w:rFonts w:ascii="Cambria Math" w:hAnsi="Cambria Math"/>
                </w:rPr>
                <m:t xml:space="preserve">j</m:t>
              </m:r>
              <m:r>
                <w:rPr>
                  <w:rFonts w:ascii="Cambria Math" w:hAnsi="Cambria Math"/>
                </w:rPr>
                <m:t xml:space="preserve">t</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W</m:t>
              </m:r>
            </m:sub>
          </m:sSub>
          <m:sSub>
            <m:e>
              <m:r>
                <m:rPr>
                  <m:lit/>
                  <m:nor/>
                </m:rPr>
                <w:rPr>
                  <w:rFonts w:ascii="Cambria Math" w:hAnsi="Cambria Math"/>
                </w:rPr>
                <m:t xml:space="preserve">Weight</m:t>
              </m:r>
            </m:e>
            <m:sub>
              <m:r>
                <w:rPr>
                  <w:rFonts w:ascii="Cambria Math" w:hAnsi="Cambria Math"/>
                </w:rPr>
                <m:t xml:space="preserve">j</m:t>
              </m:r>
              <m:r>
                <w:rPr>
                  <w:rFonts w:ascii="Cambria Math" w:hAnsi="Cambria Math"/>
                </w:rPr>
                <m:t xml:space="preserve">t</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L</m:t>
              </m:r>
              <m:r>
                <w:rPr>
                  <w:rFonts w:ascii="Cambria Math" w:hAnsi="Cambria Math"/>
                </w:rPr>
                <m:t xml:space="preserve">P</m:t>
              </m:r>
            </m:sub>
          </m:sSub>
          <m:sSub>
            <m:e>
              <m:r>
                <m:rPr>
                  <m:lit/>
                  <m:nor/>
                </m:rPr>
                <w:rPr>
                  <w:rFonts w:ascii="Cambria Math" w:hAnsi="Cambria Math"/>
                </w:rPr>
                <m:t xml:space="preserve">ListPrice</m:t>
              </m:r>
            </m:e>
            <m:sub>
              <m:r>
                <w:rPr>
                  <w:rFonts w:ascii="Cambria Math" w:hAnsi="Cambria Math"/>
                </w:rPr>
                <m:t xml:space="preserve">j</m:t>
              </m:r>
              <m:r>
                <w:rPr>
                  <w:rFonts w:ascii="Cambria Math" w:hAnsi="Cambria Math"/>
                </w:rPr>
                <m:t xml:space="preserve">t</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D</m:t>
              </m:r>
              <m:r>
                <w:rPr>
                  <w:rFonts w:ascii="Cambria Math" w:hAnsi="Cambria Math"/>
                </w:rPr>
                <m:t xml:space="preserve">A</m:t>
              </m:r>
            </m:sub>
          </m:sSub>
          <m:sSub>
            <m:e>
              <m:r>
                <m:rPr>
                  <m:lit/>
                  <m:nor/>
                </m:rPr>
                <w:rPr>
                  <w:rFonts w:ascii="Cambria Math" w:hAnsi="Cambria Math"/>
                </w:rPr>
                <m:t xml:space="preserve">DiscountAmount</m:t>
              </m:r>
            </m:e>
            <m:sub>
              <m:r>
                <w:rPr>
                  <w:rFonts w:ascii="Cambria Math" w:hAnsi="Cambria Math"/>
                </w:rPr>
                <m:t xml:space="preserve">j</m:t>
              </m:r>
              <m:r>
                <w:rPr>
                  <w:rFonts w:ascii="Cambria Math" w:hAnsi="Cambria Math"/>
                </w:rPr>
                <m:t xml:space="preserve">t</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m:t>
              </m:r>
            </m:sup>
          </m:sSup>
          <m:sSub>
            <m:e>
              <m:r>
                <w:rPr>
                  <w:rFonts w:ascii="Cambria Math" w:hAnsi="Cambria Math"/>
                </w:rPr>
                <m:t xml:space="preserve">B</m:t>
              </m:r>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d</m:t>
              </m:r>
            </m:e>
            <m:sub>
              <m:r>
                <w:rPr>
                  <w:rFonts w:ascii="Cambria Math" w:hAnsi="Cambria Math"/>
                </w:rPr>
                <m:t xml:space="preserve">j</m:t>
              </m:r>
              <m:r>
                <w:rPr>
                  <w:rFonts w:ascii="Cambria Math" w:hAnsi="Cambria Math"/>
                </w:rPr>
                <m:t xml:space="preserve">t</m:t>
              </m:r>
            </m:sub>
          </m:sSub>
          <m:r>
            <w:rPr>
              <w:rFonts w:ascii="Cambria Math" w:hAnsi="Cambria Math"/>
            </w:rPr>
            <m:t xml:space="preserve">+</m:t>
          </m:r>
          <m:sSup>
            <m:e>
              <m:r>
                <w:rPr>
                  <w:rFonts w:ascii="Cambria Math" w:hAnsi="Cambria Math"/>
                </w:rPr>
                <m:t xml:space="preserve">γ</m:t>
              </m:r>
            </m:e>
            <m:sup>
              <m:r>
                <w:rPr>
                  <w:rFonts w:ascii="Cambria Math" w:hAnsi="Cambria Math"/>
                </w:rPr>
                <m:t xml:space="preserve">′</m:t>
              </m:r>
            </m:sup>
          </m:sSup>
          <m:sSub>
            <m:e>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i</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e>
            <m:sub>
              <m:r>
                <w:rPr>
                  <w:rFonts w:ascii="Cambria Math" w:hAnsi="Cambria Math"/>
                </w:rPr>
                <m:t xml:space="preserve">j</m:t>
              </m:r>
              <m:r>
                <w:rPr>
                  <w:rFonts w:ascii="Cambria Math" w:hAnsi="Cambria Math"/>
                </w:rPr>
                <m:t xml:space="preserve">t</m:t>
              </m:r>
            </m:sub>
          </m:sSub>
        </m:oMath>
      </m:oMathPara>
    </w:p>
    <w:p>
      <w:pPr>
        <w:pStyle w:val="FirstParagraph"/>
        <w:rPr/>
      </w:pPr>
      <w:r>
        <w:rPr/>
        <w:t xml:space="preserve">In this specification, </w:t>
      </w:r>
      <w:r>
        <w:rPr/>
      </w:r>
      <m:oMath xmlns:m="http://schemas.openxmlformats.org/officeDocument/2006/math">
        <m:sSub>
          <m:e>
            <m:r>
              <m:rPr>
                <m:lit/>
                <m:nor/>
              </m:rPr>
              <w:rPr>
                <w:rFonts w:ascii="Cambria Math" w:hAnsi="Cambria Math"/>
              </w:rPr>
              <m:t xml:space="preserve">ListPrice</m:t>
            </m:r>
          </m:e>
          <m:sub>
            <m:r>
              <w:rPr>
                <w:rFonts w:ascii="Cambria Math" w:hAnsi="Cambria Math"/>
              </w:rPr>
              <m:t xml:space="preserve">j</m:t>
            </m:r>
            <m:r>
              <w:rPr>
                <w:rFonts w:ascii="Cambria Math" w:hAnsi="Cambria Math"/>
              </w:rPr>
              <m:t xml:space="preserve">t</m:t>
            </m:r>
          </m:sub>
        </m:sSub>
      </m:oMath>
      <w:r>
        <w:rPr/>
        <w:t xml:space="preserve"> is the base retail price in dollars, and </w:t>
      </w:r>
      <w:r>
        <w:rPr/>
      </w:r>
      <m:oMath xmlns:m="http://schemas.openxmlformats.org/officeDocument/2006/math">
        <m:sSub>
          <m:e>
            <m:r>
              <m:rPr>
                <m:lit/>
                <m:nor/>
              </m:rPr>
              <w:rPr>
                <w:rFonts w:ascii="Cambria Math" w:hAnsi="Cambria Math"/>
              </w:rPr>
              <m:t xml:space="preserve">DiscountAmount</m:t>
            </m:r>
          </m:e>
          <m:sub>
            <m:r>
              <w:rPr>
                <w:rFonts w:ascii="Cambria Math" w:hAnsi="Cambria Math"/>
              </w:rPr>
              <m:t xml:space="preserve">j</m:t>
            </m:r>
            <m:r>
              <w:rPr>
                <w:rFonts w:ascii="Cambria Math" w:hAnsi="Cambria Math"/>
              </w:rPr>
              <m:t xml:space="preserve">t</m:t>
            </m:r>
          </m:sub>
        </m:sSub>
      </m:oMath>
      <w:r>
        <w:rPr/>
        <w:t xml:space="preserve"> is the promotional savings in dollars, calculated as </w:t>
      </w:r>
      <w:r>
        <w:rPr/>
      </w:r>
      <m:oMath xmlns:m="http://schemas.openxmlformats.org/officeDocument/2006/math">
        <m:sSub>
          <m:e>
            <m:r>
              <m:rPr>
                <m:lit/>
                <m:nor/>
              </m:rPr>
              <w:rPr>
                <w:rFonts w:ascii="Cambria Math" w:hAnsi="Cambria Math"/>
              </w:rPr>
              <m:t xml:space="preserve">ListPrice</m:t>
            </m:r>
          </m:e>
          <m:sub>
            <m:r>
              <w:rPr>
                <w:rFonts w:ascii="Cambria Math" w:hAnsi="Cambria Math"/>
              </w:rPr>
              <m:t xml:space="preserve">j</m:t>
            </m:r>
            <m:r>
              <w:rPr>
                <w:rFonts w:ascii="Cambria Math" w:hAnsi="Cambria Math"/>
              </w:rPr>
              <m:t xml:space="preserve">t</m:t>
            </m:r>
          </m:sub>
        </m:sSub>
        <m:r>
          <w:rPr>
            <w:rFonts w:ascii="Cambria Math" w:hAnsi="Cambria Math"/>
          </w:rPr>
          <m:t xml:space="preserve">×</m:t>
        </m:r>
        <m:r>
          <w:rPr>
            <w:rFonts w:ascii="Cambria Math" w:hAnsi="Cambria Math"/>
          </w:rPr>
          <m:t xml:space="preserve">(</m:t>
        </m:r>
        <m:f>
          <m:fPr>
            <m:type m:val="lin"/>
          </m:fPr>
          <m:num>
            <m:sSub>
              <m:e>
                <m:r>
                  <w:rPr>
                    <w:rFonts w:ascii="Cambria Math" w:hAnsi="Cambria Math"/>
                  </w:rPr>
                  <m:t xml:space="preserve">d</m:t>
                </m:r>
              </m:e>
              <m:sub>
                <m:r>
                  <w:rPr>
                    <w:rFonts w:ascii="Cambria Math" w:hAnsi="Cambria Math"/>
                  </w:rPr>
                  <m:t xml:space="preserve">j</m:t>
                </m:r>
                <m:r>
                  <w:rPr>
                    <w:rFonts w:ascii="Cambria Math" w:hAnsi="Cambria Math"/>
                  </w:rPr>
                  <m:t xml:space="preserve">t</m:t>
                </m:r>
              </m:sub>
            </m:sSub>
          </m:num>
          <m:den>
            <m:r>
              <w:rPr>
                <w:rFonts w:ascii="Cambria Math" w:hAnsi="Cambria Math"/>
              </w:rPr>
              <m:t xml:space="preserve">100</m:t>
            </m:r>
          </m:den>
        </m:f>
        <m:r>
          <w:rPr>
            <w:rFonts w:ascii="Cambria Math" w:hAnsi="Cambria Math"/>
          </w:rPr>
          <m:t xml:space="preserve">)</m:t>
        </m:r>
      </m:oMath>
      <w:r>
        <w:rPr/>
        <w:t xml:space="preserve"> for discounted options (</w:t>
      </w:r>
      <w:r>
        <w:rPr/>
      </w:r>
      <m:oMath xmlns:m="http://schemas.openxmlformats.org/officeDocument/2006/math">
        <m:sSub>
          <m:e>
            <m:r>
              <w:rPr>
                <w:rFonts w:ascii="Cambria Math" w:hAnsi="Cambria Math"/>
              </w:rPr>
              <m:t xml:space="preserve">d</m:t>
            </m:r>
          </m:e>
          <m:sub>
            <m:r>
              <w:rPr>
                <w:rFonts w:ascii="Cambria Math" w:hAnsi="Cambria Math"/>
              </w:rPr>
              <m:t xml:space="preserve">j</m:t>
            </m:r>
            <m:r>
              <w:rPr>
                <w:rFonts w:ascii="Cambria Math" w:hAnsi="Cambria Math"/>
              </w:rPr>
              <m:t xml:space="preserve">t</m:t>
            </m:r>
          </m:sub>
        </m:sSub>
        <m:r>
          <w:rPr>
            <w:rFonts w:ascii="Cambria Math" w:hAnsi="Cambria Math"/>
          </w:rPr>
          <m:t xml:space="preserve">∈</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40</m:t>
        </m:r>
        <m: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m:t>
        </m:r>
        <m:r>
          <w:rPr>
            <w:rFonts w:ascii="Cambria Math" w:hAnsi="Cambria Math"/>
          </w:rPr>
          <m:t xml:space="preserve">0.00</m:t>
        </m:r>
      </m:oMath>
      <w:r>
        <w:rPr/>
        <w:t xml:space="preserve"> for non-discounted options. The coding for </w:t>
      </w:r>
      <w:r>
        <w:rPr/>
      </w:r>
      <m:oMath xmlns:m="http://schemas.openxmlformats.org/officeDocument/2006/math">
        <m:sSub>
          <m:e>
            <m:r>
              <m:rPr>
                <m:lit/>
                <m:nor/>
              </m:rPr>
              <w:rPr>
                <w:rFonts w:ascii="Cambria Math" w:hAnsi="Cambria Math"/>
              </w:rPr>
              <m:t xml:space="preserve">Weight</m:t>
            </m:r>
          </m:e>
          <m:sub>
            <m:r>
              <w:rPr>
                <w:rFonts w:ascii="Cambria Math" w:hAnsi="Cambria Math"/>
              </w:rPr>
              <m:t xml:space="preserve">j</m:t>
            </m:r>
            <m:r>
              <w:rPr>
                <w:rFonts w:ascii="Cambria Math" w:hAnsi="Cambria Math"/>
              </w:rPr>
              <m:t xml:space="preserve">t</m:t>
            </m:r>
          </m:sub>
        </m:sSub>
      </m:oMath>
      <w:r>
        <w:rPr/>
        <w:t xml:space="preserve">, brand indicators </w:t>
      </w:r>
      <w:r>
        <w:rPr/>
      </w:r>
      <m:oMath xmlns:m="http://schemas.openxmlformats.org/officeDocument/2006/math">
        <m:sSub>
          <m:e>
            <m:r>
              <w:rPr>
                <w:rFonts w:ascii="Cambria Math" w:hAnsi="Cambria Math"/>
              </w:rPr>
              <m:t xml:space="preserve">B</m:t>
            </m:r>
            <m:r>
              <w:rPr>
                <w:rFonts w:ascii="Cambria Math" w:hAnsi="Cambria Math"/>
              </w:rPr>
              <m:t xml:space="preserve">r</m:t>
            </m:r>
            <m:r>
              <w:rPr>
                <w:rFonts w:ascii="Cambria Math" w:hAnsi="Cambria Math"/>
              </w:rPr>
              <m:t xml:space="preserve">a</m:t>
            </m:r>
            <m:r>
              <w:rPr>
                <w:rFonts w:ascii="Cambria Math" w:hAnsi="Cambria Math"/>
              </w:rPr>
              <m:t xml:space="preserve">n</m:t>
            </m:r>
            <m:r>
              <w:rPr>
                <w:rFonts w:ascii="Cambria Math" w:hAnsi="Cambria Math"/>
              </w:rPr>
              <m:t xml:space="preserve">d</m:t>
            </m:r>
          </m:e>
          <m:sub>
            <m:r>
              <w:rPr>
                <w:rFonts w:ascii="Cambria Math" w:hAnsi="Cambria Math"/>
              </w:rPr>
              <m:t xml:space="preserve">j</m:t>
            </m:r>
            <m:r>
              <w:rPr>
                <w:rFonts w:ascii="Cambria Math" w:hAnsi="Cambria Math"/>
              </w:rPr>
              <m:t xml:space="preserve">t</m:t>
            </m:r>
          </m:sub>
        </m:sSub>
      </m:oMath>
      <w:r>
        <w:rPr/>
        <w:t xml:space="preserve"> (reference: </w:t>
      </w:r>
      <w:r>
        <w:rPr>
          <w:i/>
          <w:iCs/>
        </w:rPr>
        <w:t>Folgers</w:t>
      </w:r>
      <w:r>
        <w:rPr/>
        <w:t xml:space="preserve">), and display positions </w:t>
      </w:r>
      <w:r>
        <w:rPr/>
      </w:r>
      <m:oMath xmlns:m="http://schemas.openxmlformats.org/officeDocument/2006/math">
        <m:sSub>
          <m:e>
            <m:r>
              <w:rPr>
                <w:rFonts w:ascii="Cambria Math" w:hAnsi="Cambria Math"/>
              </w:rPr>
              <m:t xml:space="preserve">P</m:t>
            </m:r>
            <m:r>
              <w:rPr>
                <w:rFonts w:ascii="Cambria Math" w:hAnsi="Cambria Math"/>
              </w:rPr>
              <m:t xml:space="preserve">o</m:t>
            </m:r>
            <m:r>
              <w:rPr>
                <w:rFonts w:ascii="Cambria Math" w:hAnsi="Cambria Math"/>
              </w:rPr>
              <m:t xml:space="preserve">s</m:t>
            </m:r>
            <m:r>
              <w:rPr>
                <w:rFonts w:ascii="Cambria Math" w:hAnsi="Cambria Math"/>
              </w:rPr>
              <m:t xml:space="preserve">i</m:t>
            </m:r>
            <m:r>
              <w:rPr>
                <w:rFonts w:ascii="Cambria Math" w:hAnsi="Cambria Math"/>
              </w:rPr>
              <m:t xml:space="preserve">t</m:t>
            </m:r>
            <m:r>
              <w:rPr>
                <w:rFonts w:ascii="Cambria Math" w:hAnsi="Cambria Math"/>
              </w:rPr>
              <m:t xml:space="preserve">i</m:t>
            </m:r>
            <m:r>
              <w:rPr>
                <w:rFonts w:ascii="Cambria Math" w:hAnsi="Cambria Math"/>
              </w:rPr>
              <m:t xml:space="preserve">o</m:t>
            </m:r>
            <m:r>
              <w:rPr>
                <w:rFonts w:ascii="Cambria Math" w:hAnsi="Cambria Math"/>
              </w:rPr>
              <m:t xml:space="preserve">n</m:t>
            </m:r>
          </m:e>
          <m:sub>
            <m:r>
              <w:rPr>
                <w:rFonts w:ascii="Cambria Math" w:hAnsi="Cambria Math"/>
              </w:rPr>
              <m:t xml:space="preserve">j</m:t>
            </m:r>
            <m:r>
              <w:rPr>
                <w:rFonts w:ascii="Cambria Math" w:hAnsi="Cambria Math"/>
              </w:rPr>
              <m:t xml:space="preserve">t</m:t>
            </m:r>
          </m:sub>
        </m:sSub>
      </m:oMath>
      <w:r>
        <w:rPr/>
        <w:t xml:space="preserve"> (reference: Position 1) follows the definitions in Web Appendix A.</w:t>
      </w:r>
    </w:p>
    <w:p>
      <w:pPr>
        <w:pStyle w:val="Heading3"/>
        <w:rPr/>
      </w:pPr>
      <w:bookmarkStart w:id="123" w:name="test-of-promotional-sensitivity"/>
      <w:r>
        <w:rPr/>
        <w:t>Test of promotional sensitivity</w:t>
      </w:r>
    </w:p>
    <w:p>
      <w:pPr>
        <w:pStyle w:val="FirstParagraph"/>
        <w:rPr/>
      </w:pPr>
      <w:r>
        <w:rPr/>
        <w:t xml:space="preserve">Under normative utility maximization, a one-dollar reduction achieved through a promotional discount must yield the identical marginal utility as a one-dollar reduction in base list price. Because </w:t>
      </w:r>
      <w:r>
        <w:rPr/>
      </w:r>
      <m:oMath xmlns:m="http://schemas.openxmlformats.org/officeDocument/2006/math">
        <m:sSub>
          <m:e>
            <m:r>
              <m:rPr>
                <m:lit/>
                <m:nor/>
              </m:rPr>
              <w:rPr>
                <w:rFonts w:ascii="Cambria Math" w:hAnsi="Cambria Math"/>
              </w:rPr>
              <m:t xml:space="preserve">ListPrice</m:t>
            </m:r>
          </m:e>
          <m:sub>
            <m:r>
              <w:rPr>
                <w:rFonts w:ascii="Cambria Math" w:hAnsi="Cambria Math"/>
              </w:rPr>
              <m:t xml:space="preserve">j</m:t>
            </m:r>
            <m:r>
              <w:rPr>
                <w:rFonts w:ascii="Cambria Math" w:hAnsi="Cambria Math"/>
              </w:rPr>
              <m:t xml:space="preserve">t</m:t>
            </m:r>
          </m:sub>
        </m:sSub>
      </m:oMath>
      <w:r>
        <w:rPr/>
        <w:t xml:space="preserve"> represents a dollar expenditure (negative utility, </w:t>
      </w:r>
      <w:r>
        <w:rPr/>
      </w:r>
      <m:oMath xmlns:m="http://schemas.openxmlformats.org/officeDocument/2006/math">
        <m:sSub>
          <m:e>
            <m:r>
              <w:rPr>
                <w:rFonts w:ascii="Cambria Math" w:hAnsi="Cambria Math"/>
              </w:rPr>
              <m:t xml:space="preserve">β</m:t>
            </m:r>
          </m:e>
          <m:sub>
            <m:r>
              <w:rPr>
                <w:rFonts w:ascii="Cambria Math" w:hAnsi="Cambria Math"/>
              </w:rPr>
              <m:t xml:space="preserve">L</m:t>
            </m:r>
            <m:r>
              <w:rPr>
                <w:rFonts w:ascii="Cambria Math" w:hAnsi="Cambria Math"/>
              </w:rPr>
              <m:t xml:space="preserve">P</m:t>
            </m:r>
          </m:sub>
        </m:sSub>
        <m:r>
          <w:rPr>
            <w:rFonts w:ascii="Cambria Math" w:hAnsi="Cambria Math"/>
          </w:rPr>
          <m:t xml:space="preserve">&lt;</m:t>
        </m:r>
        <m:r>
          <w:rPr>
            <w:rFonts w:ascii="Cambria Math" w:hAnsi="Cambria Math"/>
          </w:rPr>
          <m:t xml:space="preserve">0</m:t>
        </m:r>
      </m:oMath>
      <w:r>
        <w:rPr/>
        <w:t xml:space="preserve">) and </w:t>
      </w:r>
      <w:r>
        <w:rPr/>
      </w:r>
      <m:oMath xmlns:m="http://schemas.openxmlformats.org/officeDocument/2006/math">
        <m:sSub>
          <m:e>
            <m:r>
              <m:rPr>
                <m:lit/>
                <m:nor/>
              </m:rPr>
              <w:rPr>
                <w:rFonts w:ascii="Cambria Math" w:hAnsi="Cambria Math"/>
              </w:rPr>
              <m:t xml:space="preserve">DiscountAmount</m:t>
            </m:r>
          </m:e>
          <m:sub>
            <m:r>
              <w:rPr>
                <w:rFonts w:ascii="Cambria Math" w:hAnsi="Cambria Math"/>
              </w:rPr>
              <m:t xml:space="preserve">j</m:t>
            </m:r>
            <m:r>
              <w:rPr>
                <w:rFonts w:ascii="Cambria Math" w:hAnsi="Cambria Math"/>
              </w:rPr>
              <m:t xml:space="preserve">t</m:t>
            </m:r>
          </m:sub>
        </m:sSub>
      </m:oMath>
      <w:r>
        <w:rPr/>
        <w:t xml:space="preserve"> represents an expenditure reduction (positive utility, </w:t>
      </w:r>
      <w:r>
        <w:rPr/>
      </w:r>
      <m:oMath xmlns:m="http://schemas.openxmlformats.org/officeDocument/2006/math">
        <m:sSub>
          <m:e>
            <m:r>
              <w:rPr>
                <w:rFonts w:ascii="Cambria Math" w:hAnsi="Cambria Math"/>
              </w:rPr>
              <m:t xml:space="preserve">β</m:t>
            </m:r>
          </m:e>
          <m:sub>
            <m:r>
              <w:rPr>
                <w:rFonts w:ascii="Cambria Math" w:hAnsi="Cambria Math"/>
              </w:rPr>
              <m:t xml:space="preserve">D</m:t>
            </m:r>
            <m:r>
              <w:rPr>
                <w:rFonts w:ascii="Cambria Math" w:hAnsi="Cambria Math"/>
              </w:rPr>
              <m:t xml:space="preserve">A</m:t>
            </m:r>
          </m:sub>
        </m:sSub>
        <m:r>
          <w:rPr>
            <w:rFonts w:ascii="Cambria Math" w:hAnsi="Cambria Math"/>
          </w:rPr>
          <m:t xml:space="preserve">&gt;</m:t>
        </m:r>
        <m:r>
          <w:rPr>
            <w:rFonts w:ascii="Cambria Math" w:hAnsi="Cambria Math"/>
          </w:rPr>
          <m:t xml:space="preserve">0</m:t>
        </m:r>
      </m:oMath>
      <w:r>
        <w:rPr/>
        <w:t>), rational economic equivalence requires:</w:t>
      </w:r>
    </w:p>
    <w:p>
      <w:pPr>
        <w:pStyle w:val="BodyText"/>
        <w:jc w:val="center"/>
        <w:rPr/>
      </w:pPr>
      <w:r>
        <w:rPr/>
      </w:r>
      <m:oMathPara xmlns:m="http://schemas.openxmlformats.org/officeDocument/2006/math">
        <m:oMathParaPr>
          <m:jc m:val="center"/>
        </m:oMathParaPr>
        <m:oMath>
          <m:f>
            <m:num>
              <m:sSub>
                <m:e>
                  <m:r>
                    <w:rPr>
                      <w:rFonts w:ascii="Cambria Math" w:hAnsi="Cambria Math"/>
                    </w:rPr>
                    <m:t xml:space="preserve">β</m:t>
                  </m:r>
                </m:e>
                <m:sub>
                  <m:r>
                    <w:rPr>
                      <w:rFonts w:ascii="Cambria Math" w:hAnsi="Cambria Math"/>
                    </w:rPr>
                    <m:t xml:space="preserve">D</m:t>
                  </m:r>
                  <m:r>
                    <w:rPr>
                      <w:rFonts w:ascii="Cambria Math" w:hAnsi="Cambria Math"/>
                    </w:rPr>
                    <m:t xml:space="preserve">A</m:t>
                  </m:r>
                </m:sub>
              </m:sSub>
            </m:num>
            <m:den>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L</m:t>
                  </m:r>
                  <m:r>
                    <w:rPr>
                      <w:rFonts w:ascii="Cambria Math" w:hAnsi="Cambria Math"/>
                    </w:rPr>
                    <m:t xml:space="preserve">P</m:t>
                  </m:r>
                </m:sub>
              </m:sSub>
              <m:r>
                <m:rPr>
                  <m:lit/>
                  <m:nor/>
                </m:rPr>
                <w:rPr>
                  <w:rFonts w:ascii="Cambria Math" w:hAnsi="Cambria Math"/>
                </w:rPr>
                <m:t xml:space="preserve">|</m:t>
              </m:r>
            </m:den>
          </m:f>
          <m:r>
            <w:rPr>
              <w:rFonts w:ascii="Cambria Math" w:hAnsi="Cambria Math"/>
            </w:rPr>
            <m:t xml:space="preserve">=</m:t>
          </m:r>
          <m:r>
            <w:rPr>
              <w:rFonts w:ascii="Cambria Math" w:hAnsi="Cambria Math"/>
            </w:rPr>
            <m:t xml:space="preserve">1.00</m:t>
          </m:r>
        </m:oMath>
      </m:oMathPara>
    </w:p>
    <w:p>
      <w:pPr>
        <w:pStyle w:val="FirstParagraph"/>
        <w:rPr/>
      </w:pPr>
      <w:r>
        <w:rPr/>
        <w:t xml:space="preserve">A ratio </w:t>
      </w:r>
      <w:r>
        <w:rPr/>
      </w:r>
      <m:oMath xmlns:m="http://schemas.openxmlformats.org/officeDocument/2006/math">
        <m:f>
          <m:fPr>
            <m:type m:val="lin"/>
          </m:fPr>
          <m:num>
            <m:sSub>
              <m:e>
                <m:r>
                  <w:rPr>
                    <w:rFonts w:ascii="Cambria Math" w:hAnsi="Cambria Math"/>
                  </w:rPr>
                  <m:t xml:space="preserve">β</m:t>
                </m:r>
              </m:e>
              <m:sub>
                <m:r>
                  <w:rPr>
                    <w:rFonts w:ascii="Cambria Math" w:hAnsi="Cambria Math"/>
                  </w:rPr>
                  <m:t xml:space="preserve">D</m:t>
                </m:r>
                <m:r>
                  <w:rPr>
                    <w:rFonts w:ascii="Cambria Math" w:hAnsi="Cambria Math"/>
                  </w:rPr>
                  <m:t xml:space="preserve">A</m:t>
                </m:r>
              </m:sub>
            </m:sSub>
          </m:num>
          <m:den>
            <m:r>
              <m:rPr>
                <m:lit/>
                <m:nor/>
              </m:rPr>
              <w:rPr>
                <w:rFonts w:ascii="Cambria Math" w:hAnsi="Cambria Math"/>
              </w:rPr>
              <m:t xml:space="preserve">|</m:t>
            </m:r>
          </m:den>
        </m:f>
        <m:sSub>
          <m:e>
            <m:r>
              <w:rPr>
                <w:rFonts w:ascii="Cambria Math" w:hAnsi="Cambria Math"/>
              </w:rPr>
              <m:t xml:space="preserve">β</m:t>
            </m:r>
          </m:e>
          <m:sub>
            <m:r>
              <w:rPr>
                <w:rFonts w:ascii="Cambria Math" w:hAnsi="Cambria Math"/>
              </w:rPr>
              <m:t xml:space="preserve">L</m:t>
            </m:r>
            <m:r>
              <w:rPr>
                <w:rFonts w:ascii="Cambria Math" w:hAnsi="Cambria Math"/>
              </w:rPr>
              <m:t xml:space="preserve">P</m:t>
            </m:r>
          </m:sub>
        </m:sSub>
        <m:r>
          <m:rPr>
            <m:lit/>
            <m:nor/>
          </m:rPr>
          <w:rPr>
            <w:rFonts w:ascii="Cambria Math" w:hAnsi="Cambria Math"/>
          </w:rPr>
          <m:t xml:space="preserve">|</m:t>
        </m:r>
        <m:r>
          <w:rPr>
            <w:rFonts w:ascii="Cambria Math" w:hAnsi="Cambria Math"/>
          </w:rPr>
          <m:t xml:space="preserve">&gt;</m:t>
        </m:r>
        <m:r>
          <w:rPr>
            <w:rFonts w:ascii="Cambria Math" w:hAnsi="Cambria Math"/>
          </w:rPr>
          <m:t xml:space="preserve">1.00</m:t>
        </m:r>
      </m:oMath>
      <w:r>
        <w:rPr/>
        <w:t xml:space="preserve"> indicates that the LLM over-weights promotional savings relative to base price reductions (consistent with promotional framing susceptibility and transaction utility; R. Thaler 1985), whereas a ratio </w:t>
      </w:r>
      <w:r>
        <w:rPr/>
      </w:r>
      <m:oMath xmlns:m="http://schemas.openxmlformats.org/officeDocument/2006/math">
        <m:r>
          <w:rPr>
            <w:rFonts w:ascii="Cambria Math" w:hAnsi="Cambria Math"/>
          </w:rPr>
          <m:t xml:space="preserve">1.00</m:t>
        </m:r>
      </m:oMath>
      <w:r>
        <w:rPr/>
        <w:t xml:space="preserve"> reflects undervaluing amount saved by discounts relative to list price. As in Web Appendix A, exact 95% confidence intervals are computed using Fieller’s theorem (Fieller 1954) to account for the covariance between </w:t>
      </w:r>
      <w:r>
        <w:rPr/>
      </w:r>
      <m:oMath xmlns:m="http://schemas.openxmlformats.org/officeDocument/2006/math">
        <m:sSub>
          <m:e>
            <m:acc>
              <m:accPr>
                <m:chr m:val="^"/>
              </m:accPr>
              <m:e>
                <m:r>
                  <w:rPr>
                    <w:rFonts w:ascii="Cambria Math" w:hAnsi="Cambria Math"/>
                  </w:rPr>
                  <m:t xml:space="preserve">β</m:t>
                </m:r>
              </m:e>
            </m:acc>
          </m:e>
          <m:sub>
            <m:r>
              <w:rPr>
                <w:rFonts w:ascii="Cambria Math" w:hAnsi="Cambria Math"/>
              </w:rPr>
              <m:t xml:space="preserve">D</m:t>
            </m:r>
            <m:r>
              <w:rPr>
                <w:rFonts w:ascii="Cambria Math" w:hAnsi="Cambria Math"/>
              </w:rPr>
              <m:t xml:space="preserve">A</m:t>
            </m:r>
          </m:sub>
        </m:sSub>
      </m:oMath>
      <w:r>
        <w:rPr/>
        <w:t xml:space="preserve"> and </w:t>
      </w:r>
      <w:r>
        <w:rPr/>
      </w:r>
      <m:oMath xmlns:m="http://schemas.openxmlformats.org/officeDocument/2006/math">
        <m:sSub>
          <m:e>
            <m:acc>
              <m:accPr>
                <m:chr m:val="^"/>
              </m:accPr>
              <m:e>
                <m:r>
                  <w:rPr>
                    <w:rFonts w:ascii="Cambria Math" w:hAnsi="Cambria Math"/>
                  </w:rPr>
                  <m:t xml:space="preserve">β</m:t>
                </m:r>
              </m:e>
            </m:acc>
          </m:e>
          <m:sub>
            <m:r>
              <w:rPr>
                <w:rFonts w:ascii="Cambria Math" w:hAnsi="Cambria Math"/>
              </w:rPr>
              <m:t xml:space="preserve">L</m:t>
            </m:r>
            <m:r>
              <w:rPr>
                <w:rFonts w:ascii="Cambria Math" w:hAnsi="Cambria Math"/>
              </w:rPr>
              <m:t xml:space="preserve">P</m:t>
            </m:r>
          </m:sub>
        </m:sSub>
      </m:oMath>
      <w:r>
        <w:rPr/>
        <w:t>.</w:t>
      </w:r>
    </w:p>
    <w:p>
      <w:pPr>
        <w:pStyle w:val="BodyText"/>
        <w:rPr/>
      </w:pPr>
      <w:r>
        <w:rPr/>
        <w:t xml:space="preserve">Parameter estimates across all eight LLMs are reported in </w:t>
      </w:r>
      <w:hyperlink w:anchor="apptbl-s2aresults">
        <w:r>
          <w:rPr>
            <w:rStyle w:val="Hyperlink"/>
          </w:rPr>
          <w:t>Table W19</w:t>
        </w:r>
      </w:hyperlink>
      <w:r>
        <w:rPr/>
        <w:t xml:space="preserve">, and the formal Fieller ratio tests are reported in </w:t>
      </w:r>
      <w:hyperlink w:anchor="apptbl-s2a-discount-price-ratio">
        <w:r>
          <w:rPr>
            <w:rStyle w:val="Hyperlink"/>
          </w:rPr>
          <w:t>Table W20</w:t>
        </w:r>
      </w:hyperlink>
      <w:r>
        <w:rPr/>
        <w:t>.</w:t>
      </w:r>
    </w:p>
    <w:p>
      <w:pPr>
        <w:pStyle w:val="Normal"/>
        <w:rPr/>
      </w:pPr>
      <w:r>
        <w:rPr/>
      </w:r>
      <w:bookmarkEnd w:id="117"/>
      <w:bookmarkEnd w:id="122"/>
      <w:bookmarkEnd w:id="123"/>
      <w:r>
        <w:br w:type="page"/>
      </w:r>
    </w:p>
    <w:p>
      <w:pPr>
        <w:pStyle w:val="Heading1"/>
        <w:spacing w:before="0" w:after="80"/>
        <w:rPr/>
      </w:pPr>
      <w:bookmarkStart w:id="124" w:name="sec-appendix-expectimax"/>
      <w:r>
        <w:rPr/>
        <w:t>Web appendix C: Expectimax normative benchmarking</w:t>
      </w:r>
    </w:p>
    <w:p>
      <w:pPr>
        <w:pStyle w:val="FirstParagraph"/>
        <w:rPr/>
      </w:pPr>
      <w:r>
        <w:rPr/>
        <w:t>To evaluate whether LLM search truncation under constraint reflects optimal economic adaptation or an uncalibrated heuristic response, we benchmark observed LLM behavior against a normative Expectimax decision-tree policy. Expectimax provides the game-theoretic solution to a Partially Observable Markov Decision Process (POMDP) under resource scarcity (Russell 2010). By recursively computing the Expected Value of Information (EVI) for each available tool call, the algorithm identifies the point at which the marginal informational benefit of inspecting an additional attribute no longer justifies the compounding financial search cost.</w:t>
      </w:r>
    </w:p>
    <w:p>
      <w:pPr>
        <w:pStyle w:val="Heading2"/>
        <w:rPr/>
      </w:pPr>
      <w:bookmarkStart w:id="125" w:name="the-shopping-task"/>
      <w:r>
        <w:rPr/>
        <w:t>The shopping task</w:t>
      </w:r>
    </w:p>
    <w:p>
      <w:pPr>
        <w:pStyle w:val="FirstParagraph"/>
        <w:rPr/>
      </w:pPr>
      <w:r>
        <w:rPr/>
        <w:t xml:space="preserve">The decision environment casts the surrogate consumer in an electronic retailing choice task over a set of alternatives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J</m:t>
        </m:r>
        <m:r>
          <w:rPr>
            <w:rFonts w:ascii="Cambria Math" w:hAnsi="Cambria Math"/>
          </w:rPr>
          <m:t xml:space="preserve">}</m:t>
        </m:r>
      </m:oMath>
      <w:r>
        <w:rPr/>
        <w:t xml:space="preserve">. The surrogate consumer is delegated to select a single alternative </w:t>
      </w:r>
      <w:r>
        <w:rPr/>
      </w:r>
      <m:oMath xmlns:m="http://schemas.openxmlformats.org/officeDocument/2006/math">
        <m:sSup>
          <m:e>
            <m:r>
              <w:rPr>
                <w:rFonts w:ascii="Cambria Math" w:hAnsi="Cambria Math"/>
              </w:rPr>
              <m:t xml:space="preserve">j</m:t>
            </m:r>
          </m:e>
          <m:sup>
            <m:r>
              <m:rPr>
                <m:lit/>
                <m:nor/>
              </m:rPr>
              <w:rPr>
                <w:rFonts w:ascii="Cambria Math" w:hAnsi="Cambria Math"/>
              </w:rPr>
              <m:t xml:space="preserve">*</m:t>
            </m:r>
          </m:sup>
        </m:sSup>
        <m:r>
          <w:rPr>
            <w:rFonts w:ascii="Cambria Math" w:hAnsi="Cambria Math"/>
          </w:rPr>
          <m:t xml:space="preserve">∈</m:t>
        </m:r>
        <m:r>
          <w:rPr>
            <w:rFonts w:ascii="Cambria Math" w:hAnsi="Cambria Math"/>
          </w:rPr>
          <m:t xml:space="preserve">J</m:t>
        </m:r>
      </m:oMath>
      <w:r>
        <w:rPr/>
        <w:t xml:space="preserve"> on behalf of a human consumer. The human consumer will subsequently purchase </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5</m:t>
        </m:r>
      </m:oMath>
      <w:r>
        <w:rPr/>
        <w:t xml:space="preserve"> units (bags) of the selected product.</w:t>
      </w:r>
    </w:p>
    <w:p>
      <w:pPr>
        <w:pStyle w:val="BodyText"/>
        <w:rPr/>
      </w:pPr>
      <w:r>
        <w:rPr/>
        <w:t xml:space="preserve">Information acquisition is operationalized through discrete tool invocations. The surrogate consumer begins in an uninformative state where product attributes are occluded behind closed cells. Revealing an attribute cell incurs an explicit financial penalty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0.00</m:t>
        </m:r>
        <m:r>
          <w:rPr>
            <w:rFonts w:ascii="Cambria Math" w:hAnsi="Cambria Math"/>
          </w:rPr>
          <m:t xml:space="preserve">,</m:t>
        </m:r>
        <m:r>
          <w:rPr>
            <w:rFonts w:ascii="Cambria Math" w:hAnsi="Cambria Math"/>
          </w:rPr>
          <m:t xml:space="preserve">$</m:t>
        </m:r>
        <m:r>
          <w:rPr>
            <w:rFonts w:ascii="Cambria Math" w:hAnsi="Cambria Math"/>
          </w:rPr>
          <m:t xml:space="preserve">0.01</m:t>
        </m:r>
        <m:r>
          <w:rPr>
            <w:rFonts w:ascii="Cambria Math" w:hAnsi="Cambria Math"/>
          </w:rPr>
          <m:t xml:space="preserve">,</m:t>
        </m:r>
        <m:r>
          <w:rPr>
            <w:rFonts w:ascii="Cambria Math" w:hAnsi="Cambria Math"/>
          </w:rPr>
          <m:t xml:space="preserve">$</m:t>
        </m:r>
        <m:r>
          <w:rPr>
            <w:rFonts w:ascii="Cambria Math" w:hAnsi="Cambria Math"/>
          </w:rPr>
          <m:t xml:space="preserve">0.10</m:t>
        </m:r>
        <m:r>
          <w:rPr>
            <w:rFonts w:ascii="Cambria Math" w:hAnsi="Cambria Math"/>
          </w:rPr>
          <m:t xml:space="preserve">,</m:t>
        </m:r>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m:t>
        </m:r>
        <m:r>
          <w:rPr>
            <w:rFonts w:ascii="Cambria Math" w:hAnsi="Cambria Math"/>
          </w:rPr>
          <m:t xml:space="preserve">10.00</m:t>
        </m:r>
        <m:r>
          <w:rPr>
            <w:rFonts w:ascii="Cambria Math" w:hAnsi="Cambria Math"/>
          </w:rPr>
          <m:t xml:space="preserve">}</m:t>
        </m:r>
      </m:oMath>
      <w:r>
        <w:rPr/>
        <w:t xml:space="preserve"> charged to the delegating consumer. Submitting a final choice incurs zero cost.</w:t>
      </w:r>
      <w:bookmarkEnd w:id="125"/>
    </w:p>
    <w:p>
      <w:pPr>
        <w:pStyle w:val="Heading2"/>
        <w:rPr/>
      </w:pPr>
      <w:bookmarkStart w:id="126" w:name="objective-function"/>
      <w:r>
        <w:rPr/>
        <w:t>Objective function</w:t>
      </w:r>
    </w:p>
    <w:p>
      <w:pPr>
        <w:pStyle w:val="FirstParagraph"/>
        <w:rPr/>
      </w:pPr>
      <w:r>
        <w:rPr/>
        <w:t>A central question in benchmarking information acquisition is how non-monetary physical attributes (product weight in ounces) trade off against monetary search penalties (dollars). In our formulation, this exchange rate is derived from the economics of unit-price minimization.</w:t>
      </w:r>
    </w:p>
    <w:p>
      <w:pPr>
        <w:pStyle w:val="BodyText"/>
        <w:rPr/>
      </w:pPr>
      <w:r>
        <w:rPr/>
        <w:t xml:space="preserve">When alternative </w:t>
      </w:r>
      <w:r>
        <w:rPr/>
      </w:r>
      <m:oMath xmlns:m="http://schemas.openxmlformats.org/officeDocument/2006/math">
        <m:r>
          <w:rPr>
            <w:rFonts w:ascii="Cambria Math" w:hAnsi="Cambria Math"/>
          </w:rPr>
          <m:t xml:space="preserve">j</m:t>
        </m:r>
      </m:oMath>
      <w:r>
        <w:rPr/>
        <w:t xml:space="preserve"> is chosen, the human consumer incurs two financial costs: the purchase cost of the goods (</w:t>
      </w:r>
      <w:r>
        <w:rPr/>
      </w:r>
      <m:oMath xmlns:m="http://schemas.openxmlformats.org/officeDocument/2006/math">
        <m:r>
          <w:rPr>
            <w:rFonts w:ascii="Cambria Math" w:hAnsi="Cambria Math"/>
          </w:rPr>
          <m:t xml:space="preserve">Q</m:t>
        </m:r>
        <m:r>
          <w:rPr>
            <w:rFonts w:ascii="Cambria Math" w:hAnsi="Cambria Math"/>
          </w:rPr>
          <m:t xml:space="preserve">⋅</m:t>
        </m:r>
        <m:sSub>
          <m:e>
            <m:r>
              <w:rPr>
                <w:rFonts w:ascii="Cambria Math" w:hAnsi="Cambria Math"/>
              </w:rPr>
              <m:t xml:space="preserve">P</m:t>
            </m:r>
          </m:e>
          <m:sub>
            <m:r>
              <w:rPr>
                <w:rFonts w:ascii="Cambria Math" w:hAnsi="Cambria Math"/>
              </w:rPr>
              <m:t xml:space="preserve">j</m:t>
            </m:r>
          </m:sub>
        </m:sSub>
      </m:oMath>
      <w:r>
        <w:rPr/>
        <w:t>) and the cumulative tool fees accrued during search (</w:t>
      </w:r>
      <w:r>
        <w:rPr/>
      </w:r>
      <m:oMath xmlns:m="http://schemas.openxmlformats.org/officeDocument/2006/math">
        <m:sSub>
          <m:e>
            <m:r>
              <w:rPr>
                <w:rFonts w:ascii="Cambria Math" w:hAnsi="Cambria Math"/>
              </w:rPr>
              <m:t xml:space="preserve">C</m:t>
            </m:r>
          </m:e>
          <m:sub>
            <m:r>
              <m:rPr>
                <m:lit/>
                <m:nor/>
              </m:rPr>
              <w:rPr>
                <w:rFonts w:ascii="Cambria Math" w:hAnsi="Cambria Math"/>
              </w:rPr>
              <m:t xml:space="preserve">tool</m:t>
            </m:r>
          </m:sub>
        </m:sSub>
      </m:oMath>
      <w:r>
        <w:rPr/>
        <w:t xml:space="preserve">). In return, the consumer receives a total product volume of </w:t>
      </w:r>
      <w:r>
        <w:rPr/>
      </w:r>
      <m:oMath xmlns:m="http://schemas.openxmlformats.org/officeDocument/2006/math">
        <m:r>
          <w:rPr>
            <w:rFonts w:ascii="Cambria Math" w:hAnsi="Cambria Math"/>
          </w:rPr>
          <m:t xml:space="preserve">Q</m:t>
        </m:r>
        <m:r>
          <w:rPr>
            <w:rFonts w:ascii="Cambria Math" w:hAnsi="Cambria Math"/>
          </w:rPr>
          <m:t xml:space="preserve">⋅</m:t>
        </m:r>
        <m:sSub>
          <m:e>
            <m:r>
              <w:rPr>
                <w:rFonts w:ascii="Cambria Math" w:hAnsi="Cambria Math"/>
              </w:rPr>
              <m:t xml:space="preserve">W</m:t>
            </m:r>
          </m:e>
          <m:sub>
            <m:r>
              <w:rPr>
                <w:rFonts w:ascii="Cambria Math" w:hAnsi="Cambria Math"/>
              </w:rPr>
              <m:t xml:space="preserve">j</m:t>
            </m:r>
          </m:sub>
        </m:sSub>
      </m:oMath>
      <w:r>
        <w:rPr/>
        <w:t xml:space="preserve"> ounces. The net cost per ounce delivered to the consumer is:</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Effective Unit Cost</m:t>
          </m:r>
          <m:r>
            <w:rPr>
              <w:rFonts w:ascii="Cambria Math" w:hAnsi="Cambria Math"/>
            </w:rPr>
            <m:t xml:space="preserve">=</m:t>
          </m:r>
          <m:f>
            <m:num>
              <m:r>
                <m:rPr>
                  <m:lit/>
                  <m:nor/>
                </m:rPr>
                <w:rPr>
                  <w:rFonts w:ascii="Cambria Math" w:hAnsi="Cambria Math"/>
                </w:rPr>
                <m:t xml:space="preserve">Total Dollar Cost</m:t>
              </m:r>
            </m:num>
            <m:den>
              <m:r>
                <m:rPr>
                  <m:lit/>
                  <m:nor/>
                </m:rPr>
                <w:rPr>
                  <w:rFonts w:ascii="Cambria Math" w:hAnsi="Cambria Math"/>
                </w:rPr>
                <m:t xml:space="preserve">Total Ounces Delivered</m:t>
              </m:r>
            </m:den>
          </m:f>
          <m:r>
            <w:rPr>
              <w:rFonts w:ascii="Cambria Math" w:hAnsi="Cambria Math"/>
            </w:rPr>
            <m:t xml:space="preserve">=</m:t>
          </m:r>
          <m:f>
            <m:num>
              <m:r>
                <w:rPr>
                  <w:rFonts w:ascii="Cambria Math" w:hAnsi="Cambria Math"/>
                </w:rPr>
                <m:t xml:space="preserve">Q</m:t>
              </m:r>
              <m:r>
                <w:rPr>
                  <w:rFonts w:ascii="Cambria Math" w:hAnsi="Cambria Math"/>
                </w:rPr>
                <m:t xml:space="preserve">⋅</m:t>
              </m:r>
              <m:sSub>
                <m:e>
                  <m:r>
                    <w:rPr>
                      <w:rFonts w:ascii="Cambria Math" w:hAnsi="Cambria Math"/>
                    </w:rPr>
                    <m:t xml:space="preserve">P</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C</m:t>
                  </m:r>
                </m:e>
                <m:sub>
                  <m:r>
                    <m:rPr>
                      <m:lit/>
                      <m:nor/>
                    </m:rPr>
                    <w:rPr>
                      <w:rFonts w:ascii="Cambria Math" w:hAnsi="Cambria Math"/>
                    </w:rPr>
                    <m:t xml:space="preserve">tool</m:t>
                  </m:r>
                </m:sub>
              </m:sSub>
            </m:num>
            <m:den>
              <m:r>
                <w:rPr>
                  <w:rFonts w:ascii="Cambria Math" w:hAnsi="Cambria Math"/>
                </w:rPr>
                <m:t xml:space="preserve">Q</m:t>
              </m:r>
              <m:r>
                <w:rPr>
                  <w:rFonts w:ascii="Cambria Math" w:hAnsi="Cambria Math"/>
                </w:rPr>
                <m:t xml:space="preserve">⋅</m:t>
              </m:r>
              <m:sSub>
                <m:e>
                  <m:r>
                    <w:rPr>
                      <w:rFonts w:ascii="Cambria Math" w:hAnsi="Cambria Math"/>
                    </w:rPr>
                    <m:t xml:space="preserve">W</m:t>
                  </m:r>
                </m:e>
                <m:sub>
                  <m:r>
                    <w:rPr>
                      <w:rFonts w:ascii="Cambria Math" w:hAnsi="Cambria Math"/>
                    </w:rPr>
                    <m:t xml:space="preserve">j</m:t>
                  </m:r>
                </m:sub>
              </m:sSub>
            </m:den>
          </m:f>
          <m:r>
            <w:rPr>
              <w:rFonts w:ascii="Cambria Math" w:hAnsi="Cambria Math"/>
            </w:rPr>
            <m:t xml:space="preserve">=</m:t>
          </m:r>
          <m:d>
            <m:dPr>
              <m:begChr m:val="("/>
              <m:endChr m:val=")"/>
            </m:dPr>
            <m:e>
              <m:sSub>
                <m:e>
                  <m:r>
                    <w:rPr>
                      <w:rFonts w:ascii="Cambria Math" w:hAnsi="Cambria Math"/>
                    </w:rPr>
                    <m:t xml:space="preserve">P</m:t>
                  </m:r>
                </m:e>
                <m:sub>
                  <m:r>
                    <w:rPr>
                      <w:rFonts w:ascii="Cambria Math" w:hAnsi="Cambria Math"/>
                    </w:rPr>
                    <m:t xml:space="preserve">j</m:t>
                  </m:r>
                </m:sub>
              </m:sSub>
              <m:r>
                <w:rPr>
                  <w:rFonts w:ascii="Cambria Math" w:hAnsi="Cambria Math"/>
                </w:rPr>
                <m:t xml:space="preserve">+</m:t>
              </m:r>
              <m:f>
                <m:num>
                  <m:sSub>
                    <m:e>
                      <m:r>
                        <w:rPr>
                          <w:rFonts w:ascii="Cambria Math" w:hAnsi="Cambria Math"/>
                        </w:rPr>
                        <m:t xml:space="preserve">C</m:t>
                      </m:r>
                    </m:e>
                    <m:sub>
                      <m:r>
                        <m:rPr>
                          <m:lit/>
                          <m:nor/>
                        </m:rPr>
                        <w:rPr>
                          <w:rFonts w:ascii="Cambria Math" w:hAnsi="Cambria Math"/>
                        </w:rPr>
                        <m:t xml:space="preserve">tool</m:t>
                      </m:r>
                    </m:sub>
                  </m:sSub>
                </m:num>
                <m:den>
                  <m:r>
                    <w:rPr>
                      <w:rFonts w:ascii="Cambria Math" w:hAnsi="Cambria Math"/>
                    </w:rPr>
                    <m:t xml:space="preserve">Q</m:t>
                  </m:r>
                </m:den>
              </m:f>
            </m:e>
          </m:d>
          <m:f>
            <m:num>
              <m:r>
                <w:rPr>
                  <w:rFonts w:ascii="Cambria Math" w:hAnsi="Cambria Math"/>
                </w:rPr>
                <m:t xml:space="preserve">1</m:t>
              </m:r>
            </m:num>
            <m:den>
              <m:sSub>
                <m:e>
                  <m:r>
                    <w:rPr>
                      <w:rFonts w:ascii="Cambria Math" w:hAnsi="Cambria Math"/>
                    </w:rPr>
                    <m:t xml:space="preserve">W</m:t>
                  </m:r>
                </m:e>
                <m:sub>
                  <m:r>
                    <w:rPr>
                      <w:rFonts w:ascii="Cambria Math" w:hAnsi="Cambria Math"/>
                    </w:rPr>
                    <m:t xml:space="preserve">j</m:t>
                  </m:r>
                </m:sub>
              </m:sSub>
            </m:den>
          </m:f>
        </m:oMath>
      </m:oMathPara>
    </w:p>
    <w:p>
      <w:pPr>
        <w:pStyle w:val="FirstParagraph"/>
        <w:rPr/>
      </w:pPr>
      <w:r>
        <w:rPr/>
        <w:t xml:space="preserve">where </w:t>
      </w:r>
      <w:r>
        <w:rPr/>
      </w:r>
      <m:oMath xmlns:m="http://schemas.openxmlformats.org/officeDocument/2006/math">
        <m:r>
          <w:rPr>
            <w:rFonts w:ascii="Cambria Math" w:hAnsi="Cambria Math"/>
          </w:rPr>
          <m:t xml:space="preserve">Q</m:t>
        </m:r>
        <m:r>
          <w:rPr>
            <w:rFonts w:ascii="Cambria Math" w:hAnsi="Cambria Math"/>
          </w:rPr>
          <m:t xml:space="preserve">=</m:t>
        </m:r>
        <m:r>
          <w:rPr>
            <w:rFonts w:ascii="Cambria Math" w:hAnsi="Cambria Math"/>
          </w:rPr>
          <m:t xml:space="preserve">5</m:t>
        </m:r>
      </m:oMath>
      <w:r>
        <w:rPr/>
        <w:t xml:space="preserve"> is the purchase volume and </w:t>
      </w:r>
      <w:r>
        <w:rPr/>
      </w:r>
      <m:oMath xmlns:m="http://schemas.openxmlformats.org/officeDocument/2006/math">
        <m:sSub>
          <m:e>
            <m:r>
              <w:rPr>
                <w:rFonts w:ascii="Cambria Math" w:hAnsi="Cambria Math"/>
              </w:rPr>
              <m:t xml:space="preserve">C</m:t>
            </m:r>
          </m:e>
          <m:sub>
            <m:r>
              <m:rPr>
                <m:lit/>
                <m:nor/>
              </m:rPr>
              <w:rPr>
                <w:rFonts w:ascii="Cambria Math" w:hAnsi="Cambria Math"/>
              </w:rPr>
              <m:t xml:space="preserve">tool</m:t>
            </m:r>
          </m:sub>
        </m:sSub>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nary>
          <m:naryPr>
            <m:chr m:val="∑"/>
            <m:supHide m:val="1"/>
          </m:naryPr>
          <m:sub>
            <m:r>
              <w:rPr>
                <w:rFonts w:ascii="Cambria Math" w:hAnsi="Cambria Math"/>
              </w:rPr>
              <m:t xml:space="preserve">k</m:t>
            </m:r>
            <m:r>
              <w:rPr>
                <w:rFonts w:ascii="Cambria Math" w:hAnsi="Cambria Math"/>
              </w:rPr>
              <m:t xml:space="preserve">∈</m:t>
            </m:r>
            <m:r>
              <m:rPr>
                <m:lit/>
                <m:nor/>
              </m:rPr>
              <w:rPr>
                <w:rFonts w:ascii="Cambria Math" w:hAnsi="Cambria Math"/>
              </w:rPr>
              <m:t xml:space="preserve">inspected</m:t>
            </m:r>
            <m:r>
              <w:rPr>
                <w:rFonts w:ascii="Cambria Math" w:hAnsi="Cambria Math"/>
              </w:rPr>
              <m:t xml:space="preserve">(</m:t>
            </m:r>
            <m:r>
              <w:rPr>
                <w:rFonts w:ascii="Cambria Math" w:hAnsi="Cambria Math"/>
              </w:rPr>
              <m:t xml:space="preserve">s</m:t>
            </m:r>
            <m:r>
              <w:rPr>
                <w:rFonts w:ascii="Cambria Math" w:hAnsi="Cambria Math"/>
              </w:rPr>
              <m:t xml:space="preserve">)</m:t>
            </m:r>
          </m:sub>
          <m:sup/>
          <m:e>
            <m:sSub>
              <m:e>
                <m:r>
                  <w:rPr>
                    <w:rFonts w:ascii="Cambria Math" w:hAnsi="Cambria Math"/>
                  </w:rPr>
                  <m:t xml:space="preserve">c</m:t>
                </m:r>
              </m:e>
              <m:sub>
                <m:r>
                  <w:rPr>
                    <w:rFonts w:ascii="Cambria Math" w:hAnsi="Cambria Math"/>
                  </w:rPr>
                  <m:t xml:space="preserve">k</m:t>
                </m:r>
              </m:sub>
            </m:sSub>
          </m:e>
        </m:nary>
      </m:oMath>
      <w:r>
        <w:rPr/>
        <w:t xml:space="preserve"> is the total financial cost incurred across all </w:t>
      </w:r>
      <w:r>
        <w:rPr>
          <w:i/>
          <w:iCs/>
        </w:rPr>
        <w:t>inspect_cell</w:t>
      </w:r>
      <w:r>
        <w:rPr/>
        <w:t xml:space="preserve"> invocations executed to reach information state </w:t>
      </w:r>
      <w:r>
        <w:rPr/>
      </w:r>
      <m:oMath xmlns:m="http://schemas.openxmlformats.org/officeDocument/2006/math">
        <m:r>
          <w:rPr>
            <w:rFonts w:ascii="Cambria Math" w:hAnsi="Cambria Math"/>
          </w:rPr>
          <m:t xml:space="preserve">s</m:t>
        </m:r>
      </m:oMath>
      <w:r>
        <w:rPr/>
        <w:t xml:space="preserve">. </w:t>
      </w:r>
      <w:r>
        <w:rPr/>
      </w:r>
      <m:oMath xmlns:m="http://schemas.openxmlformats.org/officeDocument/2006/math">
        <m:sSub>
          <m:e>
            <m:r>
              <w:rPr>
                <w:rFonts w:ascii="Cambria Math" w:hAnsi="Cambria Math"/>
              </w:rPr>
              <m:t xml:space="preserve">P</m:t>
            </m:r>
          </m:e>
          <m:sub>
            <m:r>
              <w:rPr>
                <w:rFonts w:ascii="Cambria Math" w:hAnsi="Cambria Math"/>
              </w:rPr>
              <m:t xml:space="preserve">j</m:t>
            </m:r>
          </m:sub>
        </m:sSub>
      </m:oMath>
      <w:r>
        <w:rPr/>
        <w:t xml:space="preserve"> is the net price per bag. In Study 1, </w:t>
      </w:r>
      <w:r>
        <w:rPr/>
      </w:r>
      <m:oMath xmlns:m="http://schemas.openxmlformats.org/officeDocument/2006/math">
        <m:sSub>
          <m:e>
            <m:r>
              <w:rPr>
                <w:rFonts w:ascii="Cambria Math" w:hAnsi="Cambria Math"/>
              </w:rPr>
              <m:t xml:space="preserve">P</m:t>
            </m:r>
          </m:e>
          <m:sub>
            <m:r>
              <w:rPr>
                <w:rFonts w:ascii="Cambria Math" w:hAnsi="Cambria Math"/>
              </w:rPr>
              <m:t xml:space="preserve">j</m:t>
            </m:r>
          </m:sub>
        </m:sSub>
        <m:r>
          <w:rPr>
            <w:rFonts w:ascii="Cambria Math" w:hAnsi="Cambria Math"/>
          </w:rPr>
          <m:t xml:space="preserve">=</m:t>
        </m:r>
        <m:sSub>
          <m:e>
            <m:r>
              <m:rPr>
                <m:lit/>
                <m:nor/>
              </m:rPr>
              <w:rPr>
                <w:rFonts w:ascii="Cambria Math" w:hAnsi="Cambria Math"/>
              </w:rPr>
              <m:t xml:space="preserve">Dollars</m:t>
            </m:r>
          </m:e>
          <m:sub>
            <m:r>
              <w:rPr>
                <w:rFonts w:ascii="Cambria Math" w:hAnsi="Cambria Math"/>
              </w:rPr>
              <m:t xml:space="preserve">j</m:t>
            </m:r>
          </m:sub>
        </m:sSub>
        <m:r>
          <w:rPr>
            <w:rFonts w:ascii="Cambria Math" w:hAnsi="Cambria Math"/>
          </w:rPr>
          <m:t xml:space="preserve">+</m:t>
        </m:r>
        <m:r>
          <w:rPr>
            <w:rFonts w:ascii="Cambria Math" w:hAnsi="Cambria Math"/>
          </w:rPr>
          <m:t xml:space="preserve">0.01</m:t>
        </m:r>
        <m:r>
          <w:rPr>
            <w:rFonts w:ascii="Cambria Math" w:hAnsi="Cambria Math"/>
          </w:rPr>
          <m:t xml:space="preserve">×</m:t>
        </m:r>
        <m:sSub>
          <m:e>
            <m:r>
              <m:rPr>
                <m:lit/>
                <m:nor/>
              </m:rPr>
              <w:rPr>
                <w:rFonts w:ascii="Cambria Math" w:hAnsi="Cambria Math"/>
              </w:rPr>
              <m:t xml:space="preserve">Cents</m:t>
            </m:r>
          </m:e>
          <m:sub>
            <m:r>
              <w:rPr>
                <w:rFonts w:ascii="Cambria Math" w:hAnsi="Cambria Math"/>
              </w:rPr>
              <m:t xml:space="preserve">j</m:t>
            </m:r>
          </m:sub>
        </m:sSub>
      </m:oMath>
      <w:r>
        <w:rPr/>
        <w:t xml:space="preserve">. In Study 2, </w:t>
      </w:r>
      <w:r>
        <w:rPr/>
      </w:r>
      <m:oMath xmlns:m="http://schemas.openxmlformats.org/officeDocument/2006/math">
        <m:sSub>
          <m:e>
            <m:r>
              <w:rPr>
                <w:rFonts w:ascii="Cambria Math" w:hAnsi="Cambria Math"/>
              </w:rPr>
              <m:t xml:space="preserve">P</m:t>
            </m:r>
          </m:e>
          <m:sub>
            <m:r>
              <w:rPr>
                <w:rFonts w:ascii="Cambria Math" w:hAnsi="Cambria Math"/>
              </w:rPr>
              <m:t xml:space="preserve">j</m:t>
            </m:r>
          </m:sub>
        </m:sSub>
        <m:r>
          <w:rPr>
            <w:rFonts w:ascii="Cambria Math" w:hAnsi="Cambria Math"/>
          </w:rPr>
          <m:t xml:space="preserve">=</m:t>
        </m:r>
        <m:sSub>
          <m:e>
            <m:r>
              <m:rPr>
                <m:lit/>
                <m:nor/>
              </m:rPr>
              <w:rPr>
                <w:rFonts w:ascii="Cambria Math" w:hAnsi="Cambria Math"/>
              </w:rPr>
              <m:t xml:space="preserve">ListPrice</m:t>
            </m:r>
          </m:e>
          <m:sub>
            <m:r>
              <w:rPr>
                <w:rFonts w:ascii="Cambria Math" w:hAnsi="Cambria Math"/>
              </w:rPr>
              <m:t xml:space="preserve">j</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f>
              <m:num>
                <m:sSub>
                  <m:e>
                    <m:r>
                      <m:rPr>
                        <m:lit/>
                        <m:nor/>
                      </m:rPr>
                      <w:rPr>
                        <w:rFonts w:ascii="Cambria Math" w:hAnsi="Cambria Math"/>
                      </w:rPr>
                      <m:t xml:space="preserve">Discount</m:t>
                    </m:r>
                  </m:e>
                  <m:sub>
                    <m:r>
                      <w:rPr>
                        <w:rFonts w:ascii="Cambria Math" w:hAnsi="Cambria Math"/>
                      </w:rPr>
                      <m:t xml:space="preserve">j</m:t>
                    </m:r>
                  </m:sub>
                </m:sSub>
              </m:num>
              <m:den>
                <m:r>
                  <w:rPr>
                    <w:rFonts w:ascii="Cambria Math" w:hAnsi="Cambria Math"/>
                  </w:rPr>
                  <m:t xml:space="preserve">100</m:t>
                </m:r>
              </m:den>
            </m:f>
          </m:e>
        </m:d>
      </m:oMath>
      <w:r>
        <w:rPr/>
        <w:t xml:space="preserve">. </w:t>
      </w:r>
      <w:r>
        <w:rPr/>
      </w:r>
      <m:oMath xmlns:m="http://schemas.openxmlformats.org/officeDocument/2006/math">
        <m:sSub>
          <m:e>
            <m:r>
              <w:rPr>
                <w:rFonts w:ascii="Cambria Math" w:hAnsi="Cambria Math"/>
              </w:rPr>
              <m:t xml:space="preserve">W</m:t>
            </m:r>
          </m:e>
          <m:sub>
            <m:r>
              <w:rPr>
                <w:rFonts w:ascii="Cambria Math" w:hAnsi="Cambria Math"/>
              </w:rPr>
              <m:t xml:space="preserve">j</m:t>
            </m:r>
          </m:sub>
        </m:sSub>
      </m:oMath>
      <w:r>
        <w:rPr/>
        <w:t xml:space="preserve"> is the net product weight in ounces.</w:t>
      </w:r>
    </w:p>
    <w:p>
      <w:pPr>
        <w:pStyle w:val="BodyText"/>
        <w:rPr/>
      </w:pPr>
      <w:r>
        <w:rPr/>
        <w:t xml:space="preserve">Under partial information, price and weight are independently distributed across alternatives in the market prior. The expected effective unit cost of selecting alternative </w:t>
      </w:r>
      <w:r>
        <w:rPr/>
      </w:r>
      <m:oMath xmlns:m="http://schemas.openxmlformats.org/officeDocument/2006/math">
        <m:r>
          <w:rPr>
            <w:rFonts w:ascii="Cambria Math" w:hAnsi="Cambria Math"/>
          </w:rPr>
          <m:t xml:space="preserve">j</m:t>
        </m:r>
      </m:oMath>
      <w:r>
        <w:rPr/>
        <w:t xml:space="preserve"> at state </w:t>
      </w:r>
      <w:r>
        <w:rPr/>
      </w:r>
      <m:oMath xmlns:m="http://schemas.openxmlformats.org/officeDocument/2006/math">
        <m:r>
          <w:rPr>
            <w:rFonts w:ascii="Cambria Math" w:hAnsi="Cambria Math"/>
          </w:rPr>
          <m:t xml:space="preserve">s</m:t>
        </m:r>
      </m:oMath>
      <w:r>
        <w:rPr/>
        <w:t xml:space="preserve"> is:</w:t>
      </w:r>
    </w:p>
    <w:p>
      <w:pPr>
        <w:pStyle w:val="BodyText"/>
        <w:jc w:val="center"/>
        <w:rPr/>
      </w:pPr>
      <w:r>
        <w:rPr/>
      </w:r>
      <m:oMathPara xmlns:m="http://schemas.openxmlformats.org/officeDocument/2006/math">
        <m:oMathParaPr>
          <m:jc m:val="center"/>
        </m:oMathParaPr>
        <m:oMath>
          <m:r>
            <w:rPr>
              <w:rFonts w:ascii="Cambria Math" w:hAnsi="Cambria Math"/>
            </w:rPr>
            <m:t xml:space="preserve">E</m:t>
          </m:r>
          <m:d>
            <m:dPr>
              <m:begChr m:val="["/>
              <m:endChr m:val="]"/>
            </m:dPr>
            <m:e>
              <m:r>
                <m:rPr>
                  <m:lit/>
                  <m:nor/>
                </m:rPr>
                <w:rPr>
                  <w:rFonts w:ascii="Cambria Math" w:hAnsi="Cambria Math"/>
                </w:rPr>
                <m:t xml:space="preserve">Effective Unit Cost</m:t>
              </m:r>
              <m:r>
                <w:rPr>
                  <w:rFonts w:ascii="Cambria Math" w:hAnsi="Cambria Math"/>
                </w:rPr>
                <m:t xml:space="preserve">(</m:t>
              </m:r>
              <m:r>
                <w:rPr>
                  <w:rFonts w:ascii="Cambria Math" w:hAnsi="Cambria Math"/>
                </w:rPr>
                <m:t xml:space="preserve">j</m:t>
              </m:r>
              <m:r>
                <w:rPr>
                  <w:rFonts w:ascii="Cambria Math" w:hAnsi="Cambria Math"/>
                </w:rPr>
                <m:t xml:space="preserve">)</m:t>
              </m:r>
              <m:r>
                <m:rPr>
                  <m:lit/>
                  <m:nor/>
                </m:rPr>
                <w:rPr>
                  <w:rFonts w:ascii="Cambria Math" w:hAnsi="Cambria Math"/>
                </w:rPr>
                <m:t xml:space="preserve">|</m:t>
              </m:r>
              <m:r>
                <w:rPr>
                  <w:rFonts w:ascii="Cambria Math" w:hAnsi="Cambria Math"/>
                </w:rPr>
                <m:t xml:space="preserve">s</m:t>
              </m:r>
            </m:e>
          </m:d>
          <m:r>
            <w:rPr>
              <w:rFonts w:ascii="Cambria Math" w:hAnsi="Cambria Math"/>
            </w:rPr>
            <m:t xml:space="preserve">=</m:t>
          </m:r>
          <m:d>
            <m:dPr>
              <m:begChr m:val="("/>
              <m:endChr m:val=")"/>
            </m:dPr>
            <m:e>
              <m:r>
                <w:rPr>
                  <w:rFonts w:ascii="Cambria Math" w:hAnsi="Cambria Math"/>
                </w:rPr>
                <m:t xml:space="preserve">E</m:t>
              </m:r>
              <m:r>
                <w:rPr>
                  <w:rFonts w:ascii="Cambria Math" w:hAnsi="Cambria Math"/>
                </w:rPr>
                <m:t xml:space="preserve">[</m:t>
              </m:r>
              <m:sSub>
                <m:e>
                  <m:r>
                    <w:rPr>
                      <w:rFonts w:ascii="Cambria Math" w:hAnsi="Cambria Math"/>
                    </w:rPr>
                    <m:t xml:space="preserve">P</m:t>
                  </m:r>
                </m:e>
                <m:sub>
                  <m:r>
                    <w:rPr>
                      <w:rFonts w:ascii="Cambria Math" w:hAnsi="Cambria Math"/>
                    </w:rPr>
                    <m:t xml:space="preserve">j</m:t>
                  </m:r>
                </m:sub>
              </m:sSub>
              <m:r>
                <m:rPr>
                  <m:lit/>
                  <m:nor/>
                </m:rP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f>
                <m:num>
                  <m:sSub>
                    <m:e>
                      <m:r>
                        <w:rPr>
                          <w:rFonts w:ascii="Cambria Math" w:hAnsi="Cambria Math"/>
                        </w:rPr>
                        <m:t xml:space="preserve">C</m:t>
                      </m:r>
                    </m:e>
                    <m:sub>
                      <m:r>
                        <m:rPr>
                          <m:lit/>
                          <m:nor/>
                        </m:rPr>
                        <w:rPr>
                          <w:rFonts w:ascii="Cambria Math" w:hAnsi="Cambria Math"/>
                        </w:rPr>
                        <m:t xml:space="preserve">tool</m:t>
                      </m:r>
                    </m:sub>
                  </m:sSub>
                  <m:r>
                    <w:rPr>
                      <w:rFonts w:ascii="Cambria Math" w:hAnsi="Cambria Math"/>
                    </w:rPr>
                    <m:t xml:space="preserve">(</m:t>
                  </m:r>
                  <m:r>
                    <w:rPr>
                      <w:rFonts w:ascii="Cambria Math" w:hAnsi="Cambria Math"/>
                    </w:rPr>
                    <m:t xml:space="preserve">s</m:t>
                  </m:r>
                  <m:r>
                    <w:rPr>
                      <w:rFonts w:ascii="Cambria Math" w:hAnsi="Cambria Math"/>
                    </w:rPr>
                    <m:t xml:space="preserve">)</m:t>
                  </m:r>
                </m:num>
                <m:den>
                  <m:r>
                    <w:rPr>
                      <w:rFonts w:ascii="Cambria Math" w:hAnsi="Cambria Math"/>
                    </w:rPr>
                    <m:t xml:space="preserve">Q</m:t>
                  </m:r>
                </m:den>
              </m:f>
            </m:e>
          </m:d>
          <m:r>
            <w:rPr>
              <w:rFonts w:ascii="Cambria Math" w:hAnsi="Cambria Math"/>
            </w:rPr>
            <m:t xml:space="preserve">⋅</m:t>
          </m:r>
          <m:r>
            <w:rPr>
              <w:rFonts w:ascii="Cambria Math" w:hAnsi="Cambria Math"/>
            </w:rPr>
            <m:t xml:space="preserve">E</m:t>
          </m:r>
          <m:d>
            <m:dPr>
              <m:begChr m:val="["/>
              <m:endChr m:val="]"/>
            </m:dPr>
            <m:e>
              <m:f>
                <m:num>
                  <m:r>
                    <w:rPr>
                      <w:rFonts w:ascii="Cambria Math" w:hAnsi="Cambria Math"/>
                    </w:rPr>
                    <m:t xml:space="preserve">1</m:t>
                  </m:r>
                </m:num>
                <m:den>
                  <m:sSub>
                    <m:e>
                      <m:r>
                        <w:rPr>
                          <w:rFonts w:ascii="Cambria Math" w:hAnsi="Cambria Math"/>
                        </w:rPr>
                        <m:t xml:space="preserve">W</m:t>
                      </m:r>
                    </m:e>
                    <m:sub>
                      <m:r>
                        <w:rPr>
                          <w:rFonts w:ascii="Cambria Math" w:hAnsi="Cambria Math"/>
                        </w:rPr>
                        <m:t xml:space="preserve">j</m:t>
                      </m:r>
                    </m:sub>
                  </m:sSub>
                </m:den>
              </m:f>
              <m:r>
                <m:rPr>
                  <m:lit/>
                  <m:nor/>
                </m:rPr>
                <w:rPr>
                  <w:rFonts w:ascii="Cambria Math" w:hAnsi="Cambria Math"/>
                </w:rPr>
                <m:t xml:space="preserve">|</m:t>
              </m:r>
              <m:r>
                <w:rPr>
                  <w:rFonts w:ascii="Cambria Math" w:hAnsi="Cambria Math"/>
                </w:rPr>
                <m:t xml:space="preserve">s</m:t>
              </m:r>
            </m:e>
          </m:d>
        </m:oMath>
      </m:oMathPara>
    </w:p>
    <w:p>
      <w:pPr>
        <w:pStyle w:val="FirstParagraph"/>
        <w:rPr/>
      </w:pPr>
      <w:r>
        <w:rPr/>
        <w:t>Because the planner maximizes utility, terminal choice value is defined as the negative of the expected effective unit cost:</w:t>
      </w:r>
    </w:p>
    <w:p>
      <w:pPr>
        <w:pStyle w:val="BodyText"/>
        <w:jc w:val="center"/>
        <w:rPr/>
      </w:pPr>
      <w:r>
        <w:rPr/>
      </w:r>
      <m:oMathPara xmlns:m="http://schemas.openxmlformats.org/officeDocument/2006/math">
        <m:oMathParaPr>
          <m:jc m:val="center"/>
        </m:oMathParaPr>
        <m:oMath>
          <m:sSub>
            <m:e>
              <m:r>
                <w:rPr>
                  <w:rFonts w:ascii="Cambria Math" w:hAnsi="Cambria Math"/>
                </w:rPr>
                <m:t xml:space="preserve">U</m:t>
              </m:r>
            </m:e>
            <m:sub>
              <m:r>
                <m:rPr>
                  <m:lit/>
                  <m:nor/>
                </m:rPr>
                <w:rPr>
                  <w:rFonts w:ascii="Cambria Math" w:hAnsi="Cambria Math"/>
                </w:rPr>
                <m:t xml:space="preserve">choose</m:t>
              </m:r>
            </m:sub>
          </m:sSub>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E</m:t>
              </m:r>
              <m:r>
                <w:rPr>
                  <w:rFonts w:ascii="Cambria Math" w:hAnsi="Cambria Math"/>
                </w:rPr>
                <m:t xml:space="preserve">[</m:t>
              </m:r>
              <m:sSub>
                <m:e>
                  <m:r>
                    <w:rPr>
                      <w:rFonts w:ascii="Cambria Math" w:hAnsi="Cambria Math"/>
                    </w:rPr>
                    <m:t xml:space="preserve">P</m:t>
                  </m:r>
                </m:e>
                <m:sub>
                  <m:r>
                    <w:rPr>
                      <w:rFonts w:ascii="Cambria Math" w:hAnsi="Cambria Math"/>
                    </w:rPr>
                    <m:t xml:space="preserve">j</m:t>
                  </m:r>
                </m:sub>
              </m:sSub>
              <m:r>
                <m:rPr>
                  <m:lit/>
                  <m:nor/>
                </m:rP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f>
                <m:num>
                  <m:sSub>
                    <m:e>
                      <m:r>
                        <w:rPr>
                          <w:rFonts w:ascii="Cambria Math" w:hAnsi="Cambria Math"/>
                        </w:rPr>
                        <m:t xml:space="preserve">C</m:t>
                      </m:r>
                    </m:e>
                    <m:sub>
                      <m:r>
                        <m:rPr>
                          <m:lit/>
                          <m:nor/>
                        </m:rPr>
                        <w:rPr>
                          <w:rFonts w:ascii="Cambria Math" w:hAnsi="Cambria Math"/>
                        </w:rPr>
                        <m:t xml:space="preserve">tool</m:t>
                      </m:r>
                    </m:sub>
                  </m:sSub>
                  <m:r>
                    <w:rPr>
                      <w:rFonts w:ascii="Cambria Math" w:hAnsi="Cambria Math"/>
                    </w:rPr>
                    <m:t xml:space="preserve">(</m:t>
                  </m:r>
                  <m:r>
                    <w:rPr>
                      <w:rFonts w:ascii="Cambria Math" w:hAnsi="Cambria Math"/>
                    </w:rPr>
                    <m:t xml:space="preserve">s</m:t>
                  </m:r>
                  <m:r>
                    <w:rPr>
                      <w:rFonts w:ascii="Cambria Math" w:hAnsi="Cambria Math"/>
                    </w:rPr>
                    <m:t xml:space="preserve">)</m:t>
                  </m:r>
                </m:num>
                <m:den>
                  <m:r>
                    <w:rPr>
                      <w:rFonts w:ascii="Cambria Math" w:hAnsi="Cambria Math"/>
                    </w:rPr>
                    <m:t xml:space="preserve">Q</m:t>
                  </m:r>
                </m:den>
              </m:f>
            </m:e>
          </m:d>
          <m:r>
            <w:rPr>
              <w:rFonts w:ascii="Cambria Math" w:hAnsi="Cambria Math"/>
            </w:rPr>
            <m:t xml:space="preserve">⋅</m:t>
          </m:r>
          <m:r>
            <w:rPr>
              <w:rFonts w:ascii="Cambria Math" w:hAnsi="Cambria Math"/>
            </w:rPr>
            <m:t xml:space="preserve">E</m:t>
          </m:r>
          <m:d>
            <m:dPr>
              <m:begChr m:val="["/>
              <m:endChr m:val="]"/>
            </m:dPr>
            <m:e>
              <m:f>
                <m:num>
                  <m:r>
                    <w:rPr>
                      <w:rFonts w:ascii="Cambria Math" w:hAnsi="Cambria Math"/>
                    </w:rPr>
                    <m:t xml:space="preserve">1</m:t>
                  </m:r>
                </m:num>
                <m:den>
                  <m:sSub>
                    <m:e>
                      <m:r>
                        <w:rPr>
                          <w:rFonts w:ascii="Cambria Math" w:hAnsi="Cambria Math"/>
                        </w:rPr>
                        <m:t xml:space="preserve">W</m:t>
                      </m:r>
                    </m:e>
                    <m:sub>
                      <m:r>
                        <w:rPr>
                          <w:rFonts w:ascii="Cambria Math" w:hAnsi="Cambria Math"/>
                        </w:rPr>
                        <m:t xml:space="preserve">j</m:t>
                      </m:r>
                    </m:sub>
                  </m:sSub>
                </m:den>
              </m:f>
              <m:r>
                <m:rPr>
                  <m:lit/>
                  <m:nor/>
                </m:rPr>
                <w:rPr>
                  <w:rFonts w:ascii="Cambria Math" w:hAnsi="Cambria Math"/>
                </w:rPr>
                <m:t xml:space="preserve">|</m:t>
              </m:r>
              <m:r>
                <w:rPr>
                  <w:rFonts w:ascii="Cambria Math" w:hAnsi="Cambria Math"/>
                </w:rPr>
                <m:t xml:space="preserve">s</m:t>
              </m:r>
            </m:e>
          </m:d>
        </m:oMath>
      </m:oMathPara>
    </w:p>
    <w:p>
      <w:pPr>
        <w:pStyle w:val="FirstParagraph"/>
        <w:rPr/>
      </w:pPr>
      <w:r>
        <w:rPr/>
        <w:t>This specification eliminates arbitrary subjective exchange rates. The monetary penalty of search (</w:t>
      </w:r>
      <w:r>
        <w:rPr/>
      </w:r>
      <m:oMath xmlns:m="http://schemas.openxmlformats.org/officeDocument/2006/math">
        <m:sSub>
          <m:e>
            <m:r>
              <w:rPr>
                <w:rFonts w:ascii="Cambria Math" w:hAnsi="Cambria Math"/>
              </w:rPr>
              <m:t xml:space="preserve">C</m:t>
            </m:r>
          </m:e>
          <m:sub>
            <m:r>
              <m:rPr>
                <m:lit/>
                <m:nor/>
              </m:rPr>
              <w:rPr>
                <w:rFonts w:ascii="Cambria Math" w:hAnsi="Cambria Math"/>
              </w:rPr>
              <m:t xml:space="preserve">tool</m:t>
            </m:r>
          </m:sub>
        </m:sSub>
      </m:oMath>
      <w:r>
        <w:rPr/>
        <w:t>) is amortized directly across the 5-bag purchase quantity (</w:t>
      </w:r>
      <w:r>
        <w:rPr/>
      </w:r>
      <m:oMath xmlns:m="http://schemas.openxmlformats.org/officeDocument/2006/math">
        <m:f>
          <m:fPr>
            <m:type m:val="lin"/>
          </m:fPr>
          <m:num>
            <m:sSub>
              <m:e>
                <m:r>
                  <w:rPr>
                    <w:rFonts w:ascii="Cambria Math" w:hAnsi="Cambria Math"/>
                  </w:rPr>
                  <m:t xml:space="preserve">C</m:t>
                </m:r>
              </m:e>
              <m:sub>
                <m:r>
                  <m:rPr>
                    <m:lit/>
                    <m:nor/>
                  </m:rPr>
                  <w:rPr>
                    <w:rFonts w:ascii="Cambria Math" w:hAnsi="Cambria Math"/>
                  </w:rPr>
                  <m:t xml:space="preserve">tool</m:t>
                </m:r>
              </m:sub>
            </m:sSub>
          </m:num>
          <m:den>
            <m:r>
              <w:rPr>
                <w:rFonts w:ascii="Cambria Math" w:hAnsi="Cambria Math"/>
              </w:rPr>
              <m:t xml:space="preserve">Q</m:t>
            </m:r>
          </m:den>
        </m:f>
      </m:oMath>
      <w:r>
        <w:rPr/>
        <w:t>), establishing a dollar-for-ounce valuation that governs the optimal search threshold.</w:t>
      </w:r>
    </w:p>
    <w:p>
      <w:pPr>
        <w:pStyle w:val="BodyText"/>
        <w:rPr/>
      </w:pPr>
      <w:r>
        <w:rPr/>
        <w:t xml:space="preserve">An information state </w:t>
      </w:r>
      <w:r>
        <w:rPr/>
      </w:r>
      <m:oMath xmlns:m="http://schemas.openxmlformats.org/officeDocument/2006/math">
        <m:r>
          <w:rPr>
            <w:rFonts w:ascii="Cambria Math" w:hAnsi="Cambria Math"/>
          </w:rPr>
          <m:t xml:space="preserve">s</m:t>
        </m:r>
      </m:oMath>
      <w:r>
        <w:rPr/>
        <w:t xml:space="preserve"> is defined as a tuple of length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K</m:t>
        </m:r>
      </m:oMath>
      <w:r>
        <w:rPr/>
        <w:t xml:space="preserve">, where </w:t>
      </w:r>
      <w:r>
        <w:rPr/>
      </w:r>
      <m:oMath xmlns:m="http://schemas.openxmlformats.org/officeDocument/2006/math">
        <m:r>
          <w:rPr>
            <w:rFonts w:ascii="Cambria Math" w:hAnsi="Cambria Math"/>
          </w:rPr>
          <m:t xml:space="preserve">J</m:t>
        </m:r>
      </m:oMath>
      <w:r>
        <w:rPr/>
        <w:t xml:space="preserve"> is the number of alternatives and </w:t>
      </w:r>
      <w:r>
        <w:rPr/>
      </w:r>
      <m:oMath xmlns:m="http://schemas.openxmlformats.org/officeDocument/2006/math">
        <m:r>
          <w:rPr>
            <w:rFonts w:ascii="Cambria Math" w:hAnsi="Cambria Math"/>
          </w:rPr>
          <m:t xml:space="preserve">K</m:t>
        </m:r>
      </m:oMath>
      <w:r>
        <w:rPr/>
        <w:t xml:space="preserve"> is the number of attributes per alternative:</w:t>
      </w:r>
    </w:p>
    <w:p>
      <w:pPr>
        <w:pStyle w:val="BodyText"/>
        <w:jc w:val="center"/>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d>
            <m:dPr>
              <m:begChr m:val="("/>
              <m:endChr m:val=")"/>
            </m:dPr>
            <m:e>
              <m:sSub>
                <m:e>
                  <m:r>
                    <w:rPr>
                      <w:rFonts w:ascii="Cambria Math" w:hAnsi="Cambria Math"/>
                    </w:rPr>
                    <m:t xml:space="preserve">v</m:t>
                  </m:r>
                </m:e>
                <m:sub>
                  <m:r>
                    <w:rPr>
                      <w:rFonts w:ascii="Cambria Math" w:hAnsi="Cambria Math"/>
                    </w:rPr>
                    <m:t xml:space="preserve">1</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v</m:t>
                  </m:r>
                </m:e>
                <m:sub>
                  <m:r>
                    <w:rPr>
                      <w:rFonts w:ascii="Cambria Math" w:hAnsi="Cambria Math"/>
                    </w:rPr>
                    <m:t xml:space="preserve">j</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v</m:t>
                  </m:r>
                </m:e>
                <m:sub>
                  <m:r>
                    <w:rPr>
                      <w:rFonts w:ascii="Cambria Math" w:hAnsi="Cambria Math"/>
                    </w:rPr>
                    <m:t xml:space="preserve">J</m:t>
                  </m:r>
                  <m:r>
                    <w:rPr>
                      <w:rFonts w:ascii="Cambria Math" w:hAnsi="Cambria Math"/>
                    </w:rPr>
                    <m:t xml:space="preserve">,</m:t>
                  </m:r>
                  <m:r>
                    <w:rPr>
                      <w:rFonts w:ascii="Cambria Math" w:hAnsi="Cambria Math"/>
                    </w:rPr>
                    <m:t xml:space="preserve">K</m:t>
                  </m:r>
                </m:sub>
              </m:sSub>
            </m:e>
          </m:d>
          <m:r>
            <w:rPr>
              <w:rFonts w:ascii="Cambria Math" w:hAnsi="Cambria Math"/>
            </w:rPr>
            <m:t xml:space="preserve">,</m:t>
          </m:r>
          <m:sSub>
            <m:e>
              <m:r>
                <w:rPr>
                  <w:rFonts w:ascii="Cambria Math" w:hAnsi="Cambria Math"/>
                </w:rPr>
                <m:t xml:space="preserve">v</m:t>
              </m:r>
            </m:e>
            <m:sub>
              <m:r>
                <w:rPr>
                  <w:rFonts w:ascii="Cambria Math" w:hAnsi="Cambria Math"/>
                </w:rPr>
                <m:t xml:space="preserve">j</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k</m:t>
              </m:r>
            </m:sub>
          </m:sSub>
          <m:r>
            <w:rPr>
              <w:rFonts w:ascii="Cambria Math" w:hAnsi="Cambria Math"/>
            </w:rPr>
            <m:t xml:space="preserve">∪</m:t>
          </m:r>
          <m:r>
            <w:rPr>
              <w:rFonts w:ascii="Cambria Math" w:hAnsi="Cambria Math"/>
            </w:rPr>
            <m:t xml:space="preserve">{</m:t>
          </m:r>
          <m:r>
            <m:rPr>
              <m:lit/>
              <m:nor/>
            </m:rPr>
            <w:rPr>
              <w:rFonts w:ascii="Cambria Math" w:hAnsi="Cambria Math"/>
            </w:rPr>
            <m:t xml:space="preserve">None</m:t>
          </m:r>
          <m:r>
            <w:rPr>
              <w:rFonts w:ascii="Cambria Math" w:hAnsi="Cambria Math"/>
            </w:rPr>
            <m:t xml:space="preserve">}</m:t>
          </m:r>
        </m:oMath>
      </m:oMathPara>
    </w:p>
    <w:p>
      <w:pPr>
        <w:pStyle w:val="FirstParagraph"/>
        <w:rPr/>
      </w:pPr>
      <w:r>
        <w:rPr/>
        <w:t xml:space="preserve">where </w:t>
      </w:r>
      <w:r>
        <w:rPr/>
      </w:r>
      <m:oMath xmlns:m="http://schemas.openxmlformats.org/officeDocument/2006/math">
        <m:sSub>
          <m:e>
            <m:r>
              <w:rPr>
                <w:rFonts w:ascii="Cambria Math" w:hAnsi="Cambria Math"/>
              </w:rPr>
              <m:t xml:space="preserve">D</m:t>
            </m:r>
          </m:e>
          <m:sub>
            <m:r>
              <w:rPr>
                <w:rFonts w:ascii="Cambria Math" w:hAnsi="Cambria Math"/>
              </w:rPr>
              <m:t xml:space="preserve">k</m:t>
            </m:r>
          </m:sub>
        </m:sSub>
      </m:oMath>
      <w:r>
        <w:rPr/>
        <w:t xml:space="preserve"> is the empirical domain of attribute </w:t>
      </w:r>
      <w:r>
        <w:rPr/>
      </w:r>
      <m:oMath xmlns:m="http://schemas.openxmlformats.org/officeDocument/2006/math">
        <m:r>
          <w:rPr>
            <w:rFonts w:ascii="Cambria Math" w:hAnsi="Cambria Math"/>
          </w:rPr>
          <m:t xml:space="preserve">k</m:t>
        </m:r>
      </m:oMath>
      <w:r>
        <w:rPr/>
        <w:t xml:space="preserve">, and </w:t>
      </w:r>
      <w:r>
        <w:rPr/>
      </w:r>
      <m:oMath xmlns:m="http://schemas.openxmlformats.org/officeDocument/2006/math">
        <m:r>
          <m:rPr>
            <m:lit/>
            <m:nor/>
          </m:rPr>
          <w:rPr>
            <w:rFonts w:ascii="Cambria Math" w:hAnsi="Cambria Math"/>
          </w:rPr>
          <m:t xml:space="preserve">None</m:t>
        </m:r>
      </m:oMath>
      <w:r>
        <w:rPr/>
        <w:t xml:space="preserve"> indicates that the attribute has not been inspected.</w:t>
      </w:r>
    </w:p>
    <w:p>
      <w:pPr>
        <w:pStyle w:val="BodyText"/>
        <w:rPr/>
      </w:pPr>
      <w:r>
        <w:rPr/>
        <w:t xml:space="preserve">At each turn, the legal action space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s</m:t>
        </m:r>
        <m:r>
          <w:rPr>
            <w:rFonts w:ascii="Cambria Math" w:hAnsi="Cambria Math"/>
          </w:rPr>
          <m:t xml:space="preserve">)</m:t>
        </m:r>
      </m:oMath>
      <w:r>
        <w:rPr/>
        <w:t xml:space="preserve"> comprises two mutually exclusive subsets:</w:t>
      </w:r>
    </w:p>
    <w:p>
      <w:pPr>
        <w:pStyle w:val="Compact"/>
        <w:numPr>
          <w:ilvl w:val="0"/>
          <w:numId w:val="5"/>
        </w:numPr>
        <w:rPr/>
      </w:pPr>
      <w:r>
        <w:rPr/>
        <w:t xml:space="preserve">Reveal actions, </w:t>
      </w:r>
      <w:r>
        <w:rPr/>
      </w:r>
      <m:oMath xmlns:m="http://schemas.openxmlformats.org/officeDocument/2006/math">
        <m:sSub>
          <m:e>
            <m:r>
              <w:rPr>
                <w:rFonts w:ascii="Cambria Math" w:hAnsi="Cambria Math"/>
              </w:rPr>
              <m:t xml:space="preserve">A</m:t>
            </m:r>
          </m:e>
          <m:sub>
            <m:r>
              <m:rPr>
                <m:lit/>
                <m:nor/>
              </m:rPr>
              <w:rPr>
                <w:rFonts w:ascii="Cambria Math" w:hAnsi="Cambria Math"/>
              </w:rPr>
              <m:t xml:space="preserve">reveal</m:t>
            </m:r>
          </m:sub>
        </m:sSub>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m:rPr>
            <m:lit/>
            <m:nor/>
          </m:rPr>
          <w:rPr>
            <w:rFonts w:ascii="Cambria Math" w:hAnsi="Cambria Math"/>
          </w:rPr>
          <m:t xml:space="preserve">reveal</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s</m:t>
            </m:r>
          </m:e>
          <m:sub>
            <m:r>
              <w:rPr>
                <w:rFonts w:ascii="Cambria Math" w:hAnsi="Cambria Math"/>
              </w:rPr>
              <m:t xml:space="preserve">j</m:t>
            </m:r>
            <m:r>
              <w:rPr>
                <w:rFonts w:ascii="Cambria Math" w:hAnsi="Cambria Math"/>
              </w:rPr>
              <m:t xml:space="preserve">,</m:t>
            </m:r>
            <m:r>
              <w:rPr>
                <w:rFonts w:ascii="Cambria Math" w:hAnsi="Cambria Math"/>
              </w:rPr>
              <m:t xml:space="preserve">k</m:t>
            </m:r>
          </m:sub>
        </m:sSub>
        <m:r>
          <w:rPr>
            <w:rFonts w:ascii="Cambria Math" w:hAnsi="Cambria Math"/>
          </w:rPr>
          <m:t xml:space="preserve">=</m:t>
        </m:r>
        <m:r>
          <m:rPr>
            <m:lit/>
            <m:nor/>
          </m:rPr>
          <w:rPr>
            <w:rFonts w:ascii="Cambria Math" w:hAnsi="Cambria Math"/>
          </w:rPr>
          <m:t xml:space="preserve">None</m:t>
        </m:r>
        <m:r>
          <w:rPr>
            <w:rFonts w:ascii="Cambria Math" w:hAnsi="Cambria Math"/>
          </w:rPr>
          <m:t xml:space="preserve">}</m:t>
        </m:r>
      </m:oMath>
      <w:r>
        <w:rPr/>
        <w:t>, which inspect an unobserved cell.</w:t>
      </w:r>
    </w:p>
    <w:p>
      <w:pPr>
        <w:pStyle w:val="Compact"/>
        <w:numPr>
          <w:ilvl w:val="0"/>
          <w:numId w:val="2"/>
        </w:numPr>
        <w:rPr/>
      </w:pPr>
      <w:r>
        <w:rPr/>
        <w:t xml:space="preserve">Choose actions, </w:t>
      </w:r>
      <w:r>
        <w:rPr/>
      </w:r>
      <m:oMath xmlns:m="http://schemas.openxmlformats.org/officeDocument/2006/math">
        <m:sSub>
          <m:e>
            <m:r>
              <w:rPr>
                <w:rFonts w:ascii="Cambria Math" w:hAnsi="Cambria Math"/>
              </w:rPr>
              <m:t xml:space="preserve">A</m:t>
            </m:r>
          </m:e>
          <m:sub>
            <m:r>
              <m:rPr>
                <m:lit/>
                <m:nor/>
              </m:rPr>
              <w:rPr>
                <w:rFonts w:ascii="Cambria Math" w:hAnsi="Cambria Math"/>
              </w:rPr>
              <m:t xml:space="preserve">choose</m:t>
            </m:r>
          </m:sub>
        </m:sSub>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m:t>
        </m:r>
        <m:r>
          <m:rPr>
            <m:lit/>
            <m:nor/>
          </m:rPr>
          <w:rPr>
            <w:rFonts w:ascii="Cambria Math" w:hAnsi="Cambria Math"/>
          </w:rPr>
          <m:t xml:space="preserve">choose</m:t>
        </m:r>
        <m:r>
          <w:rPr>
            <w:rFonts w:ascii="Cambria Math" w:hAnsi="Cambria Math"/>
          </w:rPr>
          <m:t xml:space="preserve">,</m:t>
        </m:r>
        <m:r>
          <w:rPr>
            <w:rFonts w:ascii="Cambria Math" w:hAnsi="Cambria Math"/>
          </w:rPr>
          <m:t xml:space="preserve">j</m:t>
        </m:r>
        <m:r>
          <w:rPr>
            <w:rFonts w:ascii="Cambria Math" w:hAnsi="Cambria Math"/>
          </w:rPr>
          <m:t xml:space="preserve">)</m:t>
        </m:r>
        <m:r>
          <m:rPr>
            <m:lit/>
            <m:nor/>
          </m:rP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J</m:t>
        </m:r>
        <m:r>
          <w:rPr>
            <w:rFonts w:ascii="Cambria Math" w:hAnsi="Cambria Math"/>
          </w:rPr>
          <m:t xml:space="preserve">}</m:t>
        </m:r>
      </m:oMath>
      <w:r>
        <w:rPr/>
        <w:t>, which terminate search and submit a purchase.</w:t>
      </w:r>
      <w:bookmarkEnd w:id="126"/>
    </w:p>
    <w:p>
      <w:pPr>
        <w:pStyle w:val="Heading2"/>
        <w:rPr/>
      </w:pPr>
      <w:bookmarkStart w:id="127" w:name="priors"/>
      <w:r>
        <w:rPr/>
        <w:t>Priors</w:t>
      </w:r>
    </w:p>
    <w:p>
      <w:pPr>
        <w:pStyle w:val="FirstParagraph"/>
        <w:rPr/>
      </w:pPr>
      <w:r>
        <w:rPr/>
        <w:t>Prior distributions are grounded in empirical instant coffee attributes collected from Walmart.com. Whole dollars (</w:t>
      </w:r>
      <w:r>
        <w:rPr/>
      </w:r>
      <m:oMath xmlns:m="http://schemas.openxmlformats.org/officeDocument/2006/math">
        <m:sSub>
          <m:e>
            <m:r>
              <w:rPr>
                <w:rFonts w:ascii="Cambria Math" w:hAnsi="Cambria Math"/>
              </w:rPr>
              <m:t xml:space="preserve">D</m:t>
            </m:r>
          </m:e>
          <m:sub>
            <m:r>
              <m:rPr>
                <m:lit/>
                <m:nor/>
              </m:rPr>
              <w:rPr>
                <w:rFonts w:ascii="Cambria Math" w:hAnsi="Cambria Math"/>
              </w:rPr>
              <m:t xml:space="preserve">dollars</m:t>
            </m:r>
          </m:sub>
        </m:sSub>
      </m:oMath>
      <w:r>
        <w:rPr/>
        <w:t xml:space="preserve">) are 25 discrete values spanning </w:t>
      </w:r>
      <w:r>
        <w:rPr/>
      </w:r>
      <m:oMath xmlns:m="http://schemas.openxmlformats.org/officeDocument/2006/math">
        <m:r>
          <w:rPr>
            <w:rFonts w:ascii="Cambria Math" w:hAnsi="Cambria Math"/>
          </w:rPr>
          <m:t xml:space="preserve">$</m:t>
        </m:r>
        <m:r>
          <w:rPr>
            <w:rFonts w:ascii="Cambria Math" w:hAnsi="Cambria Math"/>
          </w:rPr>
          <m:t xml:space="preserve">0</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53</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m:t>
        </m:r>
        <m:r>
          <w:rPr>
            <w:rFonts w:ascii="Cambria Math" w:hAnsi="Cambria Math"/>
          </w:rPr>
          <m:t xml:space="preserve">15.96</m:t>
        </m:r>
      </m:oMath>
      <w:r>
        <w:rPr/>
        <w:t>). Fractional cents (</w:t>
      </w:r>
      <w:r>
        <w:rPr/>
      </w:r>
      <m:oMath xmlns:m="http://schemas.openxmlformats.org/officeDocument/2006/math">
        <m:sSub>
          <m:e>
            <m:r>
              <w:rPr>
                <w:rFonts w:ascii="Cambria Math" w:hAnsi="Cambria Math"/>
              </w:rPr>
              <m:t xml:space="preserve">D</m:t>
            </m:r>
          </m:e>
          <m:sub>
            <m:r>
              <m:rPr>
                <m:lit/>
                <m:nor/>
              </m:rPr>
              <w:rPr>
                <w:rFonts w:ascii="Cambria Math" w:hAnsi="Cambria Math"/>
              </w:rPr>
              <m:t xml:space="preserve">cents</m:t>
            </m:r>
          </m:sub>
        </m:sSub>
      </m:oMath>
      <w:r>
        <w:rPr/>
        <w:t xml:space="preserve">) are 45 discrete values spanning </w:t>
      </w:r>
      <w:r>
        <w:rPr/>
      </w:r>
      <m:oMath xmlns:m="http://schemas.openxmlformats.org/officeDocument/2006/math">
        <m:r>
          <w:rPr>
            <w:rFonts w:ascii="Cambria Math" w:hAnsi="Cambria Math"/>
          </w:rPr>
          <m:t xml:space="preserve">0</m:t>
        </m:r>
        <m:r>
          <w:rPr>
            <w:rFonts w:ascii="Cambria Math" w:hAnsi="Cambria Math"/>
          </w:rPr>
          <m:t xml:space="preserve">¢</m:t>
        </m:r>
      </m:oMath>
      <w:r>
        <w:rPr/>
        <w:t xml:space="preserve"> to </w:t>
      </w:r>
      <w:r>
        <w:rPr/>
      </w:r>
      <m:oMath xmlns:m="http://schemas.openxmlformats.org/officeDocument/2006/math">
        <m:r>
          <w:rPr>
            <w:rFonts w:ascii="Cambria Math" w:hAnsi="Cambria Math"/>
          </w:rPr>
          <m:t xml:space="preserve">99</m:t>
        </m:r>
        <m:r>
          <w:rPr>
            <w:rFonts w:ascii="Cambria Math" w:hAnsi="Cambria Math"/>
          </w:rPr>
          <m:t xml:space="preserve">¢</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52.93</m:t>
        </m:r>
        <m:r>
          <w:rPr>
            <w:rFonts w:ascii="Cambria Math" w:hAnsi="Cambria Math"/>
          </w:rPr>
          <m:t xml:space="preserve">¢</m:t>
        </m:r>
      </m:oMath>
      <w:r>
        <w:rPr/>
        <w:t>). Product weight (</w:t>
      </w:r>
      <w:r>
        <w:rPr/>
      </w:r>
      <m:oMath xmlns:m="http://schemas.openxmlformats.org/officeDocument/2006/math">
        <m:sSub>
          <m:e>
            <m:r>
              <w:rPr>
                <w:rFonts w:ascii="Cambria Math" w:hAnsi="Cambria Math"/>
              </w:rPr>
              <m:t xml:space="preserve">D</m:t>
            </m:r>
          </m:e>
          <m:sub>
            <m:r>
              <m:rPr>
                <m:lit/>
                <m:nor/>
              </m:rPr>
              <w:rPr>
                <w:rFonts w:ascii="Cambria Math" w:hAnsi="Cambria Math"/>
              </w:rPr>
              <m:t xml:space="preserve">weight</m:t>
            </m:r>
          </m:sub>
        </m:sSub>
      </m:oMath>
      <w:r>
        <w:rPr/>
        <w:t xml:space="preserve">) are 57 continuous values spanning </w:t>
      </w:r>
      <w:r>
        <w:rPr/>
      </w:r>
      <m:oMath xmlns:m="http://schemas.openxmlformats.org/officeDocument/2006/math">
        <m:r>
          <w:rPr>
            <w:rFonts w:ascii="Cambria Math" w:hAnsi="Cambria Math"/>
          </w:rPr>
          <m:t xml:space="preserve">0.42</m:t>
        </m:r>
        <m:r>
          <m:rPr>
            <m:lit/>
            <m:nor/>
          </m:rPr>
          <w:rPr>
            <w:rFonts w:ascii="Cambria Math" w:hAnsi="Cambria Math"/>
          </w:rPr>
          <m:t xml:space="preserve">oz</m:t>
        </m:r>
      </m:oMath>
      <w:r>
        <w:rPr/>
        <w:t xml:space="preserve"> to </w:t>
      </w:r>
      <w:r>
        <w:rPr/>
      </w:r>
      <m:oMath xmlns:m="http://schemas.openxmlformats.org/officeDocument/2006/math">
        <m:r>
          <w:rPr>
            <w:rFonts w:ascii="Cambria Math" w:hAnsi="Cambria Math"/>
          </w:rPr>
          <m:t xml:space="preserve">71.99</m:t>
        </m:r>
        <m:r>
          <m:rPr>
            <m:lit/>
            <m:nor/>
          </m:rPr>
          <w:rPr>
            <w:rFonts w:ascii="Cambria Math" w:hAnsi="Cambria Math"/>
          </w:rPr>
          <m:t xml:space="preserve">oz</m:t>
        </m:r>
      </m:oMath>
      <w:r>
        <w:rPr/>
        <w:t xml:space="preserve">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10.33</m:t>
        </m:r>
        <m:r>
          <m:rPr>
            <m:lit/>
            <m:nor/>
          </m:rPr>
          <w:rPr>
            <w:rFonts w:ascii="Cambria Math" w:hAnsi="Cambria Math"/>
          </w:rPr>
          <m:t xml:space="preserve">oz</m:t>
        </m:r>
      </m:oMath>
      <w:r>
        <w:rPr/>
        <w:t>). List price (</w:t>
      </w:r>
      <w:r>
        <w:rPr/>
      </w:r>
      <m:oMath xmlns:m="http://schemas.openxmlformats.org/officeDocument/2006/math">
        <m:sSub>
          <m:e>
            <m:r>
              <w:rPr>
                <w:rFonts w:ascii="Cambria Math" w:hAnsi="Cambria Math"/>
              </w:rPr>
              <m:t xml:space="preserve">D</m:t>
            </m:r>
          </m:e>
          <m:sub>
            <m:r>
              <m:rPr>
                <m:lit/>
                <m:nor/>
              </m:rPr>
              <w:rPr>
                <w:rFonts w:ascii="Cambria Math" w:hAnsi="Cambria Math"/>
              </w:rPr>
              <m:t xml:space="preserve">list_price</m:t>
            </m:r>
          </m:sub>
        </m:sSub>
      </m:oMath>
      <w:r>
        <w:rPr/>
        <w:t>) are Empirical price domain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m:t>
        </m:r>
        <m:r>
          <w:rPr>
            <w:rFonts w:ascii="Cambria Math" w:hAnsi="Cambria Math"/>
          </w:rPr>
          <m:t xml:space="preserve">11.87</m:t>
        </m:r>
      </m:oMath>
      <w:r>
        <w:rPr/>
        <w:t>). Discount percentage (</w:t>
      </w:r>
      <w:r>
        <w:rPr/>
      </w:r>
      <m:oMath xmlns:m="http://schemas.openxmlformats.org/officeDocument/2006/math">
        <m:sSub>
          <m:e>
            <m:r>
              <w:rPr>
                <w:rFonts w:ascii="Cambria Math" w:hAnsi="Cambria Math"/>
              </w:rPr>
              <m:t xml:space="preserve">D</m:t>
            </m:r>
          </m:e>
          <m:sub>
            <m:r>
              <m:rPr>
                <m:lit/>
                <m:nor/>
              </m:rPr>
              <w:rPr>
                <w:rFonts w:ascii="Cambria Math" w:hAnsi="Cambria Math"/>
              </w:rPr>
              <m:t xml:space="preserve">discount</m:t>
            </m:r>
          </m:sub>
        </m:sSub>
      </m:oMath>
      <w:r>
        <w:rPr/>
        <w:t xml:space="preserve">) is Discrete uniform distribution </w:t>
      </w:r>
      <w:r>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40</m:t>
        </m:r>
        <m:r>
          <w:rPr>
            <w:rFonts w:ascii="Cambria Math" w:hAnsi="Cambria Math"/>
          </w:rPr>
          <m:t xml:space="preserve">}</m:t>
        </m:r>
      </m:oMath>
      <w:r>
        <w:rPr/>
        <w:t xml:space="preserve"> in 5% increments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20.0</m:t>
        </m:r>
        <m:r>
          <m:rPr>
            <m:lit/>
            <m:nor/>
          </m:rPr>
          <w:rPr>
            <w:rFonts w:ascii="Cambria Math" w:hAnsi="Cambria Math"/>
          </w:rPr>
          <m:t xml:space="preserve">%</m:t>
        </m:r>
      </m:oMath>
      <w:r>
        <w:rPr/>
        <w:t>; Study 2 Baseline).</w:t>
      </w:r>
    </w:p>
    <w:p>
      <w:pPr>
        <w:pStyle w:val="BodyText"/>
        <w:rPr/>
      </w:pPr>
      <w:r>
        <w:rPr/>
        <w:t>Prior expectations for unobserved attributes are precomputed over their respective empirical supports:</w:t>
      </w:r>
    </w:p>
    <w:p>
      <w:pPr>
        <w:pStyle w:val="BodyText"/>
        <w:jc w:val="center"/>
        <w:rPr/>
      </w:pPr>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r>
            <m:rPr>
              <m:lit/>
              <m:nor/>
            </m:rPr>
            <w:rPr>
              <w:rFonts w:ascii="Cambria Math" w:hAnsi="Cambria Math"/>
            </w:rPr>
            <m:t xml:space="preserve">Dollars</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m:rPr>
                  <m:lit/>
                  <m:nor/>
                </m:rPr>
                <w:rPr>
                  <w:rFonts w:ascii="Cambria Math" w:hAnsi="Cambria Math"/>
                </w:rPr>
                <m:t xml:space="preserve">|</m:t>
              </m:r>
              <m:sSub>
                <m:e>
                  <m:r>
                    <w:rPr>
                      <w:rFonts w:ascii="Cambria Math" w:hAnsi="Cambria Math"/>
                    </w:rPr>
                    <m:t xml:space="preserve">D</m:t>
                  </m:r>
                </m:e>
                <m:sub>
                  <m:r>
                    <w:rPr>
                      <w:rFonts w:ascii="Cambria Math" w:hAnsi="Cambria Math"/>
                    </w:rPr>
                    <m:t xml:space="preserve">D</m:t>
                  </m:r>
                </m:sub>
              </m:sSub>
              <m:r>
                <m:rPr>
                  <m:lit/>
                  <m:nor/>
                </m:rPr>
                <w:rPr>
                  <w:rFonts w:ascii="Cambria Math" w:hAnsi="Cambria Math"/>
                </w:rPr>
                <m:t xml:space="preserve">|</m:t>
              </m:r>
            </m:den>
          </m:f>
          <m:nary>
            <m:naryPr>
              <m:chr m:val="∑"/>
              <m:supHide m:val="1"/>
            </m:naryPr>
            <m:sub>
              <m:r>
                <w:rPr>
                  <w:rFonts w:ascii="Cambria Math" w:hAnsi="Cambria Math"/>
                </w:rPr>
                <m:t xml:space="preserve">d</m:t>
              </m:r>
              <m:r>
                <w:rPr>
                  <w:rFonts w:ascii="Cambria Math" w:hAnsi="Cambria Math"/>
                </w:rPr>
                <m:t xml:space="preserve">∈</m:t>
              </m:r>
              <m:sSub>
                <m:e>
                  <m:r>
                    <w:rPr>
                      <w:rFonts w:ascii="Cambria Math" w:hAnsi="Cambria Math"/>
                    </w:rPr>
                    <m:t xml:space="preserve">D</m:t>
                  </m:r>
                </m:e>
                <m:sub>
                  <m:r>
                    <w:rPr>
                      <w:rFonts w:ascii="Cambria Math" w:hAnsi="Cambria Math"/>
                    </w:rPr>
                    <m:t xml:space="preserve">D</m:t>
                  </m:r>
                </m:sub>
              </m:sSub>
            </m:sub>
            <m:sup/>
            <m:e>
              <m:r>
                <w:rPr>
                  <w:rFonts w:ascii="Cambria Math" w:hAnsi="Cambria Math"/>
                </w:rPr>
                <m:t xml:space="preserve">d</m:t>
              </m:r>
            </m:e>
          </m:nary>
          <m:r>
            <w:rPr>
              <w:rFonts w:ascii="Cambria Math" w:hAnsi="Cambria Math"/>
            </w:rPr>
            <m:t xml:space="preserve">,</m:t>
          </m:r>
          <m:r>
            <w:rPr>
              <w:rFonts w:ascii="Cambria Math" w:hAnsi="Cambria Math"/>
            </w:rPr>
            <m:t xml:space="preserve">E</m:t>
          </m:r>
          <m:r>
            <w:rPr>
              <w:rFonts w:ascii="Cambria Math" w:hAnsi="Cambria Math"/>
            </w:rPr>
            <m:t xml:space="preserve">[</m:t>
          </m:r>
          <m:r>
            <m:rPr>
              <m:lit/>
              <m:nor/>
            </m:rPr>
            <w:rPr>
              <w:rFonts w:ascii="Cambria Math" w:hAnsi="Cambria Math"/>
            </w:rPr>
            <m:t xml:space="preserve">Cents</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m:rPr>
                  <m:lit/>
                  <m:nor/>
                </m:rPr>
                <w:rPr>
                  <w:rFonts w:ascii="Cambria Math" w:hAnsi="Cambria Math"/>
                </w:rPr>
                <m:t xml:space="preserve">|</m:t>
              </m:r>
              <m:sSub>
                <m:e>
                  <m:r>
                    <w:rPr>
                      <w:rFonts w:ascii="Cambria Math" w:hAnsi="Cambria Math"/>
                    </w:rPr>
                    <m:t xml:space="preserve">D</m:t>
                  </m:r>
                </m:e>
                <m:sub>
                  <m:r>
                    <w:rPr>
                      <w:rFonts w:ascii="Cambria Math" w:hAnsi="Cambria Math"/>
                    </w:rPr>
                    <m:t xml:space="preserve">C</m:t>
                  </m:r>
                </m:sub>
              </m:sSub>
              <m:r>
                <m:rPr>
                  <m:lit/>
                  <m:nor/>
                </m:rPr>
                <w:rPr>
                  <w:rFonts w:ascii="Cambria Math" w:hAnsi="Cambria Math"/>
                </w:rPr>
                <m:t xml:space="preserve">|</m:t>
              </m:r>
            </m:den>
          </m:f>
          <m:nary>
            <m:naryPr>
              <m:chr m:val="∑"/>
              <m:supHide m:val="1"/>
            </m:naryPr>
            <m:sub>
              <m:r>
                <w:rPr>
                  <w:rFonts w:ascii="Cambria Math" w:hAnsi="Cambria Math"/>
                </w:rPr>
                <m:t xml:space="preserve">c</m:t>
              </m:r>
              <m:r>
                <w:rPr>
                  <w:rFonts w:ascii="Cambria Math" w:hAnsi="Cambria Math"/>
                </w:rPr>
                <m:t xml:space="preserve">∈</m:t>
              </m:r>
              <m:sSub>
                <m:e>
                  <m:r>
                    <w:rPr>
                      <w:rFonts w:ascii="Cambria Math" w:hAnsi="Cambria Math"/>
                    </w:rPr>
                    <m:t xml:space="preserve">D</m:t>
                  </m:r>
                </m:e>
                <m:sub>
                  <m:r>
                    <w:rPr>
                      <w:rFonts w:ascii="Cambria Math" w:hAnsi="Cambria Math"/>
                    </w:rPr>
                    <m:t xml:space="preserve">C</m:t>
                  </m:r>
                </m:sub>
              </m:sSub>
            </m:sub>
            <m:sup/>
            <m:e>
              <m:r>
                <w:rPr>
                  <w:rFonts w:ascii="Cambria Math" w:hAnsi="Cambria Math"/>
                </w:rPr>
                <m:t xml:space="preserve">c</m:t>
              </m:r>
            </m:e>
          </m:nary>
          <m:r>
            <w:rPr>
              <w:rFonts w:ascii="Cambria Math" w:hAnsi="Cambria Math"/>
            </w:rPr>
            <m:t xml:space="preserve">,</m:t>
          </m:r>
          <m:r>
            <w:rPr>
              <w:rFonts w:ascii="Cambria Math" w:hAnsi="Cambria Math"/>
            </w:rPr>
            <m:t xml:space="preserve">E</m:t>
          </m:r>
          <m:r>
            <w:rPr>
              <w:rFonts w:ascii="Cambria Math" w:hAnsi="Cambria Math"/>
            </w:rPr>
            <m:t xml:space="preserve">[</m:t>
          </m:r>
          <m:r>
            <m:rPr>
              <m:lit/>
              <m:nor/>
            </m:rPr>
            <w:rPr>
              <w:rFonts w:ascii="Cambria Math" w:hAnsi="Cambria Math"/>
            </w:rPr>
            <m:t xml:space="preserve">Discount</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m:rPr>
                  <m:lit/>
                  <m:nor/>
                </m:rPr>
                <w:rPr>
                  <w:rFonts w:ascii="Cambria Math" w:hAnsi="Cambria Math"/>
                </w:rPr>
                <m:t xml:space="preserve">|</m:t>
              </m:r>
              <m:sSub>
                <m:e>
                  <m:r>
                    <w:rPr>
                      <w:rFonts w:ascii="Cambria Math" w:hAnsi="Cambria Math"/>
                    </w:rPr>
                    <m:t xml:space="preserve">D</m:t>
                  </m:r>
                </m:e>
                <m:sub>
                  <m:r>
                    <m:rPr>
                      <m:lit/>
                      <m:nor/>
                    </m:rPr>
                    <w:rPr>
                      <w:rFonts w:ascii="Cambria Math" w:hAnsi="Cambria Math"/>
                    </w:rPr>
                    <m:t xml:space="preserve">Disc</m:t>
                  </m:r>
                </m:sub>
              </m:sSub>
              <m:r>
                <m:rPr>
                  <m:lit/>
                  <m:nor/>
                </m:rPr>
                <w:rPr>
                  <w:rFonts w:ascii="Cambria Math" w:hAnsi="Cambria Math"/>
                </w:rPr>
                <m:t xml:space="preserve">|</m:t>
              </m:r>
            </m:den>
          </m:f>
          <m:nary>
            <m:naryPr>
              <m:chr m:val="∑"/>
              <m:supHide m:val="1"/>
            </m:naryPr>
            <m:sub>
              <m:r>
                <w:rPr>
                  <w:rFonts w:ascii="Cambria Math" w:hAnsi="Cambria Math"/>
                </w:rPr>
                <m:t xml:space="preserve">δ</m:t>
              </m:r>
              <m:r>
                <w:rPr>
                  <w:rFonts w:ascii="Cambria Math" w:hAnsi="Cambria Math"/>
                </w:rPr>
                <m:t xml:space="preserve">∈</m:t>
              </m:r>
              <m:sSub>
                <m:e>
                  <m:r>
                    <w:rPr>
                      <w:rFonts w:ascii="Cambria Math" w:hAnsi="Cambria Math"/>
                    </w:rPr>
                    <m:t xml:space="preserve">D</m:t>
                  </m:r>
                </m:e>
                <m:sub>
                  <m:r>
                    <m:rPr>
                      <m:lit/>
                      <m:nor/>
                    </m:rPr>
                    <w:rPr>
                      <w:rFonts w:ascii="Cambria Math" w:hAnsi="Cambria Math"/>
                    </w:rPr>
                    <m:t xml:space="preserve">Disc</m:t>
                  </m:r>
                </m:sub>
              </m:sSub>
            </m:sub>
            <m:sup/>
            <m:e>
              <m:r>
                <w:rPr>
                  <w:rFonts w:ascii="Cambria Math" w:hAnsi="Cambria Math"/>
                </w:rPr>
                <m:t xml:space="preserve">δ</m:t>
              </m:r>
            </m:e>
          </m:nary>
        </m:oMath>
      </m:oMathPara>
    </w:p>
    <w:p>
      <w:pPr>
        <w:pStyle w:val="FirstParagraph"/>
        <w:rPr/>
      </w:pPr>
      <w:r>
        <w:rPr/>
        <w:t xml:space="preserve">For product weight, Jensen’s inequality implies </w:t>
      </w:r>
      <w:r>
        <w:rPr/>
      </w:r>
      <m:oMath xmlns:m="http://schemas.openxmlformats.org/officeDocument/2006/math">
        <m:r>
          <w:rPr>
            <w:rFonts w:ascii="Cambria Math" w:hAnsi="Cambria Math"/>
          </w:rPr>
          <m:t xml:space="preserve">E</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W</m:t>
            </m:r>
          </m:den>
        </m:f>
        <m:r>
          <w:rPr>
            <w:rFonts w:ascii="Cambria Math" w:hAnsi="Cambria Math"/>
          </w:rPr>
          <m:t xml:space="preserve">]</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E</m:t>
            </m:r>
          </m:den>
        </m:f>
        <m:r>
          <w:rPr>
            <w:rFonts w:ascii="Cambria Math" w:hAnsi="Cambria Math"/>
          </w:rPr>
          <m:t xml:space="preserve">[</m:t>
        </m:r>
        <m:r>
          <w:rPr>
            <w:rFonts w:ascii="Cambria Math" w:hAnsi="Cambria Math"/>
          </w:rPr>
          <m:t xml:space="preserve">W</m:t>
        </m:r>
        <m:r>
          <w:rPr>
            <w:rFonts w:ascii="Cambria Math" w:hAnsi="Cambria Math"/>
          </w:rPr>
          <m:t xml:space="preserve">]</m:t>
        </m:r>
      </m:oMath>
      <w:r>
        <w:rPr/>
        <w:t>. The planner computes the expected inverse weight over non-zero domain entries:</w:t>
      </w:r>
    </w:p>
    <w:p>
      <w:pPr>
        <w:pStyle w:val="BodyText"/>
        <w:jc w:val="center"/>
        <w:rPr/>
      </w:pPr>
      <w:r>
        <w:rPr/>
      </w:r>
      <m:oMathPara xmlns:m="http://schemas.openxmlformats.org/officeDocument/2006/math">
        <m:oMathParaPr>
          <m:jc m:val="center"/>
        </m:oMathParaPr>
        <m:oMath>
          <m:r>
            <w:rPr>
              <w:rFonts w:ascii="Cambria Math" w:hAnsi="Cambria Math"/>
            </w:rPr>
            <m:t xml:space="preserve">E</m:t>
          </m:r>
          <m:d>
            <m:dPr>
              <m:begChr m:val="["/>
              <m:endChr m:val="]"/>
            </m:dPr>
            <m:e>
              <m:f>
                <m:num>
                  <m:r>
                    <w:rPr>
                      <w:rFonts w:ascii="Cambria Math" w:hAnsi="Cambria Math"/>
                    </w:rPr>
                    <m:t xml:space="preserve">1</m:t>
                  </m:r>
                </m:num>
                <m:den>
                  <m:r>
                    <w:rPr>
                      <w:rFonts w:ascii="Cambria Math" w:hAnsi="Cambria Math"/>
                    </w:rPr>
                    <m:t xml:space="preserve">W</m:t>
                  </m:r>
                </m:den>
              </m:f>
            </m:e>
          </m:d>
          <m:r>
            <w:rPr>
              <w:rFonts w:ascii="Cambria Math" w:hAnsi="Cambria Math"/>
            </w:rPr>
            <m:t xml:space="preserve">=</m:t>
          </m:r>
          <m:f>
            <m:num>
              <m:r>
                <w:rPr>
                  <w:rFonts w:ascii="Cambria Math" w:hAnsi="Cambria Math"/>
                </w:rPr>
                <m:t xml:space="preserve">1</m:t>
              </m:r>
            </m:num>
            <m:den>
              <m:r>
                <m:rPr>
                  <m:lit/>
                  <m:nor/>
                </m:rPr>
                <w:rPr>
                  <w:rFonts w:ascii="Cambria Math" w:hAnsi="Cambria Math"/>
                </w:rPr>
                <m:t xml:space="preserve">|</m:t>
              </m:r>
              <m:sSub>
                <m:e>
                  <m:r>
                    <w:rPr>
                      <w:rFonts w:ascii="Cambria Math" w:hAnsi="Cambria Math"/>
                    </w:rPr>
                    <m:t xml:space="preserve">D</m:t>
                  </m:r>
                </m:e>
                <m:sub>
                  <m:r>
                    <w:rPr>
                      <w:rFonts w:ascii="Cambria Math" w:hAnsi="Cambria Math"/>
                    </w:rPr>
                    <m:t xml:space="preserve">W</m:t>
                  </m:r>
                </m:sub>
              </m:sSub>
              <m:r>
                <m:rPr>
                  <m:lit/>
                  <m:nor/>
                </m:rPr>
                <w:rPr>
                  <w:rFonts w:ascii="Cambria Math" w:hAnsi="Cambria Math"/>
                </w:rPr>
                <m:t xml:space="preserve">|</m:t>
              </m:r>
            </m:den>
          </m:f>
          <m:nary>
            <m:naryPr>
              <m:chr m:val="∑"/>
              <m:supHide m:val="1"/>
            </m:naryPr>
            <m:sub>
              <m:r>
                <w:rPr>
                  <w:rFonts w:ascii="Cambria Math" w:hAnsi="Cambria Math"/>
                </w:rPr>
                <m:t xml:space="preserve">w</m:t>
              </m:r>
              <m:r>
                <w:rPr>
                  <w:rFonts w:ascii="Cambria Math" w:hAnsi="Cambria Math"/>
                </w:rPr>
                <m:t xml:space="preserve">∈</m:t>
              </m:r>
              <m:sSub>
                <m:e>
                  <m:r>
                    <w:rPr>
                      <w:rFonts w:ascii="Cambria Math" w:hAnsi="Cambria Math"/>
                    </w:rPr>
                    <m:t xml:space="preserve">D</m:t>
                  </m:r>
                </m:e>
                <m:sub>
                  <m:r>
                    <w:rPr>
                      <w:rFonts w:ascii="Cambria Math" w:hAnsi="Cambria Math"/>
                    </w:rPr>
                    <m:t xml:space="preserve">W</m:t>
                  </m:r>
                </m:sub>
              </m:sSub>
            </m:sub>
            <m:sup/>
            <m:e>
              <m:f>
                <m:num>
                  <m:r>
                    <w:rPr>
                      <w:rFonts w:ascii="Cambria Math" w:hAnsi="Cambria Math"/>
                    </w:rPr>
                    <m:t xml:space="preserve">1</m:t>
                  </m:r>
                </m:num>
                <m:den>
                  <m:r>
                    <w:rPr>
                      <w:rFonts w:ascii="Cambria Math" w:hAnsi="Cambria Math"/>
                    </w:rPr>
                    <m:t xml:space="preserve">w</m:t>
                  </m:r>
                </m:den>
              </m:f>
            </m:e>
          </m:nary>
        </m:oMath>
      </m:oMathPara>
      <w:bookmarkEnd w:id="127"/>
    </w:p>
    <w:p>
      <w:pPr>
        <w:pStyle w:val="Heading2"/>
        <w:rPr/>
      </w:pPr>
      <w:bookmarkStart w:id="128" w:name="optimization"/>
      <w:r>
        <w:rPr/>
        <w:t>Optimization</w:t>
      </w:r>
    </w:p>
    <w:p>
      <w:pPr>
        <w:pStyle w:val="FirstParagraph"/>
        <w:rPr/>
      </w:pPr>
      <w:r>
        <w:rPr/>
        <w:t xml:space="preserve">At each chance node, an uninspected attribute </w:t>
      </w:r>
      <w:r>
        <w:rPr/>
      </w:r>
      <m:oMath xmlns:m="http://schemas.openxmlformats.org/officeDocument/2006/math">
        <m:r>
          <w:rPr>
            <w:rFonts w:ascii="Cambria Math" w:hAnsi="Cambria Math"/>
          </w:rPr>
          <m:t xml:space="preserve">k</m:t>
        </m:r>
      </m:oMath>
      <w:r>
        <w:rPr/>
        <w:t xml:space="preserve"> can reveal any value </w:t>
      </w:r>
      <w:r>
        <w:rPr/>
      </w:r>
      <m:oMath xmlns:m="http://schemas.openxmlformats.org/officeDocument/2006/math">
        <m:r>
          <w:rPr>
            <w:rFonts w:ascii="Cambria Math" w:hAnsi="Cambria Math"/>
          </w:rPr>
          <m:t xml:space="preserve">x</m:t>
        </m:r>
        <m:r>
          <w:rPr>
            <w:rFonts w:ascii="Cambria Math" w:hAnsi="Cambria Math"/>
          </w:rPr>
          <m:t xml:space="preserve">∈</m:t>
        </m:r>
        <m:sSub>
          <m:e>
            <m:r>
              <w:rPr>
                <w:rFonts w:ascii="Cambria Math" w:hAnsi="Cambria Math"/>
              </w:rPr>
              <m:t xml:space="preserve">D</m:t>
            </m:r>
          </m:e>
          <m:sub>
            <m:r>
              <w:rPr>
                <w:rFonts w:ascii="Cambria Math" w:hAnsi="Cambria Math"/>
              </w:rPr>
              <m:t xml:space="preserve">k</m:t>
            </m:r>
          </m:sub>
        </m:sSub>
      </m:oMath>
      <w:r>
        <w:rPr/>
        <w:t>. When the cardinality of an empirical domain exceeds the chance enumeration limit (</w:t>
      </w:r>
      <w:r>
        <w:rPr/>
      </w:r>
      <m:oMath xmlns:m="http://schemas.openxmlformats.org/officeDocument/2006/math">
        <m:r>
          <w:rPr>
            <w:rFonts w:ascii="Cambria Math" w:hAnsi="Cambria Math"/>
          </w:rPr>
          <m:t xml:space="preserve">L</m:t>
        </m:r>
        <m:r>
          <w:rPr>
            <w:rFonts w:ascii="Cambria Math" w:hAnsi="Cambria Math"/>
          </w:rPr>
          <m:t xml:space="preserve">=</m:t>
        </m:r>
        <m:r>
          <w:rPr>
            <w:rFonts w:ascii="Cambria Math" w:hAnsi="Cambria Math"/>
          </w:rPr>
          <m:t xml:space="preserve">10</m:t>
        </m:r>
      </m:oMath>
      <w:r>
        <w:rPr/>
        <w:t xml:space="preserve">), the support is deterministically quantized into </w:t>
      </w:r>
      <w:r>
        <w:rPr/>
      </w:r>
      <m:oMath xmlns:m="http://schemas.openxmlformats.org/officeDocument/2006/math">
        <m:r>
          <w:rPr>
            <w:rFonts w:ascii="Cambria Math" w:hAnsi="Cambria Math"/>
          </w:rPr>
          <m:t xml:space="preserve">L</m:t>
        </m:r>
      </m:oMath>
      <w:r>
        <w:rPr/>
        <w:t xml:space="preserve"> representative percentiles using evenly spaced indices:</w:t>
      </w:r>
    </w:p>
    <w:p>
      <w:pPr>
        <w:pStyle w:val="BodyText"/>
        <w:jc w:val="center"/>
        <w:rPr/>
      </w:pPr>
      <w: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L</m:t>
              </m:r>
            </m:sub>
          </m:sSub>
          <m:r>
            <w:rPr>
              <w:rFonts w:ascii="Cambria Math" w:hAnsi="Cambria Math"/>
            </w:rPr>
            <m:t xml:space="preserve">=</m:t>
          </m:r>
          <m:d>
            <m:dPr>
              <m:begChr m:val="{"/>
              <m:endChr m:val="}"/>
            </m:dPr>
            <m:e>
              <m:r>
                <w:rPr>
                  <w:rFonts w:ascii="Cambria Math" w:hAnsi="Cambria Math"/>
                </w:rPr>
                <m:t xml:space="preserve">⌊</m:t>
              </m:r>
              <m:f>
                <m:num>
                  <m:r>
                    <w:rPr>
                      <w:rFonts w:ascii="Cambria Math" w:hAnsi="Cambria Math"/>
                    </w:rPr>
                    <m:t xml:space="preserve">i</m:t>
                  </m:r>
                  <m:r>
                    <w:rPr>
                      <w:rFonts w:ascii="Cambria Math" w:hAnsi="Cambria Math"/>
                    </w:rPr>
                    <m:t xml:space="preserve">⋅</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D</m:t>
                      </m:r>
                    </m:e>
                    <m:sub>
                      <m:r>
                        <w:rPr>
                          <w:rFonts w:ascii="Cambria Math" w:hAnsi="Cambria Math"/>
                        </w:rPr>
                        <m:t xml:space="preserve">k</m:t>
                      </m:r>
                    </m:sub>
                  </m:sSub>
                  <m:r>
                    <m:rPr>
                      <m:lit/>
                      <m:nor/>
                    </m:rP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num>
                <m:den>
                  <m:r>
                    <w:rPr>
                      <w:rFonts w:ascii="Cambria Math" w:hAnsi="Cambria Math"/>
                    </w:rPr>
                    <m:t xml:space="preserve">L</m:t>
                  </m:r>
                  <m:r>
                    <w:rPr>
                      <w:rFonts w:ascii="Cambria Math" w:hAnsi="Cambria Math"/>
                    </w:rPr>
                    <m:t xml:space="preserve">−</m:t>
                  </m:r>
                  <m:r>
                    <w:rPr>
                      <w:rFonts w:ascii="Cambria Math" w:hAnsi="Cambria Math"/>
                    </w:rPr>
                    <m:t xml:space="preserve">1</m:t>
                  </m:r>
                </m:den>
              </m:f>
              <m:r>
                <w:rPr>
                  <w:rFonts w:ascii="Cambria Math" w:hAnsi="Cambria Math"/>
                </w:rPr>
                <m:t xml:space="preserve">⌋</m:t>
              </m:r>
              <m:r>
                <m:rPr>
                  <m:lit/>
                  <m:nor/>
                </m:rP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L</m:t>
              </m:r>
              <m:r>
                <w:rPr>
                  <w:rFonts w:ascii="Cambria Math" w:hAnsi="Cambria Math"/>
                </w:rPr>
                <m:t xml:space="preserve">−</m:t>
              </m:r>
              <m:r>
                <w:rPr>
                  <w:rFonts w:ascii="Cambria Math" w:hAnsi="Cambria Math"/>
                </w:rPr>
                <m:t xml:space="preserve">1</m:t>
              </m:r>
            </m:e>
          </m:d>
        </m:oMath>
      </m:oMathPara>
    </w:p>
    <w:p>
      <w:pPr>
        <w:pStyle w:val="FirstParagraph"/>
        <w:rPr/>
      </w:pPr>
      <w:r>
        <w:rPr/>
        <w:t xml:space="preserve">Each quantized outcome </w:t>
      </w:r>
      <w:r>
        <w:rPr/>
      </w:r>
      <m:oMath xmlns:m="http://schemas.openxmlformats.org/officeDocument/2006/math">
        <m:r>
          <w:rPr>
            <w:rFonts w:ascii="Cambria Math" w:hAnsi="Cambria Math"/>
          </w:rPr>
          <m:t xml:space="preserve">x</m:t>
        </m:r>
        <m:r>
          <w:rPr>
            <w:rFonts w:ascii="Cambria Math" w:hAnsi="Cambria Math"/>
          </w:rPr>
          <m:t xml:space="preserve">∈</m:t>
        </m:r>
        <m:sSub>
          <m:e>
            <m:r>
              <w:rPr>
                <w:rFonts w:ascii="Cambria Math" w:hAnsi="Cambria Math"/>
              </w:rPr>
              <m:t xml:space="preserve">D</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r>
          <w:rPr>
            <w:rFonts w:ascii="Cambria Math" w:hAnsi="Cambria Math"/>
          </w:rPr>
          <m:t xml:space="preserve">]</m:t>
        </m:r>
      </m:oMath>
      <w:r>
        <w:rPr/>
        <w:t xml:space="preserve"> is assigned an equal probability mass </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L</m:t>
            </m:r>
          </m:den>
        </m:f>
      </m:oMath>
      <w:r>
        <w:rPr/>
        <w:t>.</w:t>
      </w:r>
    </w:p>
    <w:p>
      <w:pPr>
        <w:pStyle w:val="BodyText"/>
        <w:rPr/>
      </w:pPr>
      <w:r>
        <w:rPr/>
        <w:t xml:space="preserve">The value of an information state </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d</m:t>
        </m:r>
        <m:r>
          <w:rPr>
            <w:rFonts w:ascii="Cambria Math" w:hAnsi="Cambria Math"/>
          </w:rPr>
          <m:t xml:space="preserve">)</m:t>
        </m:r>
      </m:oMath>
      <w:r>
        <w:rPr/>
        <w:t xml:space="preserve"> at remaining lookahead depth </w:t>
      </w:r>
      <w:r>
        <w:rPr/>
      </w:r>
      <m:oMath xmlns:m="http://schemas.openxmlformats.org/officeDocument/2006/math">
        <m:r>
          <w:rPr>
            <w:rFonts w:ascii="Cambria Math" w:hAnsi="Cambria Math"/>
          </w:rPr>
          <m:t xml:space="preserve">d</m:t>
        </m:r>
      </m:oMath>
      <w:r>
        <w:rPr/>
        <w:t xml:space="preserve"> is governed by the Bellman optimality equation:</w:t>
      </w:r>
    </w:p>
    <w:p>
      <w:pPr>
        <w:pStyle w:val="BodyText"/>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m:t>
          </m:r>
          <m:r>
            <w:rPr>
              <w:rFonts w:ascii="Cambria Math" w:hAnsi="Cambria Math"/>
            </w:rPr>
            <m:t xml:space="preserve">max</m:t>
          </m:r>
          <m:d>
            <m:dPr>
              <m:begChr m:val="("/>
              <m:endChr m:val=")"/>
            </m:dPr>
            <m:e>
              <m:limLow>
                <m:e>
                  <m:r>
                    <w:rPr>
                      <w:rFonts w:ascii="Cambria Math" w:hAnsi="Cambria Math"/>
                    </w:rPr>
                    <m:t xml:space="preserve">max</m:t>
                  </m:r>
                </m:e>
                <m:lim>
                  <m:r>
                    <w:rPr>
                      <w:rFonts w:ascii="Cambria Math" w:hAnsi="Cambria Math"/>
                    </w:rPr>
                    <m:t xml:space="preserve">j</m:t>
                  </m:r>
                  <m:r>
                    <w:rPr>
                      <w:rFonts w:ascii="Cambria Math" w:hAnsi="Cambria Math"/>
                    </w:rPr>
                    <m:t xml:space="preserve">∈</m:t>
                  </m:r>
                  <m:r>
                    <w:rPr>
                      <w:rFonts w:ascii="Cambria Math" w:hAnsi="Cambria Math"/>
                    </w:rPr>
                    <m:t xml:space="preserve">J</m:t>
                  </m:r>
                </m:lim>
              </m:limLow>
              <m:sSub>
                <m:e>
                  <m:r>
                    <w:rPr>
                      <w:rFonts w:ascii="Cambria Math" w:hAnsi="Cambria Math"/>
                    </w:rPr>
                    <m:t xml:space="preserve">U</m:t>
                  </m:r>
                </m:e>
                <m:sub>
                  <m:r>
                    <m:rPr>
                      <m:lit/>
                      <m:nor/>
                    </m:rPr>
                    <w:rPr>
                      <w:rFonts w:ascii="Cambria Math" w:hAnsi="Cambria Math"/>
                    </w:rPr>
                    <m:t xml:space="preserve">choose</m:t>
                  </m:r>
                </m:sub>
              </m:sSub>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d</m:t>
              </m:r>
              <m:r>
                <w:rPr>
                  <w:rFonts w:ascii="Cambria Math" w:hAnsi="Cambria Math"/>
                </w:rPr>
                <m:t xml:space="preserve">&gt;</m:t>
              </m:r>
              <m:r>
                <w:rPr>
                  <w:rFonts w:ascii="Cambria Math" w:hAnsi="Cambria Math"/>
                </w:rPr>
                <m:t xml:space="preserve">0</m:t>
              </m:r>
              <m:r>
                <w:rPr>
                  <w:rFonts w:ascii="Cambria Math" w:hAnsi="Cambria Math"/>
                </w:rPr>
                <m:t xml:space="preserve">)</m:t>
              </m:r>
              <m:r>
                <w:rPr>
                  <w:rFonts w:ascii="Cambria Math" w:hAnsi="Cambria Math"/>
                </w:rPr>
                <m:t xml:space="preserve">⋅</m:t>
              </m:r>
              <m:limLow>
                <m:e>
                  <m:r>
                    <w:rPr>
                      <w:rFonts w:ascii="Cambria Math" w:hAnsi="Cambria Math"/>
                    </w:rPr>
                    <m:t xml:space="preserve">max</m:t>
                  </m:r>
                </m:e>
                <m:lim>
                  <m:r>
                    <w:rPr>
                      <w:rFonts w:ascii="Cambria Math" w:hAnsi="Cambria Math"/>
                    </w:rPr>
                    <m:t xml:space="preserve">(</m:t>
                  </m:r>
                  <m:r>
                    <m:rPr>
                      <m:lit/>
                      <m:nor/>
                    </m:rPr>
                    <w:rPr>
                      <w:rFonts w:ascii="Cambria Math" w:hAnsi="Cambria Math"/>
                    </w:rPr>
                    <m:t xml:space="preserve">reveal</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A</m:t>
                      </m:r>
                    </m:e>
                    <m:sub>
                      <m:r>
                        <m:rPr>
                          <m:lit/>
                          <m:nor/>
                        </m:rPr>
                        <w:rPr>
                          <w:rFonts w:ascii="Cambria Math" w:hAnsi="Cambria Math"/>
                        </w:rPr>
                        <m:t xml:space="preserve">reveal</m:t>
                      </m:r>
                    </m:sub>
                  </m:sSub>
                  <m:r>
                    <w:rPr>
                      <w:rFonts w:ascii="Cambria Math" w:hAnsi="Cambria Math"/>
                    </w:rPr>
                    <m:t xml:space="preserve">(</m:t>
                  </m:r>
                  <m:r>
                    <w:rPr>
                      <w:rFonts w:ascii="Cambria Math" w:hAnsi="Cambria Math"/>
                    </w:rPr>
                    <m:t xml:space="preserve">s</m:t>
                  </m:r>
                  <m:r>
                    <w:rPr>
                      <w:rFonts w:ascii="Cambria Math" w:hAnsi="Cambria Math"/>
                    </w:rPr>
                    <m:t xml:space="preserve">)</m:t>
                  </m:r>
                </m:lim>
              </m:limLow>
              <m:sSub>
                <m:e>
                  <m:r>
                    <w:rPr>
                      <w:rFonts w:ascii="Cambria Math" w:hAnsi="Cambria Math"/>
                    </w:rPr>
                    <m:t xml:space="preserve">Q</m:t>
                  </m:r>
                </m:e>
                <m:sub>
                  <m:r>
                    <m:rPr>
                      <m:lit/>
                      <m:nor/>
                    </m:rPr>
                    <w:rPr>
                      <w:rFonts w:ascii="Cambria Math" w:hAnsi="Cambria Math"/>
                    </w:rPr>
                    <m:t xml:space="preserve">reveal</m:t>
                  </m:r>
                </m:sub>
              </m:sSub>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d</m:t>
              </m:r>
              <m:r>
                <w:rPr>
                  <w:rFonts w:ascii="Cambria Math" w:hAnsi="Cambria Math"/>
                </w:rPr>
                <m:t xml:space="preserve">)</m:t>
              </m:r>
            </m:e>
          </m:d>
        </m:oMath>
      </m:oMathPara>
    </w:p>
    <w:p>
      <w:pPr>
        <w:pStyle w:val="FirstParagraph"/>
        <w:rPr/>
      </w:pPr>
      <w:r>
        <w:rPr/>
        <w:t xml:space="preserve">where the Expected Value of Information for inspecting cell </w:t>
      </w:r>
      <w:r>
        <w:rPr/>
      </w:r>
      <m:oMath xmlns:m="http://schemas.openxmlformats.org/officeDocument/2006/math">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oMath>
      <w:r>
        <w:rPr/>
        <w:t xml:space="preserve"> is computed across all chance outcomes </w:t>
      </w:r>
      <w:r>
        <w:rPr/>
      </w:r>
      <m:oMath xmlns:m="http://schemas.openxmlformats.org/officeDocument/2006/math">
        <m:r>
          <w:rPr>
            <w:rFonts w:ascii="Cambria Math" w:hAnsi="Cambria Math"/>
          </w:rPr>
          <m:t xml:space="preserve">Ω</m:t>
        </m:r>
        <m:r>
          <w:rPr>
            <w:rFonts w:ascii="Cambria Math" w:hAnsi="Cambria Math"/>
          </w:rPr>
          <m:t xml:space="preserve">(</m:t>
        </m:r>
        <m:r>
          <w:rPr>
            <w:rFonts w:ascii="Cambria Math" w:hAnsi="Cambria Math"/>
          </w:rPr>
          <m:t xml:space="preserve">k</m:t>
        </m:r>
        <m:r>
          <w:rPr>
            <w:rFonts w:ascii="Cambria Math" w:hAnsi="Cambria Math"/>
          </w:rPr>
          <m:t xml:space="preserve">)</m:t>
        </m:r>
      </m:oMath>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Q</m:t>
              </m:r>
            </m:e>
            <m:sub>
              <m:r>
                <m:rPr>
                  <m:lit/>
                  <m:nor/>
                </m:rPr>
                <w:rPr>
                  <w:rFonts w:ascii="Cambria Math" w:hAnsi="Cambria Math"/>
                </w:rPr>
                <m:t xml:space="preserve">reveal</m:t>
              </m:r>
            </m:sub>
          </m:sSub>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τ</m:t>
          </m:r>
          <m:r>
            <w:rPr>
              <w:rFonts w:ascii="Cambria Math" w:hAnsi="Cambria Math"/>
            </w:rPr>
            <m:t xml:space="preserve">+</m:t>
          </m:r>
          <m:f>
            <m:num>
              <m:r>
                <w:rPr>
                  <w:rFonts w:ascii="Cambria Math" w:hAnsi="Cambria Math"/>
                </w:rPr>
                <m:t xml:space="preserve">1</m:t>
              </m:r>
            </m:num>
            <m:den>
              <m:r>
                <m:rPr>
                  <m:lit/>
                  <m:nor/>
                </m:rPr>
                <w:rPr>
                  <w:rFonts w:ascii="Cambria Math" w:hAnsi="Cambria Math"/>
                </w:rPr>
                <m:t xml:space="preserve">|</m:t>
              </m:r>
              <m:r>
                <w:rPr>
                  <w:rFonts w:ascii="Cambria Math" w:hAnsi="Cambria Math"/>
                </w:rPr>
                <m:t xml:space="preserve">Ω</m:t>
              </m:r>
              <m:r>
                <w:rPr>
                  <w:rFonts w:ascii="Cambria Math" w:hAnsi="Cambria Math"/>
                </w:rPr>
                <m:t xml:space="preserve">(</m:t>
              </m:r>
              <m:r>
                <w:rPr>
                  <w:rFonts w:ascii="Cambria Math" w:hAnsi="Cambria Math"/>
                </w:rPr>
                <m:t xml:space="preserve">k</m:t>
              </m:r>
              <m:r>
                <w:rPr>
                  <w:rFonts w:ascii="Cambria Math" w:hAnsi="Cambria Math"/>
                </w:rPr>
                <m:t xml:space="preserve">)</m:t>
              </m:r>
              <m:r>
                <m:rPr>
                  <m:lit/>
                  <m:nor/>
                </m:rPr>
                <w:rPr>
                  <w:rFonts w:ascii="Cambria Math" w:hAnsi="Cambria Math"/>
                </w:rPr>
                <m:t xml:space="preserve">|</m:t>
              </m:r>
            </m:den>
          </m:f>
          <m:nary>
            <m:naryPr>
              <m:chr m:val="∑"/>
              <m:supHide m:val="1"/>
            </m:naryPr>
            <m:sub>
              <m:r>
                <w:rPr>
                  <w:rFonts w:ascii="Cambria Math" w:hAnsi="Cambria Math"/>
                </w:rPr>
                <m:t xml:space="preserve">x</m:t>
              </m:r>
              <m:r>
                <w:rPr>
                  <w:rFonts w:ascii="Cambria Math" w:hAnsi="Cambria Math"/>
                </w:rPr>
                <m:t xml:space="preserve">∈</m:t>
              </m:r>
              <m:r>
                <w:rPr>
                  <w:rFonts w:ascii="Cambria Math" w:hAnsi="Cambria Math"/>
                </w:rPr>
                <m:t xml:space="preserve">Ω</m:t>
              </m:r>
              <m:r>
                <w:rPr>
                  <w:rFonts w:ascii="Cambria Math" w:hAnsi="Cambria Math"/>
                </w:rPr>
                <m:t xml:space="preserve">(</m:t>
              </m:r>
              <m:r>
                <w:rPr>
                  <w:rFonts w:ascii="Cambria Math" w:hAnsi="Cambria Math"/>
                </w:rPr>
                <m:t xml:space="preserve">k</m:t>
              </m:r>
              <m:r>
                <w:rPr>
                  <w:rFonts w:ascii="Cambria Math" w:hAnsi="Cambria Math"/>
                </w:rPr>
                <m:t xml:space="preserve">)</m:t>
              </m:r>
            </m:sub>
            <m:sup/>
            <m:e>
              <m:r>
                <w:rPr>
                  <w:rFonts w:ascii="Cambria Math" w:hAnsi="Cambria Math"/>
                </w:rPr>
                <m:t xml:space="preserve">V</m:t>
              </m:r>
            </m:e>
          </m:nary>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1</m:t>
              </m:r>
            </m:e>
          </m:d>
        </m:oMath>
      </m:oMathPara>
    </w:p>
    <w:p>
      <w:pPr>
        <w:pStyle w:val="FirstParagraph"/>
        <w:rPr/>
      </w:pPr>
      <w:r>
        <w:rPr/>
        <w:t xml:space="preserve">where </w:t>
      </w:r>
      <w:r>
        <w:rPr/>
      </w:r>
      <m:oMath xmlns:m="http://schemas.openxmlformats.org/officeDocument/2006/math">
        <m:r>
          <w:rPr>
            <w:rFonts w:ascii="Cambria Math" w:hAnsi="Cambria Math"/>
          </w:rPr>
          <m:t xml:space="preserve">τ</m:t>
        </m:r>
      </m:oMath>
      <w:r>
        <w:rPr/>
        <w:t xml:space="preserve"> is a tie-breaking parameter that penalizes redundant inspections.</w:t>
      </w:r>
    </w:p>
    <w:p>
      <w:pPr>
        <w:pStyle w:val="BodyText"/>
        <w:rPr/>
      </w:pPr>
      <w:r>
        <w:rPr/>
        <w:t>We evaluate the normative policy under two planning horizons. Myopic policy (</w:t>
      </w:r>
      <w:r>
        <w:rPr/>
      </w:r>
      <m:oMath xmlns:m="http://schemas.openxmlformats.org/officeDocument/2006/math">
        <m:r>
          <m:rPr>
            <m:lit/>
            <m:nor/>
          </m:rPr>
          <w:rPr>
            <w:rFonts w:ascii="Cambria Math" w:hAnsi="Cambria Math"/>
          </w:rPr>
          <m:t xml:space="preserve">Depth</m:t>
        </m:r>
        <m:r>
          <w:rPr>
            <w:rFonts w:ascii="Cambria Math" w:hAnsi="Cambria Math"/>
          </w:rPr>
          <m:t xml:space="preserve">=</m:t>
        </m:r>
        <m:r>
          <w:rPr>
            <w:rFonts w:ascii="Cambria Math" w:hAnsi="Cambria Math"/>
          </w:rPr>
          <m:t xml:space="preserve">1</m:t>
        </m:r>
      </m:oMath>
      <w:r>
        <w:rPr/>
        <w:t>) evaluates a 1-step lookahead horizon under the constraint that the surrogate consumer must select an alternative immediately following the next tool call. The myopic policy identifies greedy information gains but cannot anticipate information synergies across multiple attributes. 2-step lookahead policy (</w:t>
      </w:r>
      <w:r>
        <w:rPr/>
      </w:r>
      <m:oMath xmlns:m="http://schemas.openxmlformats.org/officeDocument/2006/math">
        <m:r>
          <m:rPr>
            <m:lit/>
            <m:nor/>
          </m:rPr>
          <w:rPr>
            <w:rFonts w:ascii="Cambria Math" w:hAnsi="Cambria Math"/>
          </w:rPr>
          <m:t xml:space="preserve">Depth</m:t>
        </m:r>
        <m:r>
          <w:rPr>
            <w:rFonts w:ascii="Cambria Math" w:hAnsi="Cambria Math"/>
          </w:rPr>
          <m:t xml:space="preserve">=</m:t>
        </m:r>
        <m:r>
          <w:rPr>
            <w:rFonts w:ascii="Cambria Math" w:hAnsi="Cambria Math"/>
          </w:rPr>
          <m:t xml:space="preserve">2</m:t>
        </m:r>
      </m:oMath>
      <w:r>
        <w:rPr/>
        <w:t>) recursively evaluates two sequential inspection steps before choice commitment. This horizon captures information complementarity, such as the joint value of inspecting dollars alongside cents, or list prices alongside discount percentages.</w:t>
      </w:r>
      <w:bookmarkEnd w:id="128"/>
    </w:p>
    <w:p>
      <w:pPr>
        <w:pStyle w:val="Heading2"/>
        <w:rPr/>
      </w:pPr>
      <w:bookmarkStart w:id="129" w:name="normative-benchmark---study-1"/>
      <w:r>
        <w:rPr/>
        <w:t>Normative benchmark - Study 1</w:t>
      </w:r>
    </w:p>
    <w:p>
      <w:pPr>
        <w:pStyle w:val="FirstParagraph"/>
        <w:rPr/>
      </w:pPr>
      <w:r>
        <w:rPr/>
        <w:t>In Study 1, the ground-truth choice set pits a lower whole-dollar alternative (</w:t>
      </w:r>
      <w:r>
        <w:rPr>
          <w:i/>
          <w:iCs/>
        </w:rPr>
        <w:t>Coffee A</w:t>
      </w:r>
      <w:r>
        <w:rPr/>
        <w:t xml:space="preserve">: </w:t>
      </w:r>
      <w:r>
        <w:rPr/>
      </w:r>
      <m:oMath xmlns:m="http://schemas.openxmlformats.org/officeDocument/2006/math">
        <m:r>
          <w:rPr>
            <w:rFonts w:ascii="Cambria Math" w:hAnsi="Cambria Math"/>
          </w:rPr>
          <m:t xml:space="preserve">$</m:t>
        </m:r>
        <m:r>
          <w:rPr>
            <w:rFonts w:ascii="Cambria Math" w:hAnsi="Cambria Math"/>
          </w:rPr>
          <m:t xml:space="preserve">4.99</m:t>
        </m:r>
      </m:oMath>
      <w:r>
        <w:rPr/>
        <w:t xml:space="preserve">, </w:t>
      </w:r>
      <w:r>
        <w:rPr/>
      </w:r>
      <m:oMath xmlns:m="http://schemas.openxmlformats.org/officeDocument/2006/math">
        <m:r>
          <w:rPr>
            <w:rFonts w:ascii="Cambria Math" w:hAnsi="Cambria Math"/>
          </w:rPr>
          <m:t xml:space="preserve">10.0</m:t>
        </m:r>
        <m:r>
          <m:rPr>
            <m:lit/>
            <m:nor/>
          </m:rPr>
          <w:rPr>
            <w:rFonts w:ascii="Cambria Math" w:hAnsi="Cambria Math"/>
          </w:rPr>
          <m:t xml:space="preserve">oz</m:t>
        </m:r>
      </m:oMath>
      <w:r>
        <w:rPr/>
        <w:t xml:space="preserve">; </w:t>
      </w:r>
      <w:r>
        <w:rPr/>
      </w:r>
      <m:oMath xmlns:m="http://schemas.openxmlformats.org/officeDocument/2006/math">
        <m:r>
          <w:rPr>
            <w:rFonts w:ascii="Cambria Math" w:hAnsi="Cambria Math"/>
          </w:rPr>
          <m:t xml:space="preserve">2.00</m:t>
        </m:r>
        <m:r>
          <m:rPr>
            <m:lit/>
            <m:nor/>
          </m:rPr>
          <w:rPr>
            <w:rFonts w:ascii="Cambria Math" w:hAnsi="Cambria Math"/>
          </w:rPr>
          <m:t xml:space="preserve">oz/$</m:t>
        </m:r>
      </m:oMath>
      <w:r>
        <w:rPr/>
        <w:t>) against a higher whole-dollar optimal alternative (</w:t>
      </w:r>
      <w:r>
        <w:rPr>
          <w:i/>
          <w:iCs/>
        </w:rPr>
        <w:t>Coffee B</w:t>
      </w:r>
      <w:r>
        <w:rPr/>
        <w:t xml:space="preserve">: </w:t>
      </w:r>
      <w:r>
        <w:rPr/>
      </w:r>
      <m:oMath xmlns:m="http://schemas.openxmlformats.org/officeDocument/2006/math">
        <m:r>
          <w:rPr>
            <w:rFonts w:ascii="Cambria Math" w:hAnsi="Cambria Math"/>
          </w:rPr>
          <m:t xml:space="preserve">$</m:t>
        </m:r>
        <m:r>
          <w:rPr>
            <w:rFonts w:ascii="Cambria Math" w:hAnsi="Cambria Math"/>
          </w:rPr>
          <m:t xml:space="preserve">5.00</m:t>
        </m:r>
      </m:oMath>
      <w:r>
        <w:rPr/>
        <w:t xml:space="preserve">, </w:t>
      </w:r>
      <w:r>
        <w:rPr/>
      </w:r>
      <m:oMath xmlns:m="http://schemas.openxmlformats.org/officeDocument/2006/math">
        <m:r>
          <w:rPr>
            <w:rFonts w:ascii="Cambria Math" w:hAnsi="Cambria Math"/>
          </w:rPr>
          <m:t xml:space="preserve">11.0</m:t>
        </m:r>
        <m:r>
          <m:rPr>
            <m:lit/>
            <m:nor/>
          </m:rPr>
          <w:rPr>
            <w:rFonts w:ascii="Cambria Math" w:hAnsi="Cambria Math"/>
          </w:rPr>
          <m:t xml:space="preserve">oz</m:t>
        </m:r>
      </m:oMath>
      <w:r>
        <w:rPr/>
        <w:t xml:space="preserve">; </w:t>
      </w:r>
      <w:r>
        <w:rPr/>
      </w:r>
      <m:oMath xmlns:m="http://schemas.openxmlformats.org/officeDocument/2006/math">
        <m:r>
          <w:rPr>
            <w:rFonts w:ascii="Cambria Math" w:hAnsi="Cambria Math"/>
          </w:rPr>
          <m:t xml:space="preserve">2.20</m:t>
        </m:r>
        <m:r>
          <m:rPr>
            <m:lit/>
            <m:nor/>
          </m:rPr>
          <w:rPr>
            <w:rFonts w:ascii="Cambria Math" w:hAnsi="Cambria Math"/>
          </w:rPr>
          <m:t xml:space="preserve">oz/$</m:t>
        </m:r>
      </m:oMath>
      <w:r>
        <w:rPr/>
        <w:t>).</w:t>
      </w:r>
    </w:p>
    <w:p>
      <w:pPr>
        <w:pStyle w:val="BodyText"/>
        <w:rPr/>
      </w:pPr>
      <w:hyperlink w:anchor="apptbl-expectimax-study1">
        <w:r>
          <w:rPr>
            <w:rStyle w:val="Hyperlink"/>
          </w:rPr>
          <w:t>Table W5</w:t>
        </w:r>
      </w:hyperlink>
      <w:r>
        <w:rPr/>
        <w:t xml:space="preserve"> summarizes the search depth and choice optimality of the Expectimax benchmark across acquisition costs.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W5: Expectimax optimal search depth and choice optimality across acquisition costs (Study 1)</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013"/>
              <w:gridCol w:w="1016"/>
              <w:gridCol w:w="1015"/>
              <w:gridCol w:w="1016"/>
              <w:gridCol w:w="1020"/>
              <w:gridCol w:w="1016"/>
              <w:gridCol w:w="1016"/>
              <w:gridCol w:w="1016"/>
              <w:gridCol w:w="1016"/>
            </w:tblGrid>
            <w:tr>
              <w:trPr>
                <w:tblHeader w:val="true"/>
              </w:trPr>
              <w:tc>
                <w:tcPr>
                  <w:tcW w:w="1013" w:type="dxa"/>
                  <w:tcBorders/>
                  <w:vAlign w:val="center"/>
                </w:tcPr>
                <w:p>
                  <w:pPr>
                    <w:pStyle w:val="Compact"/>
                    <w:spacing w:before="36" w:after="36"/>
                    <w:jc w:val="center"/>
                    <w:rPr>
                      <w:b w:val="false"/>
                    </w:rPr>
                  </w:pPr>
                  <w:r>
                    <w:rPr>
                      <w:b w:val="false"/>
                    </w:rPr>
                    <w:t>Lookahead policy</w:t>
                  </w:r>
                </w:p>
              </w:tc>
              <w:tc>
                <w:tcPr>
                  <w:tcW w:w="1016" w:type="dxa"/>
                  <w:tcBorders/>
                  <w:vAlign w:val="center"/>
                </w:tcPr>
                <w:p>
                  <w:pPr>
                    <w:pStyle w:val="Compact"/>
                    <w:spacing w:before="36" w:after="36"/>
                    <w:jc w:val="center"/>
                    <w:rPr>
                      <w:b w:val="false"/>
                    </w:rPr>
                  </w:pPr>
                  <w:r>
                    <w:rPr>
                      <w:b w:val="false"/>
                    </w:rPr>
                    <w:t>Tool cost</w:t>
                  </w:r>
                </w:p>
              </w:tc>
              <w:tc>
                <w:tcPr>
                  <w:tcW w:w="1015" w:type="dxa"/>
                  <w:tcBorders/>
                  <w:vAlign w:val="center"/>
                </w:tcPr>
                <w:p>
                  <w:pPr>
                    <w:pStyle w:val="Compact"/>
                    <w:spacing w:before="36" w:after="36"/>
                    <w:jc w:val="center"/>
                    <w:rPr>
                      <w:b w:val="false"/>
                    </w:rPr>
                  </w:pPr>
                  <w:r>
                    <w:rPr>
                      <w:b w:val="false"/>
                    </w:rPr>
                    <w:t>Dollars</w:t>
                  </w:r>
                </w:p>
              </w:tc>
              <w:tc>
                <w:tcPr>
                  <w:tcW w:w="1016" w:type="dxa"/>
                  <w:tcBorders/>
                  <w:vAlign w:val="center"/>
                </w:tcPr>
                <w:p>
                  <w:pPr>
                    <w:pStyle w:val="Compact"/>
                    <w:spacing w:before="36" w:after="36"/>
                    <w:jc w:val="center"/>
                    <w:rPr>
                      <w:b w:val="false"/>
                    </w:rPr>
                  </w:pPr>
                  <w:r>
                    <w:rPr>
                      <w:b w:val="false"/>
                    </w:rPr>
                    <w:t>Cents</w:t>
                  </w:r>
                </w:p>
              </w:tc>
              <w:tc>
                <w:tcPr>
                  <w:tcW w:w="1020" w:type="dxa"/>
                  <w:tcBorders/>
                  <w:vAlign w:val="center"/>
                </w:tcPr>
                <w:p>
                  <w:pPr>
                    <w:pStyle w:val="Compact"/>
                    <w:spacing w:before="36" w:after="36"/>
                    <w:jc w:val="center"/>
                    <w:rPr>
                      <w:b w:val="false"/>
                    </w:rPr>
                  </w:pPr>
                  <w:r>
                    <w:rPr>
                      <w:b w:val="false"/>
                    </w:rPr>
                    <w:t>Weight</w:t>
                  </w:r>
                </w:p>
              </w:tc>
              <w:tc>
                <w:tcPr>
                  <w:tcW w:w="1016" w:type="dxa"/>
                  <w:tcBorders/>
                  <w:vAlign w:val="center"/>
                </w:tcPr>
                <w:p>
                  <w:pPr>
                    <w:pStyle w:val="Compact"/>
                    <w:spacing w:before="36" w:after="36"/>
                    <w:jc w:val="center"/>
                    <w:rPr>
                      <w:b w:val="false"/>
                    </w:rPr>
                  </w:pPr>
                  <w:r>
                    <w:rPr>
                      <w:b w:val="false"/>
                    </w:rPr>
                    <w:t>Diagnostic calls</w:t>
                  </w:r>
                </w:p>
              </w:tc>
              <w:tc>
                <w:tcPr>
                  <w:tcW w:w="1016" w:type="dxa"/>
                  <w:tcBorders/>
                  <w:vAlign w:val="center"/>
                </w:tcPr>
                <w:p>
                  <w:pPr>
                    <w:pStyle w:val="Compact"/>
                    <w:spacing w:before="36" w:after="36"/>
                    <w:jc w:val="center"/>
                    <w:rPr>
                      <w:b w:val="false"/>
                    </w:rPr>
                  </w:pPr>
                  <w:r>
                    <w:rPr>
                      <w:b w:val="false"/>
                    </w:rPr>
                    <w:t>Non-diagnostic calls</w:t>
                  </w:r>
                </w:p>
              </w:tc>
              <w:tc>
                <w:tcPr>
                  <w:tcW w:w="1016" w:type="dxa"/>
                  <w:tcBorders/>
                  <w:vAlign w:val="center"/>
                </w:tcPr>
                <w:p>
                  <w:pPr>
                    <w:pStyle w:val="Compact"/>
                    <w:spacing w:before="36" w:after="36"/>
                    <w:jc w:val="center"/>
                    <w:rPr>
                      <w:b w:val="false"/>
                    </w:rPr>
                  </w:pPr>
                  <w:r>
                    <w:rPr>
                      <w:b w:val="false"/>
                    </w:rPr>
                    <w:t>Total calls</w:t>
                  </w:r>
                </w:p>
              </w:tc>
              <w:tc>
                <w:tcPr>
                  <w:tcW w:w="1016" w:type="dxa"/>
                  <w:tcBorders/>
                  <w:vAlign w:val="center"/>
                </w:tcPr>
                <w:p>
                  <w:pPr>
                    <w:pStyle w:val="Compact"/>
                    <w:spacing w:before="36" w:after="36"/>
                    <w:jc w:val="center"/>
                    <w:rPr>
                      <w:b w:val="false"/>
                    </w:rPr>
                  </w:pPr>
                  <w:r>
                    <w:rPr>
                      <w:b w:val="false"/>
                    </w:rPr>
                    <w:t>Choice optimality</w:t>
                  </w:r>
                </w:p>
              </w:tc>
            </w:tr>
            <w:tr>
              <w:trPr/>
              <w:tc>
                <w:tcPr>
                  <w:tcW w:w="1013" w:type="dxa"/>
                  <w:tcBorders>
                    <w:top w:val="nil"/>
                    <w:bottom w:val="nil"/>
                  </w:tcBorders>
                  <w:vAlign w:val="center"/>
                </w:tcPr>
                <w:p>
                  <w:pPr>
                    <w:pStyle w:val="Compact"/>
                    <w:spacing w:before="36" w:after="36"/>
                    <w:jc w:val="center"/>
                    <w:rPr/>
                  </w:pPr>
                  <w:r>
                    <w:rPr/>
                    <w:t>Myopic</w:t>
                  </w:r>
                </w:p>
              </w:tc>
              <w:tc>
                <w:tcPr>
                  <w:tcW w:w="1016" w:type="dxa"/>
                  <w:tcBorders>
                    <w:top w:val="nil"/>
                    <w:bottom w:val="nil"/>
                  </w:tcBorders>
                  <w:vAlign w:val="center"/>
                </w:tcPr>
                <w:p>
                  <w:pPr>
                    <w:pStyle w:val="Compact"/>
                    <w:spacing w:before="36" w:after="36"/>
                    <w:jc w:val="center"/>
                    <w:rPr/>
                  </w:pPr>
                  <w:r>
                    <w:rPr/>
                    <w:t>$0.00</w:t>
                  </w:r>
                </w:p>
              </w:tc>
              <w:tc>
                <w:tcPr>
                  <w:tcW w:w="1015"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2.0</w:t>
                  </w:r>
                </w:p>
              </w:tc>
              <w:tc>
                <w:tcPr>
                  <w:tcW w:w="1020"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6.0</w:t>
                  </w:r>
                </w:p>
              </w:tc>
              <w:tc>
                <w:tcPr>
                  <w:tcW w:w="1016" w:type="dxa"/>
                  <w:tcBorders>
                    <w:top w:val="nil"/>
                    <w:bottom w:val="nil"/>
                  </w:tcBorders>
                  <w:vAlign w:val="center"/>
                </w:tcPr>
                <w:p>
                  <w:pPr>
                    <w:pStyle w:val="Compact"/>
                    <w:spacing w:before="36" w:after="36"/>
                    <w:jc w:val="center"/>
                    <w:rPr/>
                  </w:pPr>
                  <w:r>
                    <w:rPr/>
                    <w:t>3.6</w:t>
                  </w:r>
                </w:p>
              </w:tc>
              <w:tc>
                <w:tcPr>
                  <w:tcW w:w="1016" w:type="dxa"/>
                  <w:tcBorders>
                    <w:top w:val="nil"/>
                    <w:bottom w:val="nil"/>
                  </w:tcBorders>
                  <w:vAlign w:val="center"/>
                </w:tcPr>
                <w:p>
                  <w:pPr>
                    <w:pStyle w:val="Compact"/>
                    <w:spacing w:before="36" w:after="36"/>
                    <w:jc w:val="center"/>
                    <w:rPr/>
                  </w:pPr>
                  <w:r>
                    <w:rPr/>
                    <w:t>9.6</w:t>
                  </w:r>
                </w:p>
              </w:tc>
              <w:tc>
                <w:tcPr>
                  <w:tcW w:w="1016" w:type="dxa"/>
                  <w:tcBorders>
                    <w:top w:val="nil"/>
                    <w:bottom w:val="nil"/>
                  </w:tcBorders>
                  <w:vAlign w:val="center"/>
                </w:tcPr>
                <w:p>
                  <w:pPr>
                    <w:pStyle w:val="Compact"/>
                    <w:spacing w:before="36" w:after="36"/>
                    <w:jc w:val="center"/>
                    <w:rPr/>
                  </w:pPr>
                  <w:r>
                    <w:rPr/>
                    <w:t>1.00</w:t>
                  </w:r>
                </w:p>
              </w:tc>
            </w:tr>
            <w:tr>
              <w:trPr/>
              <w:tc>
                <w:tcPr>
                  <w:tcW w:w="1013" w:type="dxa"/>
                  <w:tcBorders>
                    <w:top w:val="nil"/>
                    <w:bottom w:val="nil"/>
                  </w:tcBorders>
                  <w:vAlign w:val="center"/>
                </w:tcPr>
                <w:p>
                  <w:pPr>
                    <w:pStyle w:val="Compact"/>
                    <w:spacing w:before="36" w:after="36"/>
                    <w:jc w:val="center"/>
                    <w:rPr/>
                  </w:pPr>
                  <w:r>
                    <w:rPr/>
                    <w:t>Myopic</w:t>
                  </w:r>
                </w:p>
              </w:tc>
              <w:tc>
                <w:tcPr>
                  <w:tcW w:w="1016" w:type="dxa"/>
                  <w:tcBorders>
                    <w:top w:val="nil"/>
                    <w:bottom w:val="nil"/>
                  </w:tcBorders>
                  <w:vAlign w:val="center"/>
                </w:tcPr>
                <w:p>
                  <w:pPr>
                    <w:pStyle w:val="Compact"/>
                    <w:spacing w:before="36" w:after="36"/>
                    <w:jc w:val="center"/>
                    <w:rPr/>
                  </w:pPr>
                  <w:r>
                    <w:rPr/>
                    <w:t>$0.01</w:t>
                  </w:r>
                </w:p>
              </w:tc>
              <w:tc>
                <w:tcPr>
                  <w:tcW w:w="1015"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2.0</w:t>
                  </w:r>
                </w:p>
              </w:tc>
              <w:tc>
                <w:tcPr>
                  <w:tcW w:w="1020"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6.0</w:t>
                  </w:r>
                </w:p>
              </w:tc>
              <w:tc>
                <w:tcPr>
                  <w:tcW w:w="1016" w:type="dxa"/>
                  <w:tcBorders>
                    <w:top w:val="nil"/>
                    <w:bottom w:val="nil"/>
                  </w:tcBorders>
                  <w:vAlign w:val="center"/>
                </w:tcPr>
                <w:p>
                  <w:pPr>
                    <w:pStyle w:val="Compact"/>
                    <w:spacing w:before="36" w:after="36"/>
                    <w:jc w:val="center"/>
                    <w:rPr/>
                  </w:pPr>
                  <w:r>
                    <w:rPr/>
                    <w:t>0.0</w:t>
                  </w:r>
                </w:p>
              </w:tc>
              <w:tc>
                <w:tcPr>
                  <w:tcW w:w="1016" w:type="dxa"/>
                  <w:tcBorders>
                    <w:top w:val="nil"/>
                    <w:bottom w:val="nil"/>
                  </w:tcBorders>
                  <w:vAlign w:val="center"/>
                </w:tcPr>
                <w:p>
                  <w:pPr>
                    <w:pStyle w:val="Compact"/>
                    <w:spacing w:before="36" w:after="36"/>
                    <w:jc w:val="center"/>
                    <w:rPr/>
                  </w:pPr>
                  <w:r>
                    <w:rPr/>
                    <w:t>6.0</w:t>
                  </w:r>
                </w:p>
              </w:tc>
              <w:tc>
                <w:tcPr>
                  <w:tcW w:w="1016" w:type="dxa"/>
                  <w:tcBorders>
                    <w:top w:val="nil"/>
                    <w:bottom w:val="nil"/>
                  </w:tcBorders>
                  <w:vAlign w:val="center"/>
                </w:tcPr>
                <w:p>
                  <w:pPr>
                    <w:pStyle w:val="Compact"/>
                    <w:spacing w:before="36" w:after="36"/>
                    <w:jc w:val="center"/>
                    <w:rPr/>
                  </w:pPr>
                  <w:r>
                    <w:rPr/>
                    <w:t>1.00</w:t>
                  </w:r>
                </w:p>
              </w:tc>
            </w:tr>
            <w:tr>
              <w:trPr/>
              <w:tc>
                <w:tcPr>
                  <w:tcW w:w="1013" w:type="dxa"/>
                  <w:tcBorders>
                    <w:top w:val="nil"/>
                    <w:bottom w:val="nil"/>
                  </w:tcBorders>
                  <w:vAlign w:val="center"/>
                </w:tcPr>
                <w:p>
                  <w:pPr>
                    <w:pStyle w:val="Compact"/>
                    <w:spacing w:before="36" w:after="36"/>
                    <w:jc w:val="center"/>
                    <w:rPr/>
                  </w:pPr>
                  <w:r>
                    <w:rPr/>
                    <w:t>Myopic</w:t>
                  </w:r>
                </w:p>
              </w:tc>
              <w:tc>
                <w:tcPr>
                  <w:tcW w:w="1016" w:type="dxa"/>
                  <w:tcBorders>
                    <w:top w:val="nil"/>
                    <w:bottom w:val="nil"/>
                  </w:tcBorders>
                  <w:vAlign w:val="center"/>
                </w:tcPr>
                <w:p>
                  <w:pPr>
                    <w:pStyle w:val="Compact"/>
                    <w:spacing w:before="36" w:after="36"/>
                    <w:jc w:val="center"/>
                    <w:rPr/>
                  </w:pPr>
                  <w:r>
                    <w:rPr/>
                    <w:t>$0.10</w:t>
                  </w:r>
                </w:p>
              </w:tc>
              <w:tc>
                <w:tcPr>
                  <w:tcW w:w="1015"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0.0</w:t>
                  </w:r>
                </w:p>
              </w:tc>
              <w:tc>
                <w:tcPr>
                  <w:tcW w:w="1020"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4.0</w:t>
                  </w:r>
                </w:p>
              </w:tc>
              <w:tc>
                <w:tcPr>
                  <w:tcW w:w="1016" w:type="dxa"/>
                  <w:tcBorders>
                    <w:top w:val="nil"/>
                    <w:bottom w:val="nil"/>
                  </w:tcBorders>
                  <w:vAlign w:val="center"/>
                </w:tcPr>
                <w:p>
                  <w:pPr>
                    <w:pStyle w:val="Compact"/>
                    <w:spacing w:before="36" w:after="36"/>
                    <w:jc w:val="center"/>
                    <w:rPr/>
                  </w:pPr>
                  <w:r>
                    <w:rPr/>
                    <w:t>0.0</w:t>
                  </w:r>
                </w:p>
              </w:tc>
              <w:tc>
                <w:tcPr>
                  <w:tcW w:w="1016" w:type="dxa"/>
                  <w:tcBorders>
                    <w:top w:val="nil"/>
                    <w:bottom w:val="nil"/>
                  </w:tcBorders>
                  <w:vAlign w:val="center"/>
                </w:tcPr>
                <w:p>
                  <w:pPr>
                    <w:pStyle w:val="Compact"/>
                    <w:spacing w:before="36" w:after="36"/>
                    <w:jc w:val="center"/>
                    <w:rPr/>
                  </w:pPr>
                  <w:r>
                    <w:rPr/>
                    <w:t>4.0</w:t>
                  </w:r>
                </w:p>
              </w:tc>
              <w:tc>
                <w:tcPr>
                  <w:tcW w:w="1016" w:type="dxa"/>
                  <w:tcBorders>
                    <w:top w:val="nil"/>
                    <w:bottom w:val="nil"/>
                  </w:tcBorders>
                  <w:vAlign w:val="center"/>
                </w:tcPr>
                <w:p>
                  <w:pPr>
                    <w:pStyle w:val="Compact"/>
                    <w:spacing w:before="36" w:after="36"/>
                    <w:jc w:val="center"/>
                    <w:rPr/>
                  </w:pPr>
                  <w:r>
                    <w:rPr/>
                    <w:t>0.00</w:t>
                  </w:r>
                </w:p>
              </w:tc>
            </w:tr>
            <w:tr>
              <w:trPr/>
              <w:tc>
                <w:tcPr>
                  <w:tcW w:w="1013" w:type="dxa"/>
                  <w:tcBorders>
                    <w:top w:val="nil"/>
                    <w:bottom w:val="nil"/>
                  </w:tcBorders>
                  <w:vAlign w:val="center"/>
                </w:tcPr>
                <w:p>
                  <w:pPr>
                    <w:pStyle w:val="Compact"/>
                    <w:spacing w:before="36" w:after="36"/>
                    <w:jc w:val="center"/>
                    <w:rPr/>
                  </w:pPr>
                  <w:r>
                    <w:rPr/>
                    <w:t>Myopic</w:t>
                  </w:r>
                </w:p>
              </w:tc>
              <w:tc>
                <w:tcPr>
                  <w:tcW w:w="1016" w:type="dxa"/>
                  <w:tcBorders>
                    <w:top w:val="nil"/>
                    <w:bottom w:val="nil"/>
                  </w:tcBorders>
                  <w:vAlign w:val="center"/>
                </w:tcPr>
                <w:p>
                  <w:pPr>
                    <w:pStyle w:val="Compact"/>
                    <w:spacing w:before="36" w:after="36"/>
                    <w:jc w:val="center"/>
                    <w:rPr/>
                  </w:pPr>
                  <w:r>
                    <w:rPr/>
                    <w:t>$1.00</w:t>
                  </w:r>
                </w:p>
              </w:tc>
              <w:tc>
                <w:tcPr>
                  <w:tcW w:w="1015"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0.0</w:t>
                  </w:r>
                </w:p>
              </w:tc>
              <w:tc>
                <w:tcPr>
                  <w:tcW w:w="1020"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4.0</w:t>
                  </w:r>
                </w:p>
              </w:tc>
              <w:tc>
                <w:tcPr>
                  <w:tcW w:w="1016" w:type="dxa"/>
                  <w:tcBorders>
                    <w:top w:val="nil"/>
                    <w:bottom w:val="nil"/>
                  </w:tcBorders>
                  <w:vAlign w:val="center"/>
                </w:tcPr>
                <w:p>
                  <w:pPr>
                    <w:pStyle w:val="Compact"/>
                    <w:spacing w:before="36" w:after="36"/>
                    <w:jc w:val="center"/>
                    <w:rPr/>
                  </w:pPr>
                  <w:r>
                    <w:rPr/>
                    <w:t>0.0</w:t>
                  </w:r>
                </w:p>
              </w:tc>
              <w:tc>
                <w:tcPr>
                  <w:tcW w:w="1016" w:type="dxa"/>
                  <w:tcBorders>
                    <w:top w:val="nil"/>
                    <w:bottom w:val="nil"/>
                  </w:tcBorders>
                  <w:vAlign w:val="center"/>
                </w:tcPr>
                <w:p>
                  <w:pPr>
                    <w:pStyle w:val="Compact"/>
                    <w:spacing w:before="36" w:after="36"/>
                    <w:jc w:val="center"/>
                    <w:rPr/>
                  </w:pPr>
                  <w:r>
                    <w:rPr/>
                    <w:t>4.0</w:t>
                  </w:r>
                </w:p>
              </w:tc>
              <w:tc>
                <w:tcPr>
                  <w:tcW w:w="1016" w:type="dxa"/>
                  <w:tcBorders>
                    <w:top w:val="nil"/>
                    <w:bottom w:val="nil"/>
                  </w:tcBorders>
                  <w:vAlign w:val="center"/>
                </w:tcPr>
                <w:p>
                  <w:pPr>
                    <w:pStyle w:val="Compact"/>
                    <w:spacing w:before="36" w:after="36"/>
                    <w:jc w:val="center"/>
                    <w:rPr/>
                  </w:pPr>
                  <w:r>
                    <w:rPr/>
                    <w:t>0.00</w:t>
                  </w:r>
                </w:p>
              </w:tc>
            </w:tr>
            <w:tr>
              <w:trPr/>
              <w:tc>
                <w:tcPr>
                  <w:tcW w:w="1013" w:type="dxa"/>
                  <w:tcBorders>
                    <w:top w:val="nil"/>
                    <w:bottom w:val="nil"/>
                  </w:tcBorders>
                  <w:vAlign w:val="center"/>
                </w:tcPr>
                <w:p>
                  <w:pPr>
                    <w:pStyle w:val="Compact"/>
                    <w:spacing w:before="36" w:after="36"/>
                    <w:jc w:val="center"/>
                    <w:rPr/>
                  </w:pPr>
                  <w:r>
                    <w:rPr/>
                    <w:t>Myopic</w:t>
                  </w:r>
                </w:p>
              </w:tc>
              <w:tc>
                <w:tcPr>
                  <w:tcW w:w="1016" w:type="dxa"/>
                  <w:tcBorders>
                    <w:top w:val="nil"/>
                    <w:bottom w:val="nil"/>
                  </w:tcBorders>
                  <w:vAlign w:val="center"/>
                </w:tcPr>
                <w:p>
                  <w:pPr>
                    <w:pStyle w:val="Compact"/>
                    <w:spacing w:before="36" w:after="36"/>
                    <w:jc w:val="center"/>
                    <w:rPr/>
                  </w:pPr>
                  <w:r>
                    <w:rPr/>
                    <w:t>$10.00</w:t>
                  </w:r>
                </w:p>
              </w:tc>
              <w:tc>
                <w:tcPr>
                  <w:tcW w:w="1015" w:type="dxa"/>
                  <w:tcBorders>
                    <w:top w:val="nil"/>
                    <w:bottom w:val="nil"/>
                  </w:tcBorders>
                  <w:vAlign w:val="center"/>
                </w:tcPr>
                <w:p>
                  <w:pPr>
                    <w:pStyle w:val="Compact"/>
                    <w:spacing w:before="36" w:after="36"/>
                    <w:jc w:val="center"/>
                    <w:rPr/>
                  </w:pPr>
                  <w:r>
                    <w:rPr/>
                    <w:t>1.0</w:t>
                  </w:r>
                </w:p>
              </w:tc>
              <w:tc>
                <w:tcPr>
                  <w:tcW w:w="1016" w:type="dxa"/>
                  <w:tcBorders>
                    <w:top w:val="nil"/>
                    <w:bottom w:val="nil"/>
                  </w:tcBorders>
                  <w:vAlign w:val="center"/>
                </w:tcPr>
                <w:p>
                  <w:pPr>
                    <w:pStyle w:val="Compact"/>
                    <w:spacing w:before="36" w:after="36"/>
                    <w:jc w:val="center"/>
                    <w:rPr/>
                  </w:pPr>
                  <w:r>
                    <w:rPr/>
                    <w:t>0.0</w:t>
                  </w:r>
                </w:p>
              </w:tc>
              <w:tc>
                <w:tcPr>
                  <w:tcW w:w="1020"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0.0</w:t>
                  </w:r>
                </w:p>
              </w:tc>
              <w:tc>
                <w:tcPr>
                  <w:tcW w:w="1016"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0.00</w:t>
                  </w:r>
                </w:p>
              </w:tc>
            </w:tr>
            <w:tr>
              <w:trPr/>
              <w:tc>
                <w:tcPr>
                  <w:tcW w:w="1013" w:type="dxa"/>
                  <w:tcBorders>
                    <w:top w:val="nil"/>
                    <w:bottom w:val="nil"/>
                  </w:tcBorders>
                  <w:vAlign w:val="center"/>
                </w:tcPr>
                <w:p>
                  <w:pPr>
                    <w:pStyle w:val="Compact"/>
                    <w:spacing w:before="36" w:after="36"/>
                    <w:jc w:val="center"/>
                    <w:rPr/>
                  </w:pPr>
                  <w:r>
                    <w:rPr/>
                    <w:t>2-step Lookahead</w:t>
                  </w:r>
                </w:p>
              </w:tc>
              <w:tc>
                <w:tcPr>
                  <w:tcW w:w="1016" w:type="dxa"/>
                  <w:tcBorders>
                    <w:top w:val="nil"/>
                    <w:bottom w:val="nil"/>
                  </w:tcBorders>
                  <w:vAlign w:val="center"/>
                </w:tcPr>
                <w:p>
                  <w:pPr>
                    <w:pStyle w:val="Compact"/>
                    <w:spacing w:before="36" w:after="36"/>
                    <w:jc w:val="center"/>
                    <w:rPr/>
                  </w:pPr>
                  <w:r>
                    <w:rPr/>
                    <w:t>$0.00</w:t>
                  </w:r>
                </w:p>
              </w:tc>
              <w:tc>
                <w:tcPr>
                  <w:tcW w:w="1015"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2.0</w:t>
                  </w:r>
                </w:p>
              </w:tc>
              <w:tc>
                <w:tcPr>
                  <w:tcW w:w="1020"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6.0</w:t>
                  </w:r>
                </w:p>
              </w:tc>
              <w:tc>
                <w:tcPr>
                  <w:tcW w:w="1016" w:type="dxa"/>
                  <w:tcBorders>
                    <w:top w:val="nil"/>
                    <w:bottom w:val="nil"/>
                  </w:tcBorders>
                  <w:vAlign w:val="center"/>
                </w:tcPr>
                <w:p>
                  <w:pPr>
                    <w:pStyle w:val="Compact"/>
                    <w:spacing w:before="36" w:after="36"/>
                    <w:jc w:val="center"/>
                    <w:rPr/>
                  </w:pPr>
                  <w:r>
                    <w:rPr/>
                    <w:t>6.6</w:t>
                  </w:r>
                </w:p>
              </w:tc>
              <w:tc>
                <w:tcPr>
                  <w:tcW w:w="1016" w:type="dxa"/>
                  <w:tcBorders>
                    <w:top w:val="nil"/>
                    <w:bottom w:val="nil"/>
                  </w:tcBorders>
                  <w:vAlign w:val="center"/>
                </w:tcPr>
                <w:p>
                  <w:pPr>
                    <w:pStyle w:val="Compact"/>
                    <w:spacing w:before="36" w:after="36"/>
                    <w:jc w:val="center"/>
                    <w:rPr/>
                  </w:pPr>
                  <w:r>
                    <w:rPr/>
                    <w:t>12.6</w:t>
                  </w:r>
                </w:p>
              </w:tc>
              <w:tc>
                <w:tcPr>
                  <w:tcW w:w="1016" w:type="dxa"/>
                  <w:tcBorders>
                    <w:top w:val="nil"/>
                    <w:bottom w:val="nil"/>
                  </w:tcBorders>
                  <w:vAlign w:val="center"/>
                </w:tcPr>
                <w:p>
                  <w:pPr>
                    <w:pStyle w:val="Compact"/>
                    <w:spacing w:before="36" w:after="36"/>
                    <w:jc w:val="center"/>
                    <w:rPr/>
                  </w:pPr>
                  <w:r>
                    <w:rPr/>
                    <w:t>1.00</w:t>
                  </w:r>
                </w:p>
              </w:tc>
            </w:tr>
            <w:tr>
              <w:trPr/>
              <w:tc>
                <w:tcPr>
                  <w:tcW w:w="1013" w:type="dxa"/>
                  <w:tcBorders>
                    <w:top w:val="nil"/>
                    <w:bottom w:val="nil"/>
                  </w:tcBorders>
                  <w:vAlign w:val="center"/>
                </w:tcPr>
                <w:p>
                  <w:pPr>
                    <w:pStyle w:val="Compact"/>
                    <w:spacing w:before="36" w:after="36"/>
                    <w:jc w:val="center"/>
                    <w:rPr/>
                  </w:pPr>
                  <w:r>
                    <w:rPr/>
                    <w:t>2-step Lookahead</w:t>
                  </w:r>
                </w:p>
              </w:tc>
              <w:tc>
                <w:tcPr>
                  <w:tcW w:w="1016" w:type="dxa"/>
                  <w:tcBorders>
                    <w:top w:val="nil"/>
                    <w:bottom w:val="nil"/>
                  </w:tcBorders>
                  <w:vAlign w:val="center"/>
                </w:tcPr>
                <w:p>
                  <w:pPr>
                    <w:pStyle w:val="Compact"/>
                    <w:spacing w:before="36" w:after="36"/>
                    <w:jc w:val="center"/>
                    <w:rPr/>
                  </w:pPr>
                  <w:r>
                    <w:rPr/>
                    <w:t>$0.01</w:t>
                  </w:r>
                </w:p>
              </w:tc>
              <w:tc>
                <w:tcPr>
                  <w:tcW w:w="1015"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2.0</w:t>
                  </w:r>
                </w:p>
              </w:tc>
              <w:tc>
                <w:tcPr>
                  <w:tcW w:w="1020"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6.0</w:t>
                  </w:r>
                </w:p>
              </w:tc>
              <w:tc>
                <w:tcPr>
                  <w:tcW w:w="1016" w:type="dxa"/>
                  <w:tcBorders>
                    <w:top w:val="nil"/>
                    <w:bottom w:val="nil"/>
                  </w:tcBorders>
                  <w:vAlign w:val="center"/>
                </w:tcPr>
                <w:p>
                  <w:pPr>
                    <w:pStyle w:val="Compact"/>
                    <w:spacing w:before="36" w:after="36"/>
                    <w:jc w:val="center"/>
                    <w:rPr/>
                  </w:pPr>
                  <w:r>
                    <w:rPr/>
                    <w:t>0.0</w:t>
                  </w:r>
                </w:p>
              </w:tc>
              <w:tc>
                <w:tcPr>
                  <w:tcW w:w="1016" w:type="dxa"/>
                  <w:tcBorders>
                    <w:top w:val="nil"/>
                    <w:bottom w:val="nil"/>
                  </w:tcBorders>
                  <w:vAlign w:val="center"/>
                </w:tcPr>
                <w:p>
                  <w:pPr>
                    <w:pStyle w:val="Compact"/>
                    <w:spacing w:before="36" w:after="36"/>
                    <w:jc w:val="center"/>
                    <w:rPr/>
                  </w:pPr>
                  <w:r>
                    <w:rPr/>
                    <w:t>6.0</w:t>
                  </w:r>
                </w:p>
              </w:tc>
              <w:tc>
                <w:tcPr>
                  <w:tcW w:w="1016" w:type="dxa"/>
                  <w:tcBorders>
                    <w:top w:val="nil"/>
                    <w:bottom w:val="nil"/>
                  </w:tcBorders>
                  <w:vAlign w:val="center"/>
                </w:tcPr>
                <w:p>
                  <w:pPr>
                    <w:pStyle w:val="Compact"/>
                    <w:spacing w:before="36" w:after="36"/>
                    <w:jc w:val="center"/>
                    <w:rPr/>
                  </w:pPr>
                  <w:r>
                    <w:rPr/>
                    <w:t>1.00</w:t>
                  </w:r>
                </w:p>
              </w:tc>
            </w:tr>
            <w:tr>
              <w:trPr/>
              <w:tc>
                <w:tcPr>
                  <w:tcW w:w="1013" w:type="dxa"/>
                  <w:tcBorders>
                    <w:top w:val="nil"/>
                    <w:bottom w:val="nil"/>
                  </w:tcBorders>
                  <w:vAlign w:val="center"/>
                </w:tcPr>
                <w:p>
                  <w:pPr>
                    <w:pStyle w:val="Compact"/>
                    <w:spacing w:before="36" w:after="36"/>
                    <w:jc w:val="center"/>
                    <w:rPr/>
                  </w:pPr>
                  <w:r>
                    <w:rPr/>
                    <w:t>2-step Lookahead</w:t>
                  </w:r>
                </w:p>
              </w:tc>
              <w:tc>
                <w:tcPr>
                  <w:tcW w:w="1016" w:type="dxa"/>
                  <w:tcBorders>
                    <w:top w:val="nil"/>
                    <w:bottom w:val="nil"/>
                  </w:tcBorders>
                  <w:vAlign w:val="center"/>
                </w:tcPr>
                <w:p>
                  <w:pPr>
                    <w:pStyle w:val="Compact"/>
                    <w:spacing w:before="36" w:after="36"/>
                    <w:jc w:val="center"/>
                    <w:rPr/>
                  </w:pPr>
                  <w:r>
                    <w:rPr/>
                    <w:t>$0.10</w:t>
                  </w:r>
                </w:p>
              </w:tc>
              <w:tc>
                <w:tcPr>
                  <w:tcW w:w="1015"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2.0</w:t>
                  </w:r>
                </w:p>
              </w:tc>
              <w:tc>
                <w:tcPr>
                  <w:tcW w:w="1020"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6.0</w:t>
                  </w:r>
                </w:p>
              </w:tc>
              <w:tc>
                <w:tcPr>
                  <w:tcW w:w="1016" w:type="dxa"/>
                  <w:tcBorders>
                    <w:top w:val="nil"/>
                    <w:bottom w:val="nil"/>
                  </w:tcBorders>
                  <w:vAlign w:val="center"/>
                </w:tcPr>
                <w:p>
                  <w:pPr>
                    <w:pStyle w:val="Compact"/>
                    <w:spacing w:before="36" w:after="36"/>
                    <w:jc w:val="center"/>
                    <w:rPr/>
                  </w:pPr>
                  <w:r>
                    <w:rPr/>
                    <w:t>0.0</w:t>
                  </w:r>
                </w:p>
              </w:tc>
              <w:tc>
                <w:tcPr>
                  <w:tcW w:w="1016" w:type="dxa"/>
                  <w:tcBorders>
                    <w:top w:val="nil"/>
                    <w:bottom w:val="nil"/>
                  </w:tcBorders>
                  <w:vAlign w:val="center"/>
                </w:tcPr>
                <w:p>
                  <w:pPr>
                    <w:pStyle w:val="Compact"/>
                    <w:spacing w:before="36" w:after="36"/>
                    <w:jc w:val="center"/>
                    <w:rPr/>
                  </w:pPr>
                  <w:r>
                    <w:rPr/>
                    <w:t>6.0</w:t>
                  </w:r>
                </w:p>
              </w:tc>
              <w:tc>
                <w:tcPr>
                  <w:tcW w:w="1016" w:type="dxa"/>
                  <w:tcBorders>
                    <w:top w:val="nil"/>
                    <w:bottom w:val="nil"/>
                  </w:tcBorders>
                  <w:vAlign w:val="center"/>
                </w:tcPr>
                <w:p>
                  <w:pPr>
                    <w:pStyle w:val="Compact"/>
                    <w:spacing w:before="36" w:after="36"/>
                    <w:jc w:val="center"/>
                    <w:rPr/>
                  </w:pPr>
                  <w:r>
                    <w:rPr/>
                    <w:t>1.00</w:t>
                  </w:r>
                </w:p>
              </w:tc>
            </w:tr>
            <w:tr>
              <w:trPr/>
              <w:tc>
                <w:tcPr>
                  <w:tcW w:w="1013" w:type="dxa"/>
                  <w:tcBorders>
                    <w:top w:val="nil"/>
                    <w:bottom w:val="nil"/>
                  </w:tcBorders>
                  <w:vAlign w:val="center"/>
                </w:tcPr>
                <w:p>
                  <w:pPr>
                    <w:pStyle w:val="Compact"/>
                    <w:spacing w:before="36" w:after="36"/>
                    <w:jc w:val="center"/>
                    <w:rPr/>
                  </w:pPr>
                  <w:r>
                    <w:rPr/>
                    <w:t>2-step Lookahead</w:t>
                  </w:r>
                </w:p>
              </w:tc>
              <w:tc>
                <w:tcPr>
                  <w:tcW w:w="1016" w:type="dxa"/>
                  <w:tcBorders>
                    <w:top w:val="nil"/>
                    <w:bottom w:val="nil"/>
                  </w:tcBorders>
                  <w:vAlign w:val="center"/>
                </w:tcPr>
                <w:p>
                  <w:pPr>
                    <w:pStyle w:val="Compact"/>
                    <w:spacing w:before="36" w:after="36"/>
                    <w:jc w:val="center"/>
                    <w:rPr/>
                  </w:pPr>
                  <w:r>
                    <w:rPr/>
                    <w:t>$1.00</w:t>
                  </w:r>
                </w:p>
              </w:tc>
              <w:tc>
                <w:tcPr>
                  <w:tcW w:w="1015"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0.0</w:t>
                  </w:r>
                </w:p>
              </w:tc>
              <w:tc>
                <w:tcPr>
                  <w:tcW w:w="1020" w:type="dxa"/>
                  <w:tcBorders>
                    <w:top w:val="nil"/>
                    <w:bottom w:val="nil"/>
                  </w:tcBorders>
                  <w:vAlign w:val="center"/>
                </w:tcPr>
                <w:p>
                  <w:pPr>
                    <w:pStyle w:val="Compact"/>
                    <w:spacing w:before="36" w:after="36"/>
                    <w:jc w:val="center"/>
                    <w:rPr/>
                  </w:pPr>
                  <w:r>
                    <w:rPr/>
                    <w:t>2.0</w:t>
                  </w:r>
                </w:p>
              </w:tc>
              <w:tc>
                <w:tcPr>
                  <w:tcW w:w="1016" w:type="dxa"/>
                  <w:tcBorders>
                    <w:top w:val="nil"/>
                    <w:bottom w:val="nil"/>
                  </w:tcBorders>
                  <w:vAlign w:val="center"/>
                </w:tcPr>
                <w:p>
                  <w:pPr>
                    <w:pStyle w:val="Compact"/>
                    <w:spacing w:before="36" w:after="36"/>
                    <w:jc w:val="center"/>
                    <w:rPr/>
                  </w:pPr>
                  <w:r>
                    <w:rPr/>
                    <w:t>4.0</w:t>
                  </w:r>
                </w:p>
              </w:tc>
              <w:tc>
                <w:tcPr>
                  <w:tcW w:w="1016" w:type="dxa"/>
                  <w:tcBorders>
                    <w:top w:val="nil"/>
                    <w:bottom w:val="nil"/>
                  </w:tcBorders>
                  <w:vAlign w:val="center"/>
                </w:tcPr>
                <w:p>
                  <w:pPr>
                    <w:pStyle w:val="Compact"/>
                    <w:spacing w:before="36" w:after="36"/>
                    <w:jc w:val="center"/>
                    <w:rPr/>
                  </w:pPr>
                  <w:r>
                    <w:rPr/>
                    <w:t>0.0</w:t>
                  </w:r>
                </w:p>
              </w:tc>
              <w:tc>
                <w:tcPr>
                  <w:tcW w:w="1016" w:type="dxa"/>
                  <w:tcBorders>
                    <w:top w:val="nil"/>
                    <w:bottom w:val="nil"/>
                  </w:tcBorders>
                  <w:vAlign w:val="center"/>
                </w:tcPr>
                <w:p>
                  <w:pPr>
                    <w:pStyle w:val="Compact"/>
                    <w:spacing w:before="36" w:after="36"/>
                    <w:jc w:val="center"/>
                    <w:rPr/>
                  </w:pPr>
                  <w:r>
                    <w:rPr/>
                    <w:t>4.0</w:t>
                  </w:r>
                </w:p>
              </w:tc>
              <w:tc>
                <w:tcPr>
                  <w:tcW w:w="1016" w:type="dxa"/>
                  <w:tcBorders>
                    <w:top w:val="nil"/>
                    <w:bottom w:val="nil"/>
                  </w:tcBorders>
                  <w:vAlign w:val="center"/>
                </w:tcPr>
                <w:p>
                  <w:pPr>
                    <w:pStyle w:val="Compact"/>
                    <w:spacing w:before="36" w:after="36"/>
                    <w:jc w:val="center"/>
                    <w:rPr/>
                  </w:pPr>
                  <w:r>
                    <w:rPr/>
                    <w:t>0.00</w:t>
                  </w:r>
                </w:p>
              </w:tc>
            </w:tr>
            <w:tr>
              <w:trPr/>
              <w:tc>
                <w:tcPr>
                  <w:tcW w:w="1013" w:type="dxa"/>
                  <w:tcBorders>
                    <w:top w:val="nil"/>
                  </w:tcBorders>
                  <w:vAlign w:val="center"/>
                </w:tcPr>
                <w:p>
                  <w:pPr>
                    <w:pStyle w:val="Compact"/>
                    <w:spacing w:before="36" w:after="36"/>
                    <w:jc w:val="center"/>
                    <w:rPr/>
                  </w:pPr>
                  <w:r>
                    <w:rPr/>
                    <w:t>2-step Lookahead</w:t>
                  </w:r>
                </w:p>
              </w:tc>
              <w:tc>
                <w:tcPr>
                  <w:tcW w:w="1016" w:type="dxa"/>
                  <w:tcBorders>
                    <w:top w:val="nil"/>
                  </w:tcBorders>
                  <w:vAlign w:val="center"/>
                </w:tcPr>
                <w:p>
                  <w:pPr>
                    <w:pStyle w:val="Compact"/>
                    <w:spacing w:before="36" w:after="36"/>
                    <w:jc w:val="center"/>
                    <w:rPr/>
                  </w:pPr>
                  <w:r>
                    <w:rPr/>
                    <w:t>$10.00</w:t>
                  </w:r>
                </w:p>
              </w:tc>
              <w:tc>
                <w:tcPr>
                  <w:tcW w:w="1015" w:type="dxa"/>
                  <w:tcBorders>
                    <w:top w:val="nil"/>
                  </w:tcBorders>
                  <w:vAlign w:val="center"/>
                </w:tcPr>
                <w:p>
                  <w:pPr>
                    <w:pStyle w:val="Compact"/>
                    <w:spacing w:before="36" w:after="36"/>
                    <w:jc w:val="center"/>
                    <w:rPr/>
                  </w:pPr>
                  <w:r>
                    <w:rPr/>
                    <w:t>1.0</w:t>
                  </w:r>
                </w:p>
              </w:tc>
              <w:tc>
                <w:tcPr>
                  <w:tcW w:w="1016" w:type="dxa"/>
                  <w:tcBorders>
                    <w:top w:val="nil"/>
                  </w:tcBorders>
                  <w:vAlign w:val="center"/>
                </w:tcPr>
                <w:p>
                  <w:pPr>
                    <w:pStyle w:val="Compact"/>
                    <w:spacing w:before="36" w:after="36"/>
                    <w:jc w:val="center"/>
                    <w:rPr/>
                  </w:pPr>
                  <w:r>
                    <w:rPr/>
                    <w:t>0.0</w:t>
                  </w:r>
                </w:p>
              </w:tc>
              <w:tc>
                <w:tcPr>
                  <w:tcW w:w="1020" w:type="dxa"/>
                  <w:tcBorders>
                    <w:top w:val="nil"/>
                  </w:tcBorders>
                  <w:vAlign w:val="center"/>
                </w:tcPr>
                <w:p>
                  <w:pPr>
                    <w:pStyle w:val="Compact"/>
                    <w:spacing w:before="36" w:after="36"/>
                    <w:jc w:val="center"/>
                    <w:rPr/>
                  </w:pPr>
                  <w:r>
                    <w:rPr/>
                    <w:t>2.0</w:t>
                  </w:r>
                </w:p>
              </w:tc>
              <w:tc>
                <w:tcPr>
                  <w:tcW w:w="1016" w:type="dxa"/>
                  <w:tcBorders>
                    <w:top w:val="nil"/>
                  </w:tcBorders>
                  <w:vAlign w:val="center"/>
                </w:tcPr>
                <w:p>
                  <w:pPr>
                    <w:pStyle w:val="Compact"/>
                    <w:spacing w:before="36" w:after="36"/>
                    <w:jc w:val="center"/>
                    <w:rPr/>
                  </w:pPr>
                  <w:r>
                    <w:rPr/>
                    <w:t>3.0</w:t>
                  </w:r>
                </w:p>
              </w:tc>
              <w:tc>
                <w:tcPr>
                  <w:tcW w:w="1016" w:type="dxa"/>
                  <w:tcBorders>
                    <w:top w:val="nil"/>
                  </w:tcBorders>
                  <w:vAlign w:val="center"/>
                </w:tcPr>
                <w:p>
                  <w:pPr>
                    <w:pStyle w:val="Compact"/>
                    <w:spacing w:before="36" w:after="36"/>
                    <w:jc w:val="center"/>
                    <w:rPr/>
                  </w:pPr>
                  <w:r>
                    <w:rPr/>
                    <w:t>0.0</w:t>
                  </w:r>
                </w:p>
              </w:tc>
              <w:tc>
                <w:tcPr>
                  <w:tcW w:w="1016" w:type="dxa"/>
                  <w:tcBorders>
                    <w:top w:val="nil"/>
                  </w:tcBorders>
                  <w:vAlign w:val="center"/>
                </w:tcPr>
                <w:p>
                  <w:pPr>
                    <w:pStyle w:val="Compact"/>
                    <w:spacing w:before="36" w:after="36"/>
                    <w:jc w:val="center"/>
                    <w:rPr/>
                  </w:pPr>
                  <w:r>
                    <w:rPr/>
                    <w:t>3.0</w:t>
                  </w:r>
                </w:p>
              </w:tc>
              <w:tc>
                <w:tcPr>
                  <w:tcW w:w="1016" w:type="dxa"/>
                  <w:tcBorders>
                    <w:top w:val="nil"/>
                  </w:tcBorders>
                  <w:vAlign w:val="center"/>
                </w:tcPr>
                <w:p>
                  <w:pPr>
                    <w:pStyle w:val="Compact"/>
                    <w:spacing w:before="36" w:after="36"/>
                    <w:jc w:val="center"/>
                    <w:rPr/>
                  </w:pPr>
                  <w:r>
                    <w:rPr/>
                    <w:t>1.00</w:t>
                  </w:r>
                  <w:bookmarkStart w:id="130" w:name="apptbl-expectimax-study1"/>
                  <w:bookmarkEnd w:id="130"/>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100</m:t>
        </m:r>
      </m:oMath>
      <w:r>
        <w:rPr/>
        <w:t xml:space="preserve"> independent simulations per cell. Ground truth realization: Coffee A ($4.99, 10 oz) vs. Coffee B ($5.00, 11 oz). Choice optimality is coded 1 if Coffee B is selected. At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0.00</m:t>
        </m:r>
      </m:oMath>
      <w:r>
        <w:rPr/>
        <w:t xml:space="preserve">, non-diagnostic calls occur due to tie-breaking among zero-cost cells. For all </w:t>
      </w:r>
      <w:r>
        <w:rPr/>
      </w:r>
      <m:oMath xmlns:m="http://schemas.openxmlformats.org/officeDocument/2006/math">
        <m:r>
          <w:rPr>
            <w:rFonts w:ascii="Cambria Math" w:hAnsi="Cambria Math"/>
          </w:rPr>
          <m:t xml:space="preserve">c</m:t>
        </m:r>
        <m:r>
          <w:rPr>
            <w:rFonts w:ascii="Cambria Math" w:hAnsi="Cambria Math"/>
          </w:rPr>
          <m:t xml:space="preserve">&gt;</m:t>
        </m:r>
        <m:r>
          <w:rPr>
            <w:rFonts w:ascii="Cambria Math" w:hAnsi="Cambria Math"/>
          </w:rPr>
          <m:t xml:space="preserve">0</m:t>
        </m:r>
      </m:oMath>
      <w:r>
        <w:rPr/>
        <w:t>, non-diagnostic calls are strictly zero.</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131" w:name="appfig-expectimax-study1"/>
            <w:r>
              <w:rPr/>
              <w:drawing>
                <wp:inline distT="0" distB="0" distL="0" distR="0">
                  <wp:extent cx="5943600" cy="177927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2"/>
                          <a:stretch>
                            <a:fillRect/>
                          </a:stretch>
                        </pic:blipFill>
                        <pic:spPr bwMode="auto">
                          <a:xfrm>
                            <a:off x="0" y="0"/>
                            <a:ext cx="5943600" cy="1779270"/>
                          </a:xfrm>
                          <a:prstGeom prst="rect">
                            <a:avLst/>
                          </a:prstGeom>
                          <a:noFill/>
                        </pic:spPr>
                      </pic:pic>
                    </a:graphicData>
                  </a:graphic>
                </wp:inline>
              </w:drawing>
            </w:r>
          </w:p>
          <w:p>
            <w:pPr>
              <w:pStyle w:val="ImageCaption"/>
              <w:spacing w:before="200" w:after="120"/>
              <w:jc w:val="left"/>
              <w:rPr/>
            </w:pPr>
            <w:r>
              <w:rPr/>
              <w:t>Figure W1: Information acquisition and choice optimality across acquisition costs compared against normative Expectimax benchmarks (Study 1 Tool-Lab).</w:t>
            </w:r>
            <w:bookmarkEnd w:id="131"/>
          </w:p>
        </w:tc>
      </w:tr>
    </w:tbl>
    <w:p>
      <w:pPr>
        <w:pStyle w:val="BodyText"/>
        <w:rPr/>
      </w:pPr>
      <w:r>
        <w:rPr>
          <w:i/>
          <w:iCs/>
        </w:rPr>
        <w:t>Note.</w:t>
      </w:r>
      <w:r>
        <w:rPr/>
        <w:t xml:space="preserve"> Left panel: Mean total information acquisitions. Middle panel: Mean diagnostic acquisitions (dollars, cents, weight; maximum 6). Right panel: Probability of selecting the optimal alternative (</w:t>
      </w:r>
      <w:r>
        <w:rPr>
          <w:i/>
          <w:iCs/>
        </w:rPr>
        <w:t>Coffee B</w:t>
      </w:r>
      <w:r>
        <w:rPr/>
        <w:t xml:space="preserve">: </w:t>
      </w:r>
      <w:r>
        <w:rPr/>
      </w:r>
      <m:oMath xmlns:m="http://schemas.openxmlformats.org/officeDocument/2006/math">
        <m:r>
          <w:rPr>
            <w:rFonts w:ascii="Cambria Math" w:hAnsi="Cambria Math"/>
          </w:rPr>
          <m:t xml:space="preserve">5.00</m:t>
        </m:r>
        <m:r>
          <w:rPr>
            <w:rFonts w:ascii="Cambria Math" w:hAnsi="Cambria Math"/>
          </w:rPr>
          <m:t xml:space="preserve">,</m:t>
        </m:r>
        <m:r>
          <w:rPr>
            <w:rFonts w:ascii="Cambria Math" w:hAnsi="Cambria Math"/>
          </w:rPr>
          <m:t xml:space="preserve">11</m:t>
        </m:r>
        <m:r>
          <w:rPr>
            <w:rFonts w:ascii="Cambria Math" w:hAnsi="Cambria Math"/>
          </w:rPr>
          <m:t xml:space="preserve">o</m:t>
        </m:r>
        <m:r>
          <w:rPr>
            <w:rFonts w:ascii="Cambria Math" w:hAnsi="Cambria Math"/>
          </w:rPr>
          <m:t xml:space="preserve">z</m:t>
        </m:r>
        <m:r>
          <w:rPr>
            <w:rFonts w:ascii="Cambria Math" w:hAnsi="Cambria Math"/>
          </w:rPr>
          <m:t xml:space="preserve">,</m:t>
        </m:r>
        <m:r>
          <w:rPr>
            <w:rFonts w:ascii="Cambria Math" w:hAnsi="Cambria Math"/>
          </w:rPr>
          <m:t xml:space="preserve">2.20</m:t>
        </m:r>
        <m:r>
          <w:rPr>
            <w:rFonts w:ascii="Cambria Math" w:hAnsi="Cambria Math"/>
          </w:rPr>
          <m:t xml:space="preserve">o</m:t>
        </m:r>
        <m:f>
          <m:fPr>
            <m:type m:val="lin"/>
          </m:fPr>
          <m:num>
            <m:r>
              <w:rPr>
                <w:rFonts w:ascii="Cambria Math" w:hAnsi="Cambria Math"/>
              </w:rPr>
              <m:t xml:space="preserve">z</m:t>
            </m:r>
          </m:num>
          <m:den/>
        </m:f>
      </m:oMath>
      <w:r>
        <w:rPr/>
        <w:t>). Across all panels, acquisition tool cost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0.00</m:t>
        </m:r>
        <m:r>
          <w:rPr>
            <w:rFonts w:ascii="Cambria Math" w:hAnsi="Cambria Math"/>
          </w:rPr>
          <m:t xml:space="preserve">,</m:t>
        </m:r>
        <m:r>
          <w:rPr>
            <w:rFonts w:ascii="Cambria Math" w:hAnsi="Cambria Math"/>
          </w:rPr>
          <m:t xml:space="preserve">$</m:t>
        </m:r>
        <m:r>
          <w:rPr>
            <w:rFonts w:ascii="Cambria Math" w:hAnsi="Cambria Math"/>
          </w:rPr>
          <m:t xml:space="preserve">0.01</m:t>
        </m:r>
        <m:r>
          <w:rPr>
            <w:rFonts w:ascii="Cambria Math" w:hAnsi="Cambria Math"/>
          </w:rPr>
          <m:t xml:space="preserve">,</m:t>
        </m:r>
        <m:r>
          <w:rPr>
            <w:rFonts w:ascii="Cambria Math" w:hAnsi="Cambria Math"/>
          </w:rPr>
          <m:t xml:space="preserve">$</m:t>
        </m:r>
        <m:r>
          <w:rPr>
            <w:rFonts w:ascii="Cambria Math" w:hAnsi="Cambria Math"/>
          </w:rPr>
          <m:t xml:space="preserve">0.10</m:t>
        </m:r>
        <m:r>
          <w:rPr>
            <w:rFonts w:ascii="Cambria Math" w:hAnsi="Cambria Math"/>
          </w:rPr>
          <m:t xml:space="preserve">,</m:t>
        </m:r>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m:t>
        </m:r>
        <m:r>
          <w:rPr>
            <w:rFonts w:ascii="Cambria Math" w:hAnsi="Cambria Math"/>
          </w:rPr>
          <m:t xml:space="preserve">10.00</m:t>
        </m:r>
        <m:r>
          <w:rPr>
            <w:rFonts w:ascii="Cambria Math" w:hAnsi="Cambria Math"/>
          </w:rPr>
          <m:t xml:space="preserve">}</m:t>
        </m:r>
      </m:oMath>
      <w:r>
        <w:rPr/>
        <w:t xml:space="preserve">) is plotted on the horizontal axis using a symmetric logarithmic scale. The normative benchmark policies are represented by dashed and dotted lines: 2-step Lookahead (black dashed line, Depth 2) and Myopic (gray dotted line, Depth 1). Empirical LLM trajectories across seven commercially deployed LLMs from three providers are plotted in colored solid lines. Error bands represent 95% confidence intervals across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100</m:t>
        </m:r>
      </m:oMath>
      <w:r>
        <w:rPr/>
        <w:t xml:space="preserve"> independent sessions per LLM and benchmark cell.</w:t>
      </w:r>
    </w:p>
    <w:p>
      <w:pPr>
        <w:pStyle w:val="BodyText"/>
        <w:rPr/>
      </w:pPr>
      <w:r>
        <w:rPr/>
        <w:t>Given free acquisition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0.00</m:t>
        </m:r>
      </m:oMath>
      <w:r>
        <w:rPr/>
        <w:t>) and small cost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0.01</m:t>
        </m:r>
      </m:oMath>
      <w:r>
        <w:rPr/>
        <w:t>), both planning horizons acquire all 6 diagnostic cells (2 dollars, 2 cents, 2 weights), compute price-per-ounce ratios, and choose optimally (</w:t>
      </w:r>
      <w:r>
        <w:rPr/>
      </w:r>
      <m:oMath xmlns:m="http://schemas.openxmlformats.org/officeDocument/2006/math">
        <m:r>
          <w:rPr>
            <w:rFonts w:ascii="Cambria Math" w:hAnsi="Cambria Math"/>
          </w:rPr>
          <m:t xml:space="preserve">100</m:t>
        </m:r>
        <m:r>
          <m:rPr>
            <m:lit/>
            <m:nor/>
          </m:rPr>
          <w:rPr>
            <w:rFonts w:ascii="Cambria Math" w:hAnsi="Cambria Math"/>
          </w:rPr>
          <m:t xml:space="preserve">%</m:t>
        </m:r>
      </m:oMath>
      <w:r>
        <w:rPr/>
        <w:t xml:space="preserve">). Non-diagnostic cells are dropped immediately once cost rises to </w:t>
      </w:r>
      <w:r>
        <w:rPr/>
      </w:r>
      <m:oMath xmlns:m="http://schemas.openxmlformats.org/officeDocument/2006/math">
        <m:r>
          <w:rPr>
            <w:rFonts w:ascii="Cambria Math" w:hAnsi="Cambria Math"/>
          </w:rPr>
          <m:t xml:space="preserve">$</m:t>
        </m:r>
        <m:r>
          <w:rPr>
            <w:rFonts w:ascii="Cambria Math" w:hAnsi="Cambria Math"/>
          </w:rPr>
          <m:t xml:space="preserve">0.01</m:t>
        </m:r>
      </m:oMath>
      <w:r>
        <w:rPr/>
        <w:t xml:space="preserve"> because their EVI is identically zero.</w:t>
      </w:r>
    </w:p>
    <w:p>
      <w:pPr>
        <w:pStyle w:val="BodyText"/>
        <w:rPr/>
      </w:pPr>
      <w:r>
        <w:rPr/>
        <w:t xml:space="preserve">Under </w:t>
      </w:r>
      <w:r>
        <w:rPr/>
      </w:r>
      <m:oMath xmlns:m="http://schemas.openxmlformats.org/officeDocument/2006/math">
        <m:r>
          <w:rPr>
            <w:rFonts w:ascii="Cambria Math" w:hAnsi="Cambria Math"/>
          </w:rPr>
          <m:t xml:space="preserve">10</m:t>
        </m:r>
        <m:r>
          <w:rPr>
            <w:rFonts w:ascii="Cambria Math" w:hAnsi="Cambria Math"/>
          </w:rPr>
          <m:t xml:space="preserve">c</m:t>
        </m:r>
        <m:r>
          <w:rPr>
            <w:rFonts w:ascii="Cambria Math" w:hAnsi="Cambria Math"/>
          </w:rPr>
          <m:t xml:space="preserve">o</m:t>
        </m:r>
        <m:r>
          <w:rPr>
            <w:rFonts w:ascii="Cambria Math" w:hAnsi="Cambria Math"/>
          </w:rPr>
          <m:t xml:space="preserve">s</m:t>
        </m:r>
        <m:r>
          <w:rPr>
            <w:rFonts w:ascii="Cambria Math" w:hAnsi="Cambria Math"/>
          </w:rPr>
          <m:t xml:space="preserve">t</m:t>
        </m:r>
        <m:r>
          <w:rPr>
            <w:rFonts w:ascii="Cambria Math" w:hAnsi="Cambria Math"/>
          </w:rPr>
          <m:t xml:space="preserve">,</m:t>
        </m:r>
        <m:r>
          <w:rPr>
            <w:rFonts w:ascii="Cambria Math" w:hAnsi="Cambria Math"/>
          </w:rPr>
          <m:t xml:space="preserve">(</m:t>
        </m:r>
      </m:oMath>
      <w:r>
        <w:rPr/>
        <w:t xml:space="preserve">c = $10.00$) search depth truncates to 3 tool calls (2 weights, 1 dollar). Because weight exhibits large empirical variance in the retail catalog (spanning </w:t>
      </w:r>
      <w:r>
        <w:rPr/>
      </w:r>
      <m:oMath xmlns:m="http://schemas.openxmlformats.org/officeDocument/2006/math">
        <m:r>
          <w:rPr>
            <w:rFonts w:ascii="Cambria Math" w:hAnsi="Cambria Math"/>
          </w:rPr>
          <m:t xml:space="preserve">0.42</m:t>
        </m:r>
        <m:r>
          <m:rPr>
            <m:lit/>
            <m:nor/>
          </m:rPr>
          <w:rPr>
            <w:rFonts w:ascii="Cambria Math" w:hAnsi="Cambria Math"/>
          </w:rPr>
          <m:t xml:space="preserve">oz</m:t>
        </m:r>
      </m:oMath>
      <w:r>
        <w:rPr/>
        <w:t xml:space="preserve"> to </w:t>
      </w:r>
      <w:r>
        <w:rPr/>
      </w:r>
      <m:oMath xmlns:m="http://schemas.openxmlformats.org/officeDocument/2006/math">
        <m:r>
          <w:rPr>
            <w:rFonts w:ascii="Cambria Math" w:hAnsi="Cambria Math"/>
          </w:rPr>
          <m:t xml:space="preserve">72</m:t>
        </m:r>
        <m:r>
          <m:rPr>
            <m:lit/>
            <m:nor/>
          </m:rPr>
          <w:rPr>
            <w:rFonts w:ascii="Cambria Math" w:hAnsi="Cambria Math"/>
          </w:rPr>
          <m:t xml:space="preserve">oz</m:t>
        </m:r>
      </m:oMath>
      <w:r>
        <w:rPr/>
        <w:t xml:space="preserve">), learning product weight provides the highest initial variance reduction. Once both weights are known (Coffee B = </w:t>
      </w:r>
      <w:r>
        <w:rPr/>
      </w:r>
      <m:oMath xmlns:m="http://schemas.openxmlformats.org/officeDocument/2006/math">
        <m:r>
          <w:rPr>
            <w:rFonts w:ascii="Cambria Math" w:hAnsi="Cambria Math"/>
          </w:rPr>
          <m:t xml:space="preserve">11</m:t>
        </m:r>
        <m:r>
          <m:rPr>
            <m:lit/>
            <m:nor/>
          </m:rPr>
          <w:rPr>
            <w:rFonts w:ascii="Cambria Math" w:hAnsi="Cambria Math"/>
          </w:rPr>
          <m:t xml:space="preserve">oz</m:t>
        </m:r>
      </m:oMath>
      <w:r>
        <w:rPr/>
        <w:t xml:space="preserve">, Coffee A = </w:t>
      </w:r>
      <w:r>
        <w:rPr/>
      </w:r>
      <m:oMath xmlns:m="http://schemas.openxmlformats.org/officeDocument/2006/math">
        <m:r>
          <w:rPr>
            <w:rFonts w:ascii="Cambria Math" w:hAnsi="Cambria Math"/>
          </w:rPr>
          <m:t xml:space="preserve">10</m:t>
        </m:r>
        <m:r>
          <m:rPr>
            <m:lit/>
            <m:nor/>
          </m:rPr>
          <w:rPr>
            <w:rFonts w:ascii="Cambria Math" w:hAnsi="Cambria Math"/>
          </w:rPr>
          <m:t xml:space="preserve">oz</m:t>
        </m:r>
      </m:oMath>
      <w:r>
        <w:rPr/>
        <w:t>), Coffee B has the higher value. The planner checks Coffee B’s dollar price (</w:t>
      </w:r>
      <w:r>
        <w:rPr/>
      </w:r>
      <m:oMath xmlns:m="http://schemas.openxmlformats.org/officeDocument/2006/math">
        <m:r>
          <w:rPr>
            <w:rFonts w:ascii="Cambria Math" w:hAnsi="Cambria Math"/>
          </w:rPr>
          <m:t xml:space="preserve">$</m:t>
        </m:r>
        <m:r>
          <w:rPr>
            <w:rFonts w:ascii="Cambria Math" w:hAnsi="Cambria Math"/>
          </w:rPr>
          <m:t xml:space="preserve">5.00</m:t>
        </m:r>
      </m:oMath>
      <w:r>
        <w:rPr/>
        <w:t xml:space="preserve">). At this stage, Coffee B yields an effective cost of </w:t>
      </w:r>
      <w:r>
        <w:rPr/>
      </w:r>
      <m:oMath xmlns:m="http://schemas.openxmlformats.org/officeDocument/2006/math">
        <m:r>
          <w:rPr>
            <w:rFonts w:ascii="Cambria Math" w:hAnsi="Cambria Math"/>
          </w:rPr>
          <m:t xml:space="preserve">≈</m:t>
        </m:r>
        <m:r>
          <w:rPr>
            <w:rFonts w:ascii="Cambria Math" w:hAnsi="Cambria Math"/>
          </w:rPr>
          <m:t xml:space="preserve">$</m:t>
        </m:r>
        <m:f>
          <m:fPr>
            <m:type m:val="lin"/>
          </m:fPr>
          <m:num>
            <m:r>
              <w:rPr>
                <w:rFonts w:ascii="Cambria Math" w:hAnsi="Cambria Math"/>
              </w:rPr>
              <m:t xml:space="preserve">0.455</m:t>
            </m:r>
          </m:num>
          <m:den>
            <m:r>
              <m:rPr>
                <m:lit/>
                <m:nor/>
              </m:rPr>
              <w:rPr>
                <w:rFonts w:ascii="Cambria Math" w:hAnsi="Cambria Math"/>
              </w:rPr>
              <m:t xml:space="preserve">oz</m:t>
            </m:r>
          </m:den>
        </m:f>
      </m:oMath>
      <w:r>
        <w:rPr/>
        <w:t xml:space="preserve">, whereas Coffee A’s uninspected price sits at the category prior mean of </w:t>
      </w:r>
      <w:r>
        <w:rPr/>
      </w:r>
      <m:oMath xmlns:m="http://schemas.openxmlformats.org/officeDocument/2006/math">
        <m:r>
          <w:rPr>
            <w:rFonts w:ascii="Cambria Math" w:hAnsi="Cambria Math"/>
          </w:rPr>
          <m:t xml:space="preserve">$</m:t>
        </m:r>
        <m:r>
          <w:rPr>
            <w:rFonts w:ascii="Cambria Math" w:hAnsi="Cambria Math"/>
          </w:rPr>
          <m:t xml:space="preserve">15.96</m:t>
        </m:r>
      </m:oMath>
      <w:r>
        <w:rPr/>
        <w:t xml:space="preserve"> (</w:t>
      </w:r>
      <w:r>
        <w:rPr/>
      </w:r>
      <m:oMath xmlns:m="http://schemas.openxmlformats.org/officeDocument/2006/math">
        <m:r>
          <w:rPr>
            <w:rFonts w:ascii="Cambria Math" w:hAnsi="Cambria Math"/>
          </w:rPr>
          <m:t xml:space="preserve">≈</m:t>
        </m:r>
        <m:r>
          <w:rPr>
            <w:rFonts w:ascii="Cambria Math" w:hAnsi="Cambria Math"/>
          </w:rPr>
          <m:t xml:space="preserve">$</m:t>
        </m:r>
        <m:f>
          <m:fPr>
            <m:type m:val="lin"/>
          </m:fPr>
          <m:num>
            <m:r>
              <w:rPr>
                <w:rFonts w:ascii="Cambria Math" w:hAnsi="Cambria Math"/>
              </w:rPr>
              <m:t xml:space="preserve">1.60</m:t>
            </m:r>
          </m:num>
          <m:den>
            <m:r>
              <m:rPr>
                <m:lit/>
                <m:nor/>
              </m:rPr>
              <w:rPr>
                <w:rFonts w:ascii="Cambria Math" w:hAnsi="Cambria Math"/>
              </w:rPr>
              <m:t xml:space="preserve">oz</m:t>
            </m:r>
          </m:den>
        </m:f>
      </m:oMath>
      <w:r>
        <w:rPr/>
        <w:t xml:space="preserve">). Because inspecting Coffee A’s dollar price would cost </w:t>
      </w:r>
      <w:r>
        <w:rPr/>
      </w:r>
      <m:oMath xmlns:m="http://schemas.openxmlformats.org/officeDocument/2006/math">
        <m:r>
          <w:rPr>
            <w:rFonts w:ascii="Cambria Math" w:hAnsi="Cambria Math"/>
          </w:rPr>
          <m:t xml:space="preserve">$</m:t>
        </m:r>
        <m:r>
          <w:rPr>
            <w:rFonts w:ascii="Cambria Math" w:hAnsi="Cambria Math"/>
          </w:rPr>
          <m:t xml:space="preserve">10.00</m:t>
        </m:r>
      </m:oMath>
      <w:r>
        <w:rPr/>
        <w:t xml:space="preserve"> but could save at most </w:t>
      </w:r>
      <w:r>
        <w:rPr/>
      </w:r>
      <m:oMath xmlns:m="http://schemas.openxmlformats.org/officeDocument/2006/math">
        <m:r>
          <w:rPr>
            <w:rFonts w:ascii="Cambria Math" w:hAnsi="Cambria Math"/>
          </w:rPr>
          <m:t xml:space="preserve">$</m:t>
        </m:r>
        <m:r>
          <w:rPr>
            <w:rFonts w:ascii="Cambria Math" w:hAnsi="Cambria Math"/>
          </w:rPr>
          <m:t xml:space="preserve">2.50</m:t>
        </m:r>
      </m:oMath>
      <w:r>
        <w:rPr/>
        <w:t xml:space="preserve"> in the extreme tail, EVI falls below </w:t>
      </w:r>
      <w:r>
        <w:rPr/>
      </w:r>
      <m:oMath xmlns:m="http://schemas.openxmlformats.org/officeDocument/2006/math">
        <m:r>
          <w:rPr>
            <w:rFonts w:ascii="Cambria Math" w:hAnsi="Cambria Math"/>
          </w:rPr>
          <m:t xml:space="preserve">$</m:t>
        </m:r>
        <m:r>
          <w:rPr>
            <w:rFonts w:ascii="Cambria Math" w:hAnsi="Cambria Math"/>
          </w:rPr>
          <m:t xml:space="preserve">10.00</m:t>
        </m:r>
      </m:oMath>
      <w:r>
        <w:rPr/>
        <w:t>. The 2-step planner halts search and satisfices on Coffee B (</w:t>
      </w:r>
      <w:r>
        <w:rPr/>
      </w:r>
      <m:oMath xmlns:m="http://schemas.openxmlformats.org/officeDocument/2006/math">
        <m:r>
          <m:rPr>
            <m:lit/>
            <m:nor/>
          </m:rPr>
          <w:rPr>
            <w:rFonts w:ascii="Cambria Math" w:hAnsi="Cambria Math"/>
          </w:rPr>
          <m:t xml:space="preserve">Optimality</m:t>
        </m:r>
        <m:r>
          <w:rPr>
            <w:rFonts w:ascii="Cambria Math" w:hAnsi="Cambria Math"/>
          </w:rPr>
          <m:t xml:space="preserve">=</m:t>
        </m:r>
        <m:r>
          <w:rPr>
            <w:rFonts w:ascii="Cambria Math" w:hAnsi="Cambria Math"/>
          </w:rPr>
          <m:t xml:space="preserve">1.00</m:t>
        </m:r>
      </m:oMath>
      <w:r>
        <w:rPr/>
        <w:t>).</w:t>
      </w:r>
      <w:bookmarkEnd w:id="129"/>
    </w:p>
    <w:p>
      <w:pPr>
        <w:pStyle w:val="Heading2"/>
        <w:rPr/>
      </w:pPr>
      <w:bookmarkStart w:id="132" w:name="normative-benchmark---study-2"/>
      <w:r>
        <w:rPr/>
        <w:t>Normative benchmark - Study 2</w:t>
      </w:r>
    </w:p>
    <w:p>
      <w:pPr>
        <w:pStyle w:val="FirstParagraph"/>
        <w:rPr/>
      </w:pPr>
      <w:r>
        <w:rPr/>
        <w:t xml:space="preserve">In Study 2, the choice environment tests three alternatives where promotional cues and value point in opposing directions: </w:t>
      </w:r>
      <w:r>
        <w:rPr>
          <w:i/>
          <w:iCs/>
        </w:rPr>
        <w:t>Coffee C</w:t>
      </w:r>
      <w:r>
        <w:rPr/>
        <w:t xml:space="preserve"> (lowest list price: </w:t>
      </w:r>
      <w:r>
        <w:rPr/>
      </w:r>
      <m:oMath xmlns:m="http://schemas.openxmlformats.org/officeDocument/2006/math">
        <m:r>
          <w:rPr>
            <w:rFonts w:ascii="Cambria Math" w:hAnsi="Cambria Math"/>
          </w:rPr>
          <m:t xml:space="preserve">$</m:t>
        </m:r>
        <m:r>
          <w:rPr>
            <w:rFonts w:ascii="Cambria Math" w:hAnsi="Cambria Math"/>
          </w:rPr>
          <m:t xml:space="preserve">8.00</m:t>
        </m:r>
      </m:oMath>
      <w:r>
        <w:rPr/>
        <w:t xml:space="preserve">, 0% discount, </w:t>
      </w:r>
      <w:r>
        <w:rPr/>
      </w:r>
      <m:oMath xmlns:m="http://schemas.openxmlformats.org/officeDocument/2006/math">
        <m:r>
          <w:rPr>
            <w:rFonts w:ascii="Cambria Math" w:hAnsi="Cambria Math"/>
          </w:rPr>
          <m:t xml:space="preserve">8</m:t>
        </m:r>
        <m:r>
          <m:rPr>
            <m:lit/>
            <m:nor/>
          </m:rPr>
          <w:rPr>
            <w:rFonts w:ascii="Cambria Math" w:hAnsi="Cambria Math"/>
          </w:rPr>
          <m:t xml:space="preserve">oz</m:t>
        </m:r>
      </m:oMath>
      <w:r>
        <w:rPr/>
        <w:t xml:space="preserve">; </w:t>
      </w:r>
      <w:r>
        <w:rPr/>
      </w:r>
      <m:oMath xmlns:m="http://schemas.openxmlformats.org/officeDocument/2006/math">
        <m:r>
          <w:rPr>
            <w:rFonts w:ascii="Cambria Math" w:hAnsi="Cambria Math"/>
          </w:rPr>
          <m:t xml:space="preserve">1.00</m:t>
        </m:r>
        <m:r>
          <m:rPr>
            <m:lit/>
            <m:nor/>
          </m:rPr>
          <w:rPr>
            <w:rFonts w:ascii="Cambria Math" w:hAnsi="Cambria Math"/>
          </w:rPr>
          <m:t xml:space="preserve">oz/$</m:t>
        </m:r>
      </m:oMath>
      <w:r>
        <w:rPr/>
        <w:t xml:space="preserve">), </w:t>
      </w:r>
      <w:r>
        <w:rPr>
          <w:i/>
          <w:iCs/>
        </w:rPr>
        <w:t>Coffee D</w:t>
      </w:r>
      <w:r>
        <w:rPr/>
        <w:t xml:space="preserve"> (promotional cue: </w:t>
      </w:r>
      <w:r>
        <w:rPr/>
      </w:r>
      <m:oMath xmlns:m="http://schemas.openxmlformats.org/officeDocument/2006/math">
        <m:r>
          <w:rPr>
            <w:rFonts w:ascii="Cambria Math" w:hAnsi="Cambria Math"/>
          </w:rPr>
          <m:t xml:space="preserve">$</m:t>
        </m:r>
        <m:r>
          <w:rPr>
            <w:rFonts w:ascii="Cambria Math" w:hAnsi="Cambria Math"/>
          </w:rPr>
          <m:t xml:space="preserve">15.00</m:t>
        </m:r>
      </m:oMath>
      <w:r>
        <w:rPr/>
        <w:t xml:space="preserve">, 20% discount, </w:t>
      </w:r>
      <w:r>
        <w:rPr/>
      </w:r>
      <m:oMath xmlns:m="http://schemas.openxmlformats.org/officeDocument/2006/math">
        <m:r>
          <w:rPr>
            <w:rFonts w:ascii="Cambria Math" w:hAnsi="Cambria Math"/>
          </w:rPr>
          <m:t xml:space="preserve">12</m:t>
        </m:r>
        <m:r>
          <m:rPr>
            <m:lit/>
            <m:nor/>
          </m:rPr>
          <w:rPr>
            <w:rFonts w:ascii="Cambria Math" w:hAnsi="Cambria Math"/>
          </w:rPr>
          <m:t xml:space="preserve">oz</m:t>
        </m:r>
      </m:oMath>
      <w:r>
        <w:rPr/>
        <w:t xml:space="preserve">; </w:t>
      </w:r>
      <w:r>
        <w:rPr/>
      </w:r>
      <m:oMath xmlns:m="http://schemas.openxmlformats.org/officeDocument/2006/math">
        <m:r>
          <w:rPr>
            <w:rFonts w:ascii="Cambria Math" w:hAnsi="Cambria Math"/>
          </w:rPr>
          <m:t xml:space="preserve">1.00</m:t>
        </m:r>
        <m:r>
          <m:rPr>
            <m:lit/>
            <m:nor/>
          </m:rPr>
          <w:rPr>
            <w:rFonts w:ascii="Cambria Math" w:hAnsi="Cambria Math"/>
          </w:rPr>
          <m:t xml:space="preserve">oz/$</m:t>
        </m:r>
      </m:oMath>
      <w:r>
        <w:rPr/>
        <w:t xml:space="preserve">), and </w:t>
      </w:r>
      <w:r>
        <w:rPr>
          <w:i/>
          <w:iCs/>
        </w:rPr>
        <w:t>Coffee E</w:t>
      </w:r>
      <w:r>
        <w:rPr/>
        <w:t xml:space="preserve"> (optimal value: </w:t>
      </w:r>
      <w:r>
        <w:rPr/>
      </w:r>
      <m:oMath xmlns:m="http://schemas.openxmlformats.org/officeDocument/2006/math">
        <m:r>
          <w:rPr>
            <w:rFonts w:ascii="Cambria Math" w:hAnsi="Cambria Math"/>
          </w:rPr>
          <m:t xml:space="preserve">$</m:t>
        </m:r>
        <m:r>
          <w:rPr>
            <w:rFonts w:ascii="Cambria Math" w:hAnsi="Cambria Math"/>
          </w:rPr>
          <m:t xml:space="preserve">10.00</m:t>
        </m:r>
      </m:oMath>
      <w:r>
        <w:rPr/>
        <w:t xml:space="preserve">, 0% discount, </w:t>
      </w:r>
      <w:r>
        <w:rPr/>
      </w:r>
      <m:oMath xmlns:m="http://schemas.openxmlformats.org/officeDocument/2006/math">
        <m:r>
          <w:rPr>
            <w:rFonts w:ascii="Cambria Math" w:hAnsi="Cambria Math"/>
          </w:rPr>
          <m:t xml:space="preserve">10.9</m:t>
        </m:r>
        <m:r>
          <m:rPr>
            <m:lit/>
            <m:nor/>
          </m:rPr>
          <w:rPr>
            <w:rFonts w:ascii="Cambria Math" w:hAnsi="Cambria Math"/>
          </w:rPr>
          <m:t xml:space="preserve">oz</m:t>
        </m:r>
      </m:oMath>
      <w:r>
        <w:rPr/>
        <w:t xml:space="preserve">; </w:t>
      </w:r>
      <w:r>
        <w:rPr/>
      </w:r>
      <m:oMath xmlns:m="http://schemas.openxmlformats.org/officeDocument/2006/math">
        <m:r>
          <w:rPr>
            <w:rFonts w:ascii="Cambria Math" w:hAnsi="Cambria Math"/>
          </w:rPr>
          <m:t xml:space="preserve">1.09</m:t>
        </m:r>
        <m:r>
          <m:rPr>
            <m:lit/>
            <m:nor/>
          </m:rPr>
          <w:rPr>
            <w:rFonts w:ascii="Cambria Math" w:hAnsi="Cambria Math"/>
          </w:rPr>
          <m:t xml:space="preserve">oz/$</m:t>
        </m:r>
      </m:oMath>
      <w:r>
        <w:rPr/>
        <w:t>).</w:t>
      </w:r>
    </w:p>
    <w:p>
      <w:pPr>
        <w:pStyle w:val="BodyText"/>
        <w:rPr/>
      </w:pPr>
      <w:hyperlink w:anchor="apptbl-expectimax-study2">
        <w:r>
          <w:rPr>
            <w:rStyle w:val="Hyperlink"/>
          </w:rPr>
          <w:t>Table W6</w:t>
        </w:r>
      </w:hyperlink>
      <w:r>
        <w:rPr/>
        <w:t xml:space="preserve"> presents the search trajectories across costs.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W6: Expectimax optimal search depth and choice optimality across acquisition costs (Study 2)</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013"/>
              <w:gridCol w:w="1016"/>
              <w:gridCol w:w="1015"/>
              <w:gridCol w:w="1016"/>
              <w:gridCol w:w="1020"/>
              <w:gridCol w:w="1016"/>
              <w:gridCol w:w="1016"/>
              <w:gridCol w:w="1016"/>
              <w:gridCol w:w="1016"/>
            </w:tblGrid>
            <w:tr>
              <w:trPr>
                <w:tblHeader w:val="true"/>
              </w:trPr>
              <w:tc>
                <w:tcPr>
                  <w:tcW w:w="1013" w:type="dxa"/>
                  <w:tcBorders/>
                  <w:vAlign w:val="center"/>
                </w:tcPr>
                <w:p>
                  <w:pPr>
                    <w:pStyle w:val="Compact"/>
                    <w:spacing w:before="36" w:after="36"/>
                    <w:jc w:val="center"/>
                    <w:rPr>
                      <w:b w:val="false"/>
                    </w:rPr>
                  </w:pPr>
                  <w:r>
                    <w:rPr>
                      <w:b w:val="false"/>
                    </w:rPr>
                    <w:t>Lookahead policy</w:t>
                  </w:r>
                </w:p>
              </w:tc>
              <w:tc>
                <w:tcPr>
                  <w:tcW w:w="1016" w:type="dxa"/>
                  <w:tcBorders/>
                  <w:vAlign w:val="center"/>
                </w:tcPr>
                <w:p>
                  <w:pPr>
                    <w:pStyle w:val="Compact"/>
                    <w:spacing w:before="36" w:after="36"/>
                    <w:jc w:val="center"/>
                    <w:rPr>
                      <w:b w:val="false"/>
                    </w:rPr>
                  </w:pPr>
                  <w:r>
                    <w:rPr>
                      <w:b w:val="false"/>
                    </w:rPr>
                    <w:t>Tool cost</w:t>
                  </w:r>
                </w:p>
              </w:tc>
              <w:tc>
                <w:tcPr>
                  <w:tcW w:w="1015" w:type="dxa"/>
                  <w:tcBorders/>
                  <w:vAlign w:val="center"/>
                </w:tcPr>
                <w:p>
                  <w:pPr>
                    <w:pStyle w:val="Compact"/>
                    <w:spacing w:before="36" w:after="36"/>
                    <w:jc w:val="center"/>
                    <w:rPr>
                      <w:b w:val="false"/>
                    </w:rPr>
                  </w:pPr>
                  <w:r>
                    <w:rPr>
                      <w:b w:val="false"/>
                    </w:rPr>
                    <w:t>List price</w:t>
                  </w:r>
                </w:p>
              </w:tc>
              <w:tc>
                <w:tcPr>
                  <w:tcW w:w="1016" w:type="dxa"/>
                  <w:tcBorders/>
                  <w:vAlign w:val="center"/>
                </w:tcPr>
                <w:p>
                  <w:pPr>
                    <w:pStyle w:val="Compact"/>
                    <w:spacing w:before="36" w:after="36"/>
                    <w:jc w:val="center"/>
                    <w:rPr>
                      <w:b w:val="false"/>
                    </w:rPr>
                  </w:pPr>
                  <w:r>
                    <w:rPr>
                      <w:b w:val="false"/>
                    </w:rPr>
                    <w:t>Discount</w:t>
                  </w:r>
                </w:p>
              </w:tc>
              <w:tc>
                <w:tcPr>
                  <w:tcW w:w="1020" w:type="dxa"/>
                  <w:tcBorders/>
                  <w:vAlign w:val="center"/>
                </w:tcPr>
                <w:p>
                  <w:pPr>
                    <w:pStyle w:val="Compact"/>
                    <w:spacing w:before="36" w:after="36"/>
                    <w:jc w:val="center"/>
                    <w:rPr>
                      <w:b w:val="false"/>
                    </w:rPr>
                  </w:pPr>
                  <w:r>
                    <w:rPr>
                      <w:b w:val="false"/>
                    </w:rPr>
                    <w:t>Weight</w:t>
                  </w:r>
                </w:p>
              </w:tc>
              <w:tc>
                <w:tcPr>
                  <w:tcW w:w="1016" w:type="dxa"/>
                  <w:tcBorders/>
                  <w:vAlign w:val="center"/>
                </w:tcPr>
                <w:p>
                  <w:pPr>
                    <w:pStyle w:val="Compact"/>
                    <w:spacing w:before="36" w:after="36"/>
                    <w:jc w:val="center"/>
                    <w:rPr>
                      <w:b w:val="false"/>
                    </w:rPr>
                  </w:pPr>
                  <w:r>
                    <w:rPr>
                      <w:b w:val="false"/>
                    </w:rPr>
                    <w:t>Diagnostic calls</w:t>
                  </w:r>
                </w:p>
              </w:tc>
              <w:tc>
                <w:tcPr>
                  <w:tcW w:w="1016" w:type="dxa"/>
                  <w:tcBorders/>
                  <w:vAlign w:val="center"/>
                </w:tcPr>
                <w:p>
                  <w:pPr>
                    <w:pStyle w:val="Compact"/>
                    <w:spacing w:before="36" w:after="36"/>
                    <w:jc w:val="center"/>
                    <w:rPr>
                      <w:b w:val="false"/>
                    </w:rPr>
                  </w:pPr>
                  <w:r>
                    <w:rPr>
                      <w:b w:val="false"/>
                    </w:rPr>
                    <w:t>Non-diagnostic calls</w:t>
                  </w:r>
                </w:p>
              </w:tc>
              <w:tc>
                <w:tcPr>
                  <w:tcW w:w="1016" w:type="dxa"/>
                  <w:tcBorders/>
                  <w:vAlign w:val="center"/>
                </w:tcPr>
                <w:p>
                  <w:pPr>
                    <w:pStyle w:val="Compact"/>
                    <w:spacing w:before="36" w:after="36"/>
                    <w:jc w:val="center"/>
                    <w:rPr>
                      <w:b w:val="false"/>
                    </w:rPr>
                  </w:pPr>
                  <w:r>
                    <w:rPr>
                      <w:b w:val="false"/>
                    </w:rPr>
                    <w:t>Total calls</w:t>
                  </w:r>
                </w:p>
              </w:tc>
              <w:tc>
                <w:tcPr>
                  <w:tcW w:w="1016" w:type="dxa"/>
                  <w:tcBorders/>
                  <w:vAlign w:val="center"/>
                </w:tcPr>
                <w:p>
                  <w:pPr>
                    <w:pStyle w:val="Compact"/>
                    <w:spacing w:before="36" w:after="36"/>
                    <w:jc w:val="center"/>
                    <w:rPr>
                      <w:b w:val="false"/>
                    </w:rPr>
                  </w:pPr>
                  <w:r>
                    <w:rPr>
                      <w:b w:val="false"/>
                    </w:rPr>
                    <w:t>Choice optimality</w:t>
                  </w:r>
                </w:p>
              </w:tc>
            </w:tr>
            <w:tr>
              <w:trPr/>
              <w:tc>
                <w:tcPr>
                  <w:tcW w:w="1013" w:type="dxa"/>
                  <w:tcBorders>
                    <w:top w:val="nil"/>
                    <w:bottom w:val="nil"/>
                  </w:tcBorders>
                  <w:vAlign w:val="center"/>
                </w:tcPr>
                <w:p>
                  <w:pPr>
                    <w:pStyle w:val="Compact"/>
                    <w:spacing w:before="36" w:after="36"/>
                    <w:jc w:val="center"/>
                    <w:rPr/>
                  </w:pPr>
                  <w:r>
                    <w:rPr/>
                    <w:t>Myopic</w:t>
                  </w:r>
                </w:p>
              </w:tc>
              <w:tc>
                <w:tcPr>
                  <w:tcW w:w="1016" w:type="dxa"/>
                  <w:tcBorders>
                    <w:top w:val="nil"/>
                    <w:bottom w:val="nil"/>
                  </w:tcBorders>
                  <w:vAlign w:val="center"/>
                </w:tcPr>
                <w:p>
                  <w:pPr>
                    <w:pStyle w:val="Compact"/>
                    <w:spacing w:before="36" w:after="36"/>
                    <w:jc w:val="center"/>
                    <w:rPr/>
                  </w:pPr>
                  <w:r>
                    <w:rPr/>
                    <w:t>$0.00</w:t>
                  </w:r>
                </w:p>
              </w:tc>
              <w:tc>
                <w:tcPr>
                  <w:tcW w:w="1015"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1.8</w:t>
                  </w:r>
                </w:p>
              </w:tc>
              <w:tc>
                <w:tcPr>
                  <w:tcW w:w="1020"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7.8</w:t>
                  </w:r>
                </w:p>
              </w:tc>
              <w:tc>
                <w:tcPr>
                  <w:tcW w:w="1016" w:type="dxa"/>
                  <w:tcBorders>
                    <w:top w:val="nil"/>
                    <w:bottom w:val="nil"/>
                  </w:tcBorders>
                  <w:vAlign w:val="center"/>
                </w:tcPr>
                <w:p>
                  <w:pPr>
                    <w:pStyle w:val="Compact"/>
                    <w:spacing w:before="36" w:after="36"/>
                    <w:jc w:val="center"/>
                    <w:rPr/>
                  </w:pPr>
                  <w:r>
                    <w:rPr/>
                    <w:t>7.4</w:t>
                  </w:r>
                </w:p>
              </w:tc>
              <w:tc>
                <w:tcPr>
                  <w:tcW w:w="1016" w:type="dxa"/>
                  <w:tcBorders>
                    <w:top w:val="nil"/>
                    <w:bottom w:val="nil"/>
                  </w:tcBorders>
                  <w:vAlign w:val="center"/>
                </w:tcPr>
                <w:p>
                  <w:pPr>
                    <w:pStyle w:val="Compact"/>
                    <w:spacing w:before="36" w:after="36"/>
                    <w:jc w:val="center"/>
                    <w:rPr/>
                  </w:pPr>
                  <w:r>
                    <w:rPr/>
                    <w:t>15.2</w:t>
                  </w:r>
                </w:p>
              </w:tc>
              <w:tc>
                <w:tcPr>
                  <w:tcW w:w="1016" w:type="dxa"/>
                  <w:tcBorders>
                    <w:top w:val="nil"/>
                    <w:bottom w:val="nil"/>
                  </w:tcBorders>
                  <w:vAlign w:val="center"/>
                </w:tcPr>
                <w:p>
                  <w:pPr>
                    <w:pStyle w:val="Compact"/>
                    <w:spacing w:before="36" w:after="36"/>
                    <w:jc w:val="center"/>
                    <w:rPr/>
                  </w:pPr>
                  <w:r>
                    <w:rPr/>
                    <w:t>1.00</w:t>
                  </w:r>
                </w:p>
              </w:tc>
            </w:tr>
            <w:tr>
              <w:trPr/>
              <w:tc>
                <w:tcPr>
                  <w:tcW w:w="1013" w:type="dxa"/>
                  <w:tcBorders>
                    <w:top w:val="nil"/>
                    <w:bottom w:val="nil"/>
                  </w:tcBorders>
                  <w:vAlign w:val="center"/>
                </w:tcPr>
                <w:p>
                  <w:pPr>
                    <w:pStyle w:val="Compact"/>
                    <w:spacing w:before="36" w:after="36"/>
                    <w:jc w:val="center"/>
                    <w:rPr/>
                  </w:pPr>
                  <w:r>
                    <w:rPr/>
                    <w:t>Myopic</w:t>
                  </w:r>
                </w:p>
              </w:tc>
              <w:tc>
                <w:tcPr>
                  <w:tcW w:w="1016" w:type="dxa"/>
                  <w:tcBorders>
                    <w:top w:val="nil"/>
                    <w:bottom w:val="nil"/>
                  </w:tcBorders>
                  <w:vAlign w:val="center"/>
                </w:tcPr>
                <w:p>
                  <w:pPr>
                    <w:pStyle w:val="Compact"/>
                    <w:spacing w:before="36" w:after="36"/>
                    <w:jc w:val="center"/>
                    <w:rPr/>
                  </w:pPr>
                  <w:r>
                    <w:rPr/>
                    <w:t>$0.01</w:t>
                  </w:r>
                </w:p>
              </w:tc>
              <w:tc>
                <w:tcPr>
                  <w:tcW w:w="1015"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1.0</w:t>
                  </w:r>
                </w:p>
              </w:tc>
              <w:tc>
                <w:tcPr>
                  <w:tcW w:w="1020"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7.0</w:t>
                  </w:r>
                </w:p>
              </w:tc>
              <w:tc>
                <w:tcPr>
                  <w:tcW w:w="1016" w:type="dxa"/>
                  <w:tcBorders>
                    <w:top w:val="nil"/>
                    <w:bottom w:val="nil"/>
                  </w:tcBorders>
                  <w:vAlign w:val="center"/>
                </w:tcPr>
                <w:p>
                  <w:pPr>
                    <w:pStyle w:val="Compact"/>
                    <w:spacing w:before="36" w:after="36"/>
                    <w:jc w:val="center"/>
                    <w:rPr/>
                  </w:pPr>
                  <w:r>
                    <w:rPr/>
                    <w:t>0.0</w:t>
                  </w:r>
                </w:p>
              </w:tc>
              <w:tc>
                <w:tcPr>
                  <w:tcW w:w="1016" w:type="dxa"/>
                  <w:tcBorders>
                    <w:top w:val="nil"/>
                    <w:bottom w:val="nil"/>
                  </w:tcBorders>
                  <w:vAlign w:val="center"/>
                </w:tcPr>
                <w:p>
                  <w:pPr>
                    <w:pStyle w:val="Compact"/>
                    <w:spacing w:before="36" w:after="36"/>
                    <w:jc w:val="center"/>
                    <w:rPr/>
                  </w:pPr>
                  <w:r>
                    <w:rPr/>
                    <w:t>7.0</w:t>
                  </w:r>
                </w:p>
              </w:tc>
              <w:tc>
                <w:tcPr>
                  <w:tcW w:w="1016" w:type="dxa"/>
                  <w:tcBorders>
                    <w:top w:val="nil"/>
                    <w:bottom w:val="nil"/>
                  </w:tcBorders>
                  <w:vAlign w:val="center"/>
                </w:tcPr>
                <w:p>
                  <w:pPr>
                    <w:pStyle w:val="Compact"/>
                    <w:spacing w:before="36" w:after="36"/>
                    <w:jc w:val="center"/>
                    <w:rPr/>
                  </w:pPr>
                  <w:r>
                    <w:rPr/>
                    <w:t>1.00</w:t>
                  </w:r>
                </w:p>
              </w:tc>
            </w:tr>
            <w:tr>
              <w:trPr/>
              <w:tc>
                <w:tcPr>
                  <w:tcW w:w="1013" w:type="dxa"/>
                  <w:tcBorders>
                    <w:top w:val="nil"/>
                    <w:bottom w:val="nil"/>
                  </w:tcBorders>
                  <w:vAlign w:val="center"/>
                </w:tcPr>
                <w:p>
                  <w:pPr>
                    <w:pStyle w:val="Compact"/>
                    <w:spacing w:before="36" w:after="36"/>
                    <w:jc w:val="center"/>
                    <w:rPr/>
                  </w:pPr>
                  <w:r>
                    <w:rPr/>
                    <w:t>Myopic</w:t>
                  </w:r>
                </w:p>
              </w:tc>
              <w:tc>
                <w:tcPr>
                  <w:tcW w:w="1016" w:type="dxa"/>
                  <w:tcBorders>
                    <w:top w:val="nil"/>
                    <w:bottom w:val="nil"/>
                  </w:tcBorders>
                  <w:vAlign w:val="center"/>
                </w:tcPr>
                <w:p>
                  <w:pPr>
                    <w:pStyle w:val="Compact"/>
                    <w:spacing w:before="36" w:after="36"/>
                    <w:jc w:val="center"/>
                    <w:rPr/>
                  </w:pPr>
                  <w:r>
                    <w:rPr/>
                    <w:t>$0.10</w:t>
                  </w:r>
                </w:p>
              </w:tc>
              <w:tc>
                <w:tcPr>
                  <w:tcW w:w="1015"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1.0</w:t>
                  </w:r>
                </w:p>
              </w:tc>
              <w:tc>
                <w:tcPr>
                  <w:tcW w:w="1020"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7.0</w:t>
                  </w:r>
                </w:p>
              </w:tc>
              <w:tc>
                <w:tcPr>
                  <w:tcW w:w="1016" w:type="dxa"/>
                  <w:tcBorders>
                    <w:top w:val="nil"/>
                    <w:bottom w:val="nil"/>
                  </w:tcBorders>
                  <w:vAlign w:val="center"/>
                </w:tcPr>
                <w:p>
                  <w:pPr>
                    <w:pStyle w:val="Compact"/>
                    <w:spacing w:before="36" w:after="36"/>
                    <w:jc w:val="center"/>
                    <w:rPr/>
                  </w:pPr>
                  <w:r>
                    <w:rPr/>
                    <w:t>0.0</w:t>
                  </w:r>
                </w:p>
              </w:tc>
              <w:tc>
                <w:tcPr>
                  <w:tcW w:w="1016" w:type="dxa"/>
                  <w:tcBorders>
                    <w:top w:val="nil"/>
                    <w:bottom w:val="nil"/>
                  </w:tcBorders>
                  <w:vAlign w:val="center"/>
                </w:tcPr>
                <w:p>
                  <w:pPr>
                    <w:pStyle w:val="Compact"/>
                    <w:spacing w:before="36" w:after="36"/>
                    <w:jc w:val="center"/>
                    <w:rPr/>
                  </w:pPr>
                  <w:r>
                    <w:rPr/>
                    <w:t>7.0</w:t>
                  </w:r>
                </w:p>
              </w:tc>
              <w:tc>
                <w:tcPr>
                  <w:tcW w:w="1016" w:type="dxa"/>
                  <w:tcBorders>
                    <w:top w:val="nil"/>
                    <w:bottom w:val="nil"/>
                  </w:tcBorders>
                  <w:vAlign w:val="center"/>
                </w:tcPr>
                <w:p>
                  <w:pPr>
                    <w:pStyle w:val="Compact"/>
                    <w:spacing w:before="36" w:after="36"/>
                    <w:jc w:val="center"/>
                    <w:rPr/>
                  </w:pPr>
                  <w:r>
                    <w:rPr/>
                    <w:t>1.00</w:t>
                  </w:r>
                </w:p>
              </w:tc>
            </w:tr>
            <w:tr>
              <w:trPr/>
              <w:tc>
                <w:tcPr>
                  <w:tcW w:w="1013" w:type="dxa"/>
                  <w:tcBorders>
                    <w:top w:val="nil"/>
                    <w:bottom w:val="nil"/>
                  </w:tcBorders>
                  <w:vAlign w:val="center"/>
                </w:tcPr>
                <w:p>
                  <w:pPr>
                    <w:pStyle w:val="Compact"/>
                    <w:spacing w:before="36" w:after="36"/>
                    <w:jc w:val="center"/>
                    <w:rPr/>
                  </w:pPr>
                  <w:r>
                    <w:rPr/>
                    <w:t>Myopic</w:t>
                  </w:r>
                </w:p>
              </w:tc>
              <w:tc>
                <w:tcPr>
                  <w:tcW w:w="1016" w:type="dxa"/>
                  <w:tcBorders>
                    <w:top w:val="nil"/>
                    <w:bottom w:val="nil"/>
                  </w:tcBorders>
                  <w:vAlign w:val="center"/>
                </w:tcPr>
                <w:p>
                  <w:pPr>
                    <w:pStyle w:val="Compact"/>
                    <w:spacing w:before="36" w:after="36"/>
                    <w:jc w:val="center"/>
                    <w:rPr/>
                  </w:pPr>
                  <w:r>
                    <w:rPr/>
                    <w:t>$1.00</w:t>
                  </w:r>
                </w:p>
              </w:tc>
              <w:tc>
                <w:tcPr>
                  <w:tcW w:w="1015"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0.0</w:t>
                  </w:r>
                </w:p>
              </w:tc>
              <w:tc>
                <w:tcPr>
                  <w:tcW w:w="1020"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6.0</w:t>
                  </w:r>
                </w:p>
              </w:tc>
              <w:tc>
                <w:tcPr>
                  <w:tcW w:w="1016" w:type="dxa"/>
                  <w:tcBorders>
                    <w:top w:val="nil"/>
                    <w:bottom w:val="nil"/>
                  </w:tcBorders>
                  <w:vAlign w:val="center"/>
                </w:tcPr>
                <w:p>
                  <w:pPr>
                    <w:pStyle w:val="Compact"/>
                    <w:spacing w:before="36" w:after="36"/>
                    <w:jc w:val="center"/>
                    <w:rPr/>
                  </w:pPr>
                  <w:r>
                    <w:rPr/>
                    <w:t>0.0</w:t>
                  </w:r>
                </w:p>
              </w:tc>
              <w:tc>
                <w:tcPr>
                  <w:tcW w:w="1016" w:type="dxa"/>
                  <w:tcBorders>
                    <w:top w:val="nil"/>
                    <w:bottom w:val="nil"/>
                  </w:tcBorders>
                  <w:vAlign w:val="center"/>
                </w:tcPr>
                <w:p>
                  <w:pPr>
                    <w:pStyle w:val="Compact"/>
                    <w:spacing w:before="36" w:after="36"/>
                    <w:jc w:val="center"/>
                    <w:rPr/>
                  </w:pPr>
                  <w:r>
                    <w:rPr/>
                    <w:t>6.0</w:t>
                  </w:r>
                </w:p>
              </w:tc>
              <w:tc>
                <w:tcPr>
                  <w:tcW w:w="1016" w:type="dxa"/>
                  <w:tcBorders>
                    <w:top w:val="nil"/>
                    <w:bottom w:val="nil"/>
                  </w:tcBorders>
                  <w:vAlign w:val="center"/>
                </w:tcPr>
                <w:p>
                  <w:pPr>
                    <w:pStyle w:val="Compact"/>
                    <w:spacing w:before="36" w:after="36"/>
                    <w:jc w:val="center"/>
                    <w:rPr/>
                  </w:pPr>
                  <w:r>
                    <w:rPr/>
                    <w:t>1.00</w:t>
                  </w:r>
                </w:p>
              </w:tc>
            </w:tr>
            <w:tr>
              <w:trPr/>
              <w:tc>
                <w:tcPr>
                  <w:tcW w:w="1013" w:type="dxa"/>
                  <w:tcBorders>
                    <w:top w:val="nil"/>
                    <w:bottom w:val="nil"/>
                  </w:tcBorders>
                  <w:vAlign w:val="center"/>
                </w:tcPr>
                <w:p>
                  <w:pPr>
                    <w:pStyle w:val="Compact"/>
                    <w:spacing w:before="36" w:after="36"/>
                    <w:jc w:val="center"/>
                    <w:rPr/>
                  </w:pPr>
                  <w:r>
                    <w:rPr/>
                    <w:t>Myopic</w:t>
                  </w:r>
                </w:p>
              </w:tc>
              <w:tc>
                <w:tcPr>
                  <w:tcW w:w="1016" w:type="dxa"/>
                  <w:tcBorders>
                    <w:top w:val="nil"/>
                    <w:bottom w:val="nil"/>
                  </w:tcBorders>
                  <w:vAlign w:val="center"/>
                </w:tcPr>
                <w:p>
                  <w:pPr>
                    <w:pStyle w:val="Compact"/>
                    <w:spacing w:before="36" w:after="36"/>
                    <w:jc w:val="center"/>
                    <w:rPr/>
                  </w:pPr>
                  <w:r>
                    <w:rPr/>
                    <w:t>$10.00</w:t>
                  </w:r>
                </w:p>
              </w:tc>
              <w:tc>
                <w:tcPr>
                  <w:tcW w:w="1015" w:type="dxa"/>
                  <w:tcBorders>
                    <w:top w:val="nil"/>
                    <w:bottom w:val="nil"/>
                  </w:tcBorders>
                  <w:vAlign w:val="center"/>
                </w:tcPr>
                <w:p>
                  <w:pPr>
                    <w:pStyle w:val="Compact"/>
                    <w:spacing w:before="36" w:after="36"/>
                    <w:jc w:val="center"/>
                    <w:rPr/>
                  </w:pPr>
                  <w:r>
                    <w:rPr/>
                    <w:t>0.0</w:t>
                  </w:r>
                </w:p>
              </w:tc>
              <w:tc>
                <w:tcPr>
                  <w:tcW w:w="1016" w:type="dxa"/>
                  <w:tcBorders>
                    <w:top w:val="nil"/>
                    <w:bottom w:val="nil"/>
                  </w:tcBorders>
                  <w:vAlign w:val="center"/>
                </w:tcPr>
                <w:p>
                  <w:pPr>
                    <w:pStyle w:val="Compact"/>
                    <w:spacing w:before="36" w:after="36"/>
                    <w:jc w:val="center"/>
                    <w:rPr/>
                  </w:pPr>
                  <w:r>
                    <w:rPr/>
                    <w:t>0.0</w:t>
                  </w:r>
                </w:p>
              </w:tc>
              <w:tc>
                <w:tcPr>
                  <w:tcW w:w="1020" w:type="dxa"/>
                  <w:tcBorders>
                    <w:top w:val="nil"/>
                    <w:bottom w:val="nil"/>
                  </w:tcBorders>
                  <w:vAlign w:val="center"/>
                </w:tcPr>
                <w:p>
                  <w:pPr>
                    <w:pStyle w:val="Compact"/>
                    <w:spacing w:before="36" w:after="36"/>
                    <w:jc w:val="center"/>
                    <w:rPr/>
                  </w:pPr>
                  <w:r>
                    <w:rPr/>
                    <w:t>1.2</w:t>
                  </w:r>
                </w:p>
              </w:tc>
              <w:tc>
                <w:tcPr>
                  <w:tcW w:w="1016" w:type="dxa"/>
                  <w:tcBorders>
                    <w:top w:val="nil"/>
                    <w:bottom w:val="nil"/>
                  </w:tcBorders>
                  <w:vAlign w:val="center"/>
                </w:tcPr>
                <w:p>
                  <w:pPr>
                    <w:pStyle w:val="Compact"/>
                    <w:spacing w:before="36" w:after="36"/>
                    <w:jc w:val="center"/>
                    <w:rPr/>
                  </w:pPr>
                  <w:r>
                    <w:rPr/>
                    <w:t>1.2</w:t>
                  </w:r>
                </w:p>
              </w:tc>
              <w:tc>
                <w:tcPr>
                  <w:tcW w:w="1016" w:type="dxa"/>
                  <w:tcBorders>
                    <w:top w:val="nil"/>
                    <w:bottom w:val="nil"/>
                  </w:tcBorders>
                  <w:vAlign w:val="center"/>
                </w:tcPr>
                <w:p>
                  <w:pPr>
                    <w:pStyle w:val="Compact"/>
                    <w:spacing w:before="36" w:after="36"/>
                    <w:jc w:val="center"/>
                    <w:rPr/>
                  </w:pPr>
                  <w:r>
                    <w:rPr/>
                    <w:t>0.0</w:t>
                  </w:r>
                </w:p>
              </w:tc>
              <w:tc>
                <w:tcPr>
                  <w:tcW w:w="1016" w:type="dxa"/>
                  <w:tcBorders>
                    <w:top w:val="nil"/>
                    <w:bottom w:val="nil"/>
                  </w:tcBorders>
                  <w:vAlign w:val="center"/>
                </w:tcPr>
                <w:p>
                  <w:pPr>
                    <w:pStyle w:val="Compact"/>
                    <w:spacing w:before="36" w:after="36"/>
                    <w:jc w:val="center"/>
                    <w:rPr/>
                  </w:pPr>
                  <w:r>
                    <w:rPr/>
                    <w:t>1.2</w:t>
                  </w:r>
                </w:p>
              </w:tc>
              <w:tc>
                <w:tcPr>
                  <w:tcW w:w="1016" w:type="dxa"/>
                  <w:tcBorders>
                    <w:top w:val="nil"/>
                    <w:bottom w:val="nil"/>
                  </w:tcBorders>
                  <w:vAlign w:val="center"/>
                </w:tcPr>
                <w:p>
                  <w:pPr>
                    <w:pStyle w:val="Compact"/>
                    <w:spacing w:before="36" w:after="36"/>
                    <w:jc w:val="center"/>
                    <w:rPr/>
                  </w:pPr>
                  <w:r>
                    <w:rPr/>
                    <w:t>0.20</w:t>
                  </w:r>
                </w:p>
              </w:tc>
            </w:tr>
            <w:tr>
              <w:trPr/>
              <w:tc>
                <w:tcPr>
                  <w:tcW w:w="1013" w:type="dxa"/>
                  <w:tcBorders>
                    <w:top w:val="nil"/>
                    <w:bottom w:val="nil"/>
                  </w:tcBorders>
                  <w:vAlign w:val="center"/>
                </w:tcPr>
                <w:p>
                  <w:pPr>
                    <w:pStyle w:val="Compact"/>
                    <w:spacing w:before="36" w:after="36"/>
                    <w:jc w:val="center"/>
                    <w:rPr/>
                  </w:pPr>
                  <w:r>
                    <w:rPr/>
                    <w:t>2-step Lookahead</w:t>
                  </w:r>
                </w:p>
              </w:tc>
              <w:tc>
                <w:tcPr>
                  <w:tcW w:w="1016" w:type="dxa"/>
                  <w:tcBorders>
                    <w:top w:val="nil"/>
                    <w:bottom w:val="nil"/>
                  </w:tcBorders>
                  <w:vAlign w:val="center"/>
                </w:tcPr>
                <w:p>
                  <w:pPr>
                    <w:pStyle w:val="Compact"/>
                    <w:spacing w:before="36" w:after="36"/>
                    <w:jc w:val="center"/>
                    <w:rPr/>
                  </w:pPr>
                  <w:r>
                    <w:rPr/>
                    <w:t>$0.00</w:t>
                  </w:r>
                </w:p>
              </w:tc>
              <w:tc>
                <w:tcPr>
                  <w:tcW w:w="1015"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3.0</w:t>
                  </w:r>
                </w:p>
              </w:tc>
              <w:tc>
                <w:tcPr>
                  <w:tcW w:w="1020"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9.0</w:t>
                  </w:r>
                </w:p>
              </w:tc>
              <w:tc>
                <w:tcPr>
                  <w:tcW w:w="1016" w:type="dxa"/>
                  <w:tcBorders>
                    <w:top w:val="nil"/>
                    <w:bottom w:val="nil"/>
                  </w:tcBorders>
                  <w:vAlign w:val="center"/>
                </w:tcPr>
                <w:p>
                  <w:pPr>
                    <w:pStyle w:val="Compact"/>
                    <w:spacing w:before="36" w:after="36"/>
                    <w:jc w:val="center"/>
                    <w:rPr/>
                  </w:pPr>
                  <w:r>
                    <w:rPr/>
                    <w:t>10.0</w:t>
                  </w:r>
                </w:p>
              </w:tc>
              <w:tc>
                <w:tcPr>
                  <w:tcW w:w="1016" w:type="dxa"/>
                  <w:tcBorders>
                    <w:top w:val="nil"/>
                    <w:bottom w:val="nil"/>
                  </w:tcBorders>
                  <w:vAlign w:val="center"/>
                </w:tcPr>
                <w:p>
                  <w:pPr>
                    <w:pStyle w:val="Compact"/>
                    <w:spacing w:before="36" w:after="36"/>
                    <w:jc w:val="center"/>
                    <w:rPr/>
                  </w:pPr>
                  <w:r>
                    <w:rPr/>
                    <w:t>19.0</w:t>
                  </w:r>
                </w:p>
              </w:tc>
              <w:tc>
                <w:tcPr>
                  <w:tcW w:w="1016" w:type="dxa"/>
                  <w:tcBorders>
                    <w:top w:val="nil"/>
                    <w:bottom w:val="nil"/>
                  </w:tcBorders>
                  <w:vAlign w:val="center"/>
                </w:tcPr>
                <w:p>
                  <w:pPr>
                    <w:pStyle w:val="Compact"/>
                    <w:spacing w:before="36" w:after="36"/>
                    <w:jc w:val="center"/>
                    <w:rPr/>
                  </w:pPr>
                  <w:r>
                    <w:rPr/>
                    <w:t>1.00</w:t>
                  </w:r>
                </w:p>
              </w:tc>
            </w:tr>
            <w:tr>
              <w:trPr/>
              <w:tc>
                <w:tcPr>
                  <w:tcW w:w="1013" w:type="dxa"/>
                  <w:tcBorders>
                    <w:top w:val="nil"/>
                    <w:bottom w:val="nil"/>
                  </w:tcBorders>
                  <w:vAlign w:val="center"/>
                </w:tcPr>
                <w:p>
                  <w:pPr>
                    <w:pStyle w:val="Compact"/>
                    <w:spacing w:before="36" w:after="36"/>
                    <w:jc w:val="center"/>
                    <w:rPr/>
                  </w:pPr>
                  <w:r>
                    <w:rPr/>
                    <w:t>2-step Lookahead</w:t>
                  </w:r>
                </w:p>
              </w:tc>
              <w:tc>
                <w:tcPr>
                  <w:tcW w:w="1016" w:type="dxa"/>
                  <w:tcBorders>
                    <w:top w:val="nil"/>
                    <w:bottom w:val="nil"/>
                  </w:tcBorders>
                  <w:vAlign w:val="center"/>
                </w:tcPr>
                <w:p>
                  <w:pPr>
                    <w:pStyle w:val="Compact"/>
                    <w:spacing w:before="36" w:after="36"/>
                    <w:jc w:val="center"/>
                    <w:rPr/>
                  </w:pPr>
                  <w:r>
                    <w:rPr/>
                    <w:t>$0.01</w:t>
                  </w:r>
                </w:p>
              </w:tc>
              <w:tc>
                <w:tcPr>
                  <w:tcW w:w="1015"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2.8</w:t>
                  </w:r>
                </w:p>
              </w:tc>
              <w:tc>
                <w:tcPr>
                  <w:tcW w:w="1020"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8.8</w:t>
                  </w:r>
                </w:p>
              </w:tc>
              <w:tc>
                <w:tcPr>
                  <w:tcW w:w="1016" w:type="dxa"/>
                  <w:tcBorders>
                    <w:top w:val="nil"/>
                    <w:bottom w:val="nil"/>
                  </w:tcBorders>
                  <w:vAlign w:val="center"/>
                </w:tcPr>
                <w:p>
                  <w:pPr>
                    <w:pStyle w:val="Compact"/>
                    <w:spacing w:before="36" w:after="36"/>
                    <w:jc w:val="center"/>
                    <w:rPr/>
                  </w:pPr>
                  <w:r>
                    <w:rPr/>
                    <w:t>0.0</w:t>
                  </w:r>
                </w:p>
              </w:tc>
              <w:tc>
                <w:tcPr>
                  <w:tcW w:w="1016" w:type="dxa"/>
                  <w:tcBorders>
                    <w:top w:val="nil"/>
                    <w:bottom w:val="nil"/>
                  </w:tcBorders>
                  <w:vAlign w:val="center"/>
                </w:tcPr>
                <w:p>
                  <w:pPr>
                    <w:pStyle w:val="Compact"/>
                    <w:spacing w:before="36" w:after="36"/>
                    <w:jc w:val="center"/>
                    <w:rPr/>
                  </w:pPr>
                  <w:r>
                    <w:rPr/>
                    <w:t>8.8</w:t>
                  </w:r>
                </w:p>
              </w:tc>
              <w:tc>
                <w:tcPr>
                  <w:tcW w:w="1016" w:type="dxa"/>
                  <w:tcBorders>
                    <w:top w:val="nil"/>
                    <w:bottom w:val="nil"/>
                  </w:tcBorders>
                  <w:vAlign w:val="center"/>
                </w:tcPr>
                <w:p>
                  <w:pPr>
                    <w:pStyle w:val="Compact"/>
                    <w:spacing w:before="36" w:after="36"/>
                    <w:jc w:val="center"/>
                    <w:rPr/>
                  </w:pPr>
                  <w:r>
                    <w:rPr/>
                    <w:t>1.00</w:t>
                  </w:r>
                </w:p>
              </w:tc>
            </w:tr>
            <w:tr>
              <w:trPr/>
              <w:tc>
                <w:tcPr>
                  <w:tcW w:w="1013" w:type="dxa"/>
                  <w:tcBorders>
                    <w:top w:val="nil"/>
                    <w:bottom w:val="nil"/>
                  </w:tcBorders>
                  <w:vAlign w:val="center"/>
                </w:tcPr>
                <w:p>
                  <w:pPr>
                    <w:pStyle w:val="Compact"/>
                    <w:spacing w:before="36" w:after="36"/>
                    <w:jc w:val="center"/>
                    <w:rPr/>
                  </w:pPr>
                  <w:r>
                    <w:rPr/>
                    <w:t>2-step Lookahead</w:t>
                  </w:r>
                </w:p>
              </w:tc>
              <w:tc>
                <w:tcPr>
                  <w:tcW w:w="1016" w:type="dxa"/>
                  <w:tcBorders>
                    <w:top w:val="nil"/>
                    <w:bottom w:val="nil"/>
                  </w:tcBorders>
                  <w:vAlign w:val="center"/>
                </w:tcPr>
                <w:p>
                  <w:pPr>
                    <w:pStyle w:val="Compact"/>
                    <w:spacing w:before="36" w:after="36"/>
                    <w:jc w:val="center"/>
                    <w:rPr/>
                  </w:pPr>
                  <w:r>
                    <w:rPr/>
                    <w:t>$0.10</w:t>
                  </w:r>
                </w:p>
              </w:tc>
              <w:tc>
                <w:tcPr>
                  <w:tcW w:w="1015"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2.0</w:t>
                  </w:r>
                </w:p>
              </w:tc>
              <w:tc>
                <w:tcPr>
                  <w:tcW w:w="1020"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8.0</w:t>
                  </w:r>
                </w:p>
              </w:tc>
              <w:tc>
                <w:tcPr>
                  <w:tcW w:w="1016" w:type="dxa"/>
                  <w:tcBorders>
                    <w:top w:val="nil"/>
                    <w:bottom w:val="nil"/>
                  </w:tcBorders>
                  <w:vAlign w:val="center"/>
                </w:tcPr>
                <w:p>
                  <w:pPr>
                    <w:pStyle w:val="Compact"/>
                    <w:spacing w:before="36" w:after="36"/>
                    <w:jc w:val="center"/>
                    <w:rPr/>
                  </w:pPr>
                  <w:r>
                    <w:rPr/>
                    <w:t>0.0</w:t>
                  </w:r>
                </w:p>
              </w:tc>
              <w:tc>
                <w:tcPr>
                  <w:tcW w:w="1016" w:type="dxa"/>
                  <w:tcBorders>
                    <w:top w:val="nil"/>
                    <w:bottom w:val="nil"/>
                  </w:tcBorders>
                  <w:vAlign w:val="center"/>
                </w:tcPr>
                <w:p>
                  <w:pPr>
                    <w:pStyle w:val="Compact"/>
                    <w:spacing w:before="36" w:after="36"/>
                    <w:jc w:val="center"/>
                    <w:rPr/>
                  </w:pPr>
                  <w:r>
                    <w:rPr/>
                    <w:t>8.0</w:t>
                  </w:r>
                </w:p>
              </w:tc>
              <w:tc>
                <w:tcPr>
                  <w:tcW w:w="1016" w:type="dxa"/>
                  <w:tcBorders>
                    <w:top w:val="nil"/>
                    <w:bottom w:val="nil"/>
                  </w:tcBorders>
                  <w:vAlign w:val="center"/>
                </w:tcPr>
                <w:p>
                  <w:pPr>
                    <w:pStyle w:val="Compact"/>
                    <w:spacing w:before="36" w:after="36"/>
                    <w:jc w:val="center"/>
                    <w:rPr/>
                  </w:pPr>
                  <w:r>
                    <w:rPr/>
                    <w:t>1.00</w:t>
                  </w:r>
                </w:p>
              </w:tc>
            </w:tr>
            <w:tr>
              <w:trPr/>
              <w:tc>
                <w:tcPr>
                  <w:tcW w:w="1013" w:type="dxa"/>
                  <w:tcBorders>
                    <w:top w:val="nil"/>
                    <w:bottom w:val="nil"/>
                  </w:tcBorders>
                  <w:vAlign w:val="center"/>
                </w:tcPr>
                <w:p>
                  <w:pPr>
                    <w:pStyle w:val="Compact"/>
                    <w:spacing w:before="36" w:after="36"/>
                    <w:jc w:val="center"/>
                    <w:rPr/>
                  </w:pPr>
                  <w:r>
                    <w:rPr/>
                    <w:t>2-step Lookahead</w:t>
                  </w:r>
                </w:p>
              </w:tc>
              <w:tc>
                <w:tcPr>
                  <w:tcW w:w="1016" w:type="dxa"/>
                  <w:tcBorders>
                    <w:top w:val="nil"/>
                    <w:bottom w:val="nil"/>
                  </w:tcBorders>
                  <w:vAlign w:val="center"/>
                </w:tcPr>
                <w:p>
                  <w:pPr>
                    <w:pStyle w:val="Compact"/>
                    <w:spacing w:before="36" w:after="36"/>
                    <w:jc w:val="center"/>
                    <w:rPr/>
                  </w:pPr>
                  <w:r>
                    <w:rPr/>
                    <w:t>$1.00</w:t>
                  </w:r>
                </w:p>
              </w:tc>
              <w:tc>
                <w:tcPr>
                  <w:tcW w:w="1015"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1.0</w:t>
                  </w:r>
                </w:p>
              </w:tc>
              <w:tc>
                <w:tcPr>
                  <w:tcW w:w="1020" w:type="dxa"/>
                  <w:tcBorders>
                    <w:top w:val="nil"/>
                    <w:bottom w:val="nil"/>
                  </w:tcBorders>
                  <w:vAlign w:val="center"/>
                </w:tcPr>
                <w:p>
                  <w:pPr>
                    <w:pStyle w:val="Compact"/>
                    <w:spacing w:before="36" w:after="36"/>
                    <w:jc w:val="center"/>
                    <w:rPr/>
                  </w:pPr>
                  <w:r>
                    <w:rPr/>
                    <w:t>3.0</w:t>
                  </w:r>
                </w:p>
              </w:tc>
              <w:tc>
                <w:tcPr>
                  <w:tcW w:w="1016" w:type="dxa"/>
                  <w:tcBorders>
                    <w:top w:val="nil"/>
                    <w:bottom w:val="nil"/>
                  </w:tcBorders>
                  <w:vAlign w:val="center"/>
                </w:tcPr>
                <w:p>
                  <w:pPr>
                    <w:pStyle w:val="Compact"/>
                    <w:spacing w:before="36" w:after="36"/>
                    <w:jc w:val="center"/>
                    <w:rPr/>
                  </w:pPr>
                  <w:r>
                    <w:rPr/>
                    <w:t>7.0</w:t>
                  </w:r>
                </w:p>
              </w:tc>
              <w:tc>
                <w:tcPr>
                  <w:tcW w:w="1016" w:type="dxa"/>
                  <w:tcBorders>
                    <w:top w:val="nil"/>
                    <w:bottom w:val="nil"/>
                  </w:tcBorders>
                  <w:vAlign w:val="center"/>
                </w:tcPr>
                <w:p>
                  <w:pPr>
                    <w:pStyle w:val="Compact"/>
                    <w:spacing w:before="36" w:after="36"/>
                    <w:jc w:val="center"/>
                    <w:rPr/>
                  </w:pPr>
                  <w:r>
                    <w:rPr/>
                    <w:t>0.0</w:t>
                  </w:r>
                </w:p>
              </w:tc>
              <w:tc>
                <w:tcPr>
                  <w:tcW w:w="1016" w:type="dxa"/>
                  <w:tcBorders>
                    <w:top w:val="nil"/>
                    <w:bottom w:val="nil"/>
                  </w:tcBorders>
                  <w:vAlign w:val="center"/>
                </w:tcPr>
                <w:p>
                  <w:pPr>
                    <w:pStyle w:val="Compact"/>
                    <w:spacing w:before="36" w:after="36"/>
                    <w:jc w:val="center"/>
                    <w:rPr/>
                  </w:pPr>
                  <w:r>
                    <w:rPr/>
                    <w:t>7.0</w:t>
                  </w:r>
                </w:p>
              </w:tc>
              <w:tc>
                <w:tcPr>
                  <w:tcW w:w="1016" w:type="dxa"/>
                  <w:tcBorders>
                    <w:top w:val="nil"/>
                    <w:bottom w:val="nil"/>
                  </w:tcBorders>
                  <w:vAlign w:val="center"/>
                </w:tcPr>
                <w:p>
                  <w:pPr>
                    <w:pStyle w:val="Compact"/>
                    <w:spacing w:before="36" w:after="36"/>
                    <w:jc w:val="center"/>
                    <w:rPr/>
                  </w:pPr>
                  <w:r>
                    <w:rPr/>
                    <w:t>1.00</w:t>
                  </w:r>
                </w:p>
              </w:tc>
            </w:tr>
            <w:tr>
              <w:trPr/>
              <w:tc>
                <w:tcPr>
                  <w:tcW w:w="1013" w:type="dxa"/>
                  <w:tcBorders>
                    <w:top w:val="nil"/>
                  </w:tcBorders>
                  <w:vAlign w:val="center"/>
                </w:tcPr>
                <w:p>
                  <w:pPr>
                    <w:pStyle w:val="Compact"/>
                    <w:spacing w:before="36" w:after="36"/>
                    <w:jc w:val="center"/>
                    <w:rPr/>
                  </w:pPr>
                  <w:r>
                    <w:rPr/>
                    <w:t>2-step Lookahead</w:t>
                  </w:r>
                </w:p>
              </w:tc>
              <w:tc>
                <w:tcPr>
                  <w:tcW w:w="1016" w:type="dxa"/>
                  <w:tcBorders>
                    <w:top w:val="nil"/>
                  </w:tcBorders>
                  <w:vAlign w:val="center"/>
                </w:tcPr>
                <w:p>
                  <w:pPr>
                    <w:pStyle w:val="Compact"/>
                    <w:spacing w:before="36" w:after="36"/>
                    <w:jc w:val="center"/>
                    <w:rPr/>
                  </w:pPr>
                  <w:r>
                    <w:rPr/>
                    <w:t>$10.00</w:t>
                  </w:r>
                </w:p>
              </w:tc>
              <w:tc>
                <w:tcPr>
                  <w:tcW w:w="1015" w:type="dxa"/>
                  <w:tcBorders>
                    <w:top w:val="nil"/>
                  </w:tcBorders>
                  <w:vAlign w:val="center"/>
                </w:tcPr>
                <w:p>
                  <w:pPr>
                    <w:pStyle w:val="Compact"/>
                    <w:spacing w:before="36" w:after="36"/>
                    <w:jc w:val="center"/>
                    <w:rPr/>
                  </w:pPr>
                  <w:r>
                    <w:rPr/>
                    <w:t>0.0</w:t>
                  </w:r>
                </w:p>
              </w:tc>
              <w:tc>
                <w:tcPr>
                  <w:tcW w:w="1016" w:type="dxa"/>
                  <w:tcBorders>
                    <w:top w:val="nil"/>
                  </w:tcBorders>
                  <w:vAlign w:val="center"/>
                </w:tcPr>
                <w:p>
                  <w:pPr>
                    <w:pStyle w:val="Compact"/>
                    <w:spacing w:before="36" w:after="36"/>
                    <w:jc w:val="center"/>
                    <w:rPr/>
                  </w:pPr>
                  <w:r>
                    <w:rPr/>
                    <w:t>0.0</w:t>
                  </w:r>
                </w:p>
              </w:tc>
              <w:tc>
                <w:tcPr>
                  <w:tcW w:w="1020" w:type="dxa"/>
                  <w:tcBorders>
                    <w:top w:val="nil"/>
                  </w:tcBorders>
                  <w:vAlign w:val="center"/>
                </w:tcPr>
                <w:p>
                  <w:pPr>
                    <w:pStyle w:val="Compact"/>
                    <w:spacing w:before="36" w:after="36"/>
                    <w:jc w:val="center"/>
                    <w:rPr/>
                  </w:pPr>
                  <w:r>
                    <w:rPr/>
                    <w:t>1.4</w:t>
                  </w:r>
                </w:p>
              </w:tc>
              <w:tc>
                <w:tcPr>
                  <w:tcW w:w="1016" w:type="dxa"/>
                  <w:tcBorders>
                    <w:top w:val="nil"/>
                  </w:tcBorders>
                  <w:vAlign w:val="center"/>
                </w:tcPr>
                <w:p>
                  <w:pPr>
                    <w:pStyle w:val="Compact"/>
                    <w:spacing w:before="36" w:after="36"/>
                    <w:jc w:val="center"/>
                    <w:rPr/>
                  </w:pPr>
                  <w:r>
                    <w:rPr/>
                    <w:t>1.4</w:t>
                  </w:r>
                </w:p>
              </w:tc>
              <w:tc>
                <w:tcPr>
                  <w:tcW w:w="1016" w:type="dxa"/>
                  <w:tcBorders>
                    <w:top w:val="nil"/>
                  </w:tcBorders>
                  <w:vAlign w:val="center"/>
                </w:tcPr>
                <w:p>
                  <w:pPr>
                    <w:pStyle w:val="Compact"/>
                    <w:spacing w:before="36" w:after="36"/>
                    <w:jc w:val="center"/>
                    <w:rPr/>
                  </w:pPr>
                  <w:r>
                    <w:rPr/>
                    <w:t>0.0</w:t>
                  </w:r>
                </w:p>
              </w:tc>
              <w:tc>
                <w:tcPr>
                  <w:tcW w:w="1016" w:type="dxa"/>
                  <w:tcBorders>
                    <w:top w:val="nil"/>
                  </w:tcBorders>
                  <w:vAlign w:val="center"/>
                </w:tcPr>
                <w:p>
                  <w:pPr>
                    <w:pStyle w:val="Compact"/>
                    <w:spacing w:before="36" w:after="36"/>
                    <w:jc w:val="center"/>
                    <w:rPr/>
                  </w:pPr>
                  <w:r>
                    <w:rPr/>
                    <w:t>1.4</w:t>
                  </w:r>
                </w:p>
              </w:tc>
              <w:tc>
                <w:tcPr>
                  <w:tcW w:w="1016" w:type="dxa"/>
                  <w:tcBorders>
                    <w:top w:val="nil"/>
                  </w:tcBorders>
                  <w:vAlign w:val="center"/>
                </w:tcPr>
                <w:p>
                  <w:pPr>
                    <w:pStyle w:val="Compact"/>
                    <w:spacing w:before="36" w:after="36"/>
                    <w:jc w:val="center"/>
                    <w:rPr/>
                  </w:pPr>
                  <w:r>
                    <w:rPr/>
                    <w:t>0.40</w:t>
                  </w:r>
                  <w:bookmarkStart w:id="133" w:name="apptbl-expectimax-study2"/>
                  <w:bookmarkEnd w:id="133"/>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100</m:t>
        </m:r>
      </m:oMath>
      <w:r>
        <w:rPr/>
        <w:t xml:space="preserve"> independent simulations per cell. Ground truth realization: Coffee C ($8.00, 0%, 8 oz), Coffee D ($15.00, 20%, 12 oz), Coffee E ($10.00, 0%, 10.9 oz). Choice optimality is coded 1 if Coffee E is selected.</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Compact"/>
              <w:spacing w:before="36" w:after="36"/>
              <w:jc w:val="center"/>
              <w:rPr/>
            </w:pPr>
            <w:bookmarkStart w:id="134" w:name="appfig-expectimax-study2"/>
            <w:r>
              <w:rPr/>
              <w:drawing>
                <wp:inline distT="0" distB="0" distL="0" distR="0">
                  <wp:extent cx="5943600" cy="178308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3"/>
                          <a:stretch>
                            <a:fillRect/>
                          </a:stretch>
                        </pic:blipFill>
                        <pic:spPr bwMode="auto">
                          <a:xfrm>
                            <a:off x="0" y="0"/>
                            <a:ext cx="5943600" cy="1783080"/>
                          </a:xfrm>
                          <a:prstGeom prst="rect">
                            <a:avLst/>
                          </a:prstGeom>
                          <a:noFill/>
                        </pic:spPr>
                      </pic:pic>
                    </a:graphicData>
                  </a:graphic>
                </wp:inline>
              </w:drawing>
            </w:r>
          </w:p>
          <w:p>
            <w:pPr>
              <w:pStyle w:val="ImageCaption"/>
              <w:spacing w:before="200" w:after="120"/>
              <w:jc w:val="left"/>
              <w:rPr/>
            </w:pPr>
            <w:r>
              <w:rPr/>
              <w:t>Figure W2: Promotional information acquisition and choice optimality across acquisition costs compared against normative Expectimax benchmarks (Study 2 Tool-Lab).</w:t>
            </w:r>
            <w:bookmarkEnd w:id="134"/>
          </w:p>
        </w:tc>
      </w:tr>
    </w:tbl>
    <w:p>
      <w:pPr>
        <w:pStyle w:val="BodyText"/>
        <w:rPr/>
      </w:pPr>
      <w:r>
        <w:rPr>
          <w:i/>
          <w:iCs/>
        </w:rPr>
        <w:t>Note.</w:t>
      </w:r>
      <w:r>
        <w:rPr/>
        <w:t xml:space="preserve"> Left panel: Mean total information acquisitions. Middle panel: Mean diagnostic acquisitions (list price, discount percentage, weight; maximum 9). Right panel: Probability of selecting the optimal alternative (</w:t>
      </w:r>
      <w:r>
        <w:rPr>
          <w:i/>
          <w:iCs/>
        </w:rPr>
        <w:t>Coffee E</w:t>
      </w:r>
      <w:r>
        <w:rPr/>
        <w:t xml:space="preserve">: </w:t>
      </w:r>
      <w:r>
        <w:rPr/>
      </w:r>
      <m:oMath xmlns:m="http://schemas.openxmlformats.org/officeDocument/2006/math">
        <m:r>
          <w:rPr>
            <w:rFonts w:ascii="Cambria Math" w:hAnsi="Cambria Math"/>
          </w:rPr>
          <m:t xml:space="preserve">10.00</m:t>
        </m:r>
        <m:r>
          <w:rPr>
            <w:rFonts w:ascii="Cambria Math" w:hAnsi="Cambria Math"/>
          </w:rPr>
          <m:t xml:space="preserve">,</m:t>
        </m:r>
        <m:r>
          <w:rPr>
            <w:rFonts w:ascii="Cambria Math" w:hAnsi="Cambria Math"/>
          </w:rPr>
          <m:t xml:space="preserve">0</m:t>
        </m:r>
        <m:r>
          <m:rPr>
            <m:lit/>
            <m:nor/>
          </m:rPr>
          <w:rPr>
            <w:rFonts w:ascii="Cambria Math" w:hAnsi="Cambria Math"/>
          </w:rPr>
          <m:t xml:space="preserve">%</m:t>
        </m:r>
        <m:r>
          <w:rPr>
            <w:rFonts w:ascii="Cambria Math" w:hAnsi="Cambria Math"/>
          </w:rPr>
          <m:t xml:space="preserve">,</m:t>
        </m:r>
        <m:r>
          <w:rPr>
            <w:rFonts w:ascii="Cambria Math" w:hAnsi="Cambria Math"/>
          </w:rPr>
          <m:t xml:space="preserve">10.9</m:t>
        </m:r>
        <m:r>
          <w:rPr>
            <w:rFonts w:ascii="Cambria Math" w:hAnsi="Cambria Math"/>
          </w:rPr>
          <m:t xml:space="preserve">o</m:t>
        </m:r>
        <m:r>
          <w:rPr>
            <w:rFonts w:ascii="Cambria Math" w:hAnsi="Cambria Math"/>
          </w:rPr>
          <m:t xml:space="preserve">z</m:t>
        </m:r>
        <m:r>
          <w:rPr>
            <w:rFonts w:ascii="Cambria Math" w:hAnsi="Cambria Math"/>
          </w:rPr>
          <m:t xml:space="preserve">,</m:t>
        </m:r>
        <m:r>
          <w:rPr>
            <w:rFonts w:ascii="Cambria Math" w:hAnsi="Cambria Math"/>
          </w:rPr>
          <m:t xml:space="preserve">1.09</m:t>
        </m:r>
        <m:r>
          <w:rPr>
            <w:rFonts w:ascii="Cambria Math" w:hAnsi="Cambria Math"/>
          </w:rPr>
          <m:t xml:space="preserve">o</m:t>
        </m:r>
        <m:f>
          <m:fPr>
            <m:type m:val="lin"/>
          </m:fPr>
          <m:num>
            <m:r>
              <w:rPr>
                <w:rFonts w:ascii="Cambria Math" w:hAnsi="Cambria Math"/>
              </w:rPr>
              <m:t xml:space="preserve">z</m:t>
            </m:r>
          </m:num>
          <m:den/>
        </m:f>
      </m:oMath>
      <w:r>
        <w:rPr/>
        <w:t>). Across all panels, acquisition tool cost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0.00</m:t>
        </m:r>
        <m:r>
          <w:rPr>
            <w:rFonts w:ascii="Cambria Math" w:hAnsi="Cambria Math"/>
          </w:rPr>
          <m:t xml:space="preserve">,</m:t>
        </m:r>
        <m:r>
          <w:rPr>
            <w:rFonts w:ascii="Cambria Math" w:hAnsi="Cambria Math"/>
          </w:rPr>
          <m:t xml:space="preserve">$</m:t>
        </m:r>
        <m:r>
          <w:rPr>
            <w:rFonts w:ascii="Cambria Math" w:hAnsi="Cambria Math"/>
          </w:rPr>
          <m:t xml:space="preserve">0.01</m:t>
        </m:r>
        <m:r>
          <w:rPr>
            <w:rFonts w:ascii="Cambria Math" w:hAnsi="Cambria Math"/>
          </w:rPr>
          <m:t xml:space="preserve">,</m:t>
        </m:r>
        <m:r>
          <w:rPr>
            <w:rFonts w:ascii="Cambria Math" w:hAnsi="Cambria Math"/>
          </w:rPr>
          <m:t xml:space="preserve">$</m:t>
        </m:r>
        <m:r>
          <w:rPr>
            <w:rFonts w:ascii="Cambria Math" w:hAnsi="Cambria Math"/>
          </w:rPr>
          <m:t xml:space="preserve">0.10</m:t>
        </m:r>
        <m:r>
          <w:rPr>
            <w:rFonts w:ascii="Cambria Math" w:hAnsi="Cambria Math"/>
          </w:rPr>
          <m:t xml:space="preserve">,</m:t>
        </m:r>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m:t>
        </m:r>
        <m:r>
          <w:rPr>
            <w:rFonts w:ascii="Cambria Math" w:hAnsi="Cambria Math"/>
          </w:rPr>
          <m:t xml:space="preserve">10.00</m:t>
        </m:r>
        <m:r>
          <w:rPr>
            <w:rFonts w:ascii="Cambria Math" w:hAnsi="Cambria Math"/>
          </w:rPr>
          <m:t xml:space="preserve">}</m:t>
        </m:r>
      </m:oMath>
      <w:r>
        <w:rPr/>
        <w:t xml:space="preserve">) is plotted on the horizontal axis using a symmetric logarithmic scale. Benchmark policies are plotted in black (2-step Lookahead, Depth 2) and gray (Myopic, Depth 1). Empirical LLM trajectories for seven commercially deployed LLMs from three providers are plotted in colored solid lines. Error bands represent 95% confidence intervals across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100</m:t>
        </m:r>
      </m:oMath>
      <w:r>
        <w:rPr/>
        <w:t xml:space="preserve"> independent trials per LLM and benchmark cell.</w:t>
      </w:r>
    </w:p>
    <w:p>
      <w:pPr>
        <w:pStyle w:val="BodyText"/>
        <w:rPr/>
      </w:pPr>
      <w:r>
        <w:rPr/>
        <w:t>When cost is low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0.10</m:t>
        </m:r>
      </m:oMath>
      <w:r>
        <w:rPr/>
        <w:t xml:space="preserve">), the optimal policy conducts broad search across diagnostic attributes, acquiring list prices and weights while reducing discount percentage acquisitions. At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10.00</m:t>
        </m:r>
      </m:oMath>
      <w:r>
        <w:rPr/>
        <w:t>, however, the normative policy reduces to 1.2 to 1.4 total tool calls. Acquisitions are at most one or two weight cells, and zero list prices and zero discount percentages.</w:t>
      </w:r>
    </w:p>
    <w:p>
      <w:pPr>
        <w:pStyle w:val="BodyText"/>
        <w:rPr/>
      </w:pPr>
      <w:r>
        <w:rPr/>
        <w:t xml:space="preserve">The reason for this reduction is that the list price for instant coffee products is between </w:t>
      </w:r>
      <w:r>
        <w:rPr/>
      </w:r>
      <m:oMath xmlns:m="http://schemas.openxmlformats.org/officeDocument/2006/math">
        <m:r>
          <w:rPr>
            <w:rFonts w:ascii="Cambria Math" w:hAnsi="Cambria Math"/>
          </w:rPr>
          <m:t xml:space="preserve">$</m:t>
        </m:r>
        <m:r>
          <w:rPr>
            <w:rFonts w:ascii="Cambria Math" w:hAnsi="Cambria Math"/>
          </w:rPr>
          <m:t xml:space="preserve">8.00</m:t>
        </m:r>
      </m:oMath>
      <w:r>
        <w:rPr/>
        <w:t xml:space="preserve"> and </w:t>
      </w:r>
      <w:r>
        <w:rPr/>
      </w:r>
      <m:oMath xmlns:m="http://schemas.openxmlformats.org/officeDocument/2006/math">
        <m:r>
          <w:rPr>
            <w:rFonts w:ascii="Cambria Math" w:hAnsi="Cambria Math"/>
          </w:rPr>
          <m:t xml:space="preserve">$</m:t>
        </m:r>
        <m:r>
          <w:rPr>
            <w:rFonts w:ascii="Cambria Math" w:hAnsi="Cambria Math"/>
          </w:rPr>
          <m:t xml:space="preserve">15.00</m:t>
        </m:r>
      </m:oMath>
      <w:r>
        <w:rPr/>
        <w:t xml:space="preserve">. A tool call costing </w:t>
      </w:r>
      <w:r>
        <w:rPr/>
      </w:r>
      <m:oMath xmlns:m="http://schemas.openxmlformats.org/officeDocument/2006/math">
        <m:r>
          <w:rPr>
            <w:rFonts w:ascii="Cambria Math" w:hAnsi="Cambria Math"/>
          </w:rPr>
          <m:t xml:space="preserve">$</m:t>
        </m:r>
        <m:r>
          <w:rPr>
            <w:rFonts w:ascii="Cambria Math" w:hAnsi="Cambria Math"/>
          </w:rPr>
          <m:t xml:space="preserve">10.00</m:t>
        </m:r>
      </m:oMath>
      <w:r>
        <w:rPr/>
        <w:t xml:space="preserve"> matches or exceeds the total purchase price of the product itself (Coffee C = </w:t>
      </w:r>
      <w:r>
        <w:rPr/>
      </w:r>
      <m:oMath xmlns:m="http://schemas.openxmlformats.org/officeDocument/2006/math">
        <m:r>
          <w:rPr>
            <w:rFonts w:ascii="Cambria Math" w:hAnsi="Cambria Math"/>
          </w:rPr>
          <m:t xml:space="preserve">$</m:t>
        </m:r>
        <m:r>
          <w:rPr>
            <w:rFonts w:ascii="Cambria Math" w:hAnsi="Cambria Math"/>
          </w:rPr>
          <m:t xml:space="preserve">8.00</m:t>
        </m:r>
      </m:oMath>
      <w:r>
        <w:rPr/>
        <w:t xml:space="preserve"> per bag; Coffee E = </w:t>
      </w:r>
      <w:r>
        <w:rPr/>
      </w:r>
      <m:oMath xmlns:m="http://schemas.openxmlformats.org/officeDocument/2006/math">
        <m:r>
          <w:rPr>
            <w:rFonts w:ascii="Cambria Math" w:hAnsi="Cambria Math"/>
          </w:rPr>
          <m:t xml:space="preserve">$</m:t>
        </m:r>
        <m:r>
          <w:rPr>
            <w:rFonts w:ascii="Cambria Math" w:hAnsi="Cambria Math"/>
          </w:rPr>
          <m:t xml:space="preserve">10.00</m:t>
        </m:r>
      </m:oMath>
      <w:r>
        <w:rPr/>
        <w:t xml:space="preserve"> per bag). Incurring multiple </w:t>
      </w:r>
      <w:r>
        <w:rPr/>
      </w:r>
      <m:oMath xmlns:m="http://schemas.openxmlformats.org/officeDocument/2006/math">
        <m:r>
          <w:rPr>
            <w:rFonts w:ascii="Cambria Math" w:hAnsi="Cambria Math"/>
          </w:rPr>
          <m:t xml:space="preserve">$</m:t>
        </m:r>
        <m:r>
          <w:rPr>
            <w:rFonts w:ascii="Cambria Math" w:hAnsi="Cambria Math"/>
          </w:rPr>
          <m:t xml:space="preserve">10.00</m:t>
        </m:r>
      </m:oMath>
      <w:r>
        <w:rPr/>
        <w:t xml:space="preserve"> penalties to uncover percentage discounts to save </w:t>
      </w:r>
      <w:r>
        <w:rPr/>
      </w:r>
      <m:oMath xmlns:m="http://schemas.openxmlformats.org/officeDocument/2006/math">
        <m:r>
          <w:rPr>
            <w:rFonts w:ascii="Cambria Math" w:hAnsi="Cambria Math"/>
          </w:rPr>
          <m:t xml:space="preserve">$</m:t>
        </m:r>
        <m:r>
          <w:rPr>
            <w:rFonts w:ascii="Cambria Math" w:hAnsi="Cambria Math"/>
          </w:rPr>
          <m:t xml:space="preserve">1.00</m:t>
        </m:r>
      </m:oMath>
      <w:r>
        <w:rPr/>
        <w:t xml:space="preserve"> to </w:t>
      </w:r>
      <w:r>
        <w:rPr/>
      </w:r>
      <m:oMath xmlns:m="http://schemas.openxmlformats.org/officeDocument/2006/math">
        <m:r>
          <w:rPr>
            <w:rFonts w:ascii="Cambria Math" w:hAnsi="Cambria Math"/>
          </w:rPr>
          <m:t xml:space="preserve">$</m:t>
        </m:r>
        <m:r>
          <w:rPr>
            <w:rFonts w:ascii="Cambria Math" w:hAnsi="Cambria Math"/>
          </w:rPr>
          <m:t xml:space="preserve">2.00</m:t>
        </m:r>
      </m:oMath>
      <w:r>
        <w:rPr/>
        <w:t xml:space="preserve"> across 5 bags guarantees financial loss.</w:t>
      </w:r>
      <w:bookmarkEnd w:id="132"/>
    </w:p>
    <w:p>
      <w:pPr>
        <w:pStyle w:val="Heading2"/>
        <w:rPr/>
      </w:pPr>
      <w:bookmarkStart w:id="135" w:name="X0e54ed48dba35e144a3ba752d4f629a447e614c"/>
      <w:r>
        <w:rPr/>
        <w:t>Normative benchmark - assigned information states</w:t>
      </w:r>
    </w:p>
    <w:p>
      <w:pPr>
        <w:pStyle w:val="FirstParagraph"/>
        <w:rPr/>
      </w:pPr>
      <w:r>
        <w:rPr/>
        <w:t xml:space="preserve">The exogenously assigned states of Web Appendix I present the surrogate consumer with a fixed subset of cells and no means of acquiring the remainder. The legal action space at such a state contains only choose actions, since </w:t>
      </w:r>
      <w:r>
        <w:rPr/>
      </w:r>
      <m:oMath xmlns:m="http://schemas.openxmlformats.org/officeDocument/2006/math">
        <m:sSub>
          <m:e>
            <m:r>
              <w:rPr>
                <w:rFonts w:ascii="Cambria Math" w:hAnsi="Cambria Math"/>
              </w:rPr>
              <m:t xml:space="preserve">A</m:t>
            </m:r>
          </m:e>
          <m:sub>
            <m:r>
              <m:rPr>
                <m:lit/>
                <m:nor/>
              </m:rPr>
              <w:rPr>
                <w:rFonts w:ascii="Cambria Math" w:hAnsi="Cambria Math"/>
              </w:rPr>
              <m:t xml:space="preserve">reveal</m:t>
            </m:r>
          </m:sub>
        </m:sSub>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m:t>
        </m:r>
      </m:oMath>
      <w:r>
        <w:rPr/>
        <w:t xml:space="preserve"> by construction. The indicator on the reveal branch of the Bellman recursion is therefore never satisfied, and</w:t>
      </w:r>
    </w:p>
    <w:p>
      <w:pPr>
        <w:pStyle w:val="BodyText"/>
        <w:jc w:val="center"/>
        <w:rPr/>
      </w:pPr>
      <w:r>
        <w:rPr/>
      </w:r>
      <m:oMathPara xmlns:m="http://schemas.openxmlformats.org/officeDocument/2006/math">
        <m:oMathParaPr>
          <m:jc m:val="center"/>
        </m:oMathParaPr>
        <m:oMath>
          <m:r>
            <w:rPr>
              <w:rFonts w:ascii="Cambria Math" w:hAnsi="Cambria Math"/>
            </w:rPr>
            <m:t xml:space="preserve">V</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m:t>
          </m:r>
          <m:limLow>
            <m:e>
              <m:r>
                <w:rPr>
                  <w:rFonts w:ascii="Cambria Math" w:hAnsi="Cambria Math"/>
                </w:rPr>
                <m:t xml:space="preserve">max</m:t>
              </m:r>
            </m:e>
            <m:lim>
              <m:r>
                <w:rPr>
                  <w:rFonts w:ascii="Cambria Math" w:hAnsi="Cambria Math"/>
                </w:rPr>
                <m:t xml:space="preserve">j</m:t>
              </m:r>
              <m:r>
                <w:rPr>
                  <w:rFonts w:ascii="Cambria Math" w:hAnsi="Cambria Math"/>
                </w:rPr>
                <m:t xml:space="preserve">∈</m:t>
              </m:r>
              <m:r>
                <w:rPr>
                  <w:rFonts w:ascii="Cambria Math" w:hAnsi="Cambria Math"/>
                </w:rPr>
                <m:t xml:space="preserve">J</m:t>
              </m:r>
            </m:lim>
          </m:limLow>
          <m:sSub>
            <m:e>
              <m:r>
                <w:rPr>
                  <w:rFonts w:ascii="Cambria Math" w:hAnsi="Cambria Math"/>
                </w:rPr>
                <m:t xml:space="preserve">U</m:t>
              </m:r>
            </m:e>
            <m:sub>
              <m:r>
                <m:rPr>
                  <m:lit/>
                  <m:nor/>
                </m:rPr>
                <w:rPr>
                  <w:rFonts w:ascii="Cambria Math" w:hAnsi="Cambria Math"/>
                </w:rPr>
                <m:t xml:space="preserve">choose</m:t>
              </m:r>
            </m:sub>
          </m:sSub>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s</m:t>
          </m:r>
          <m:r>
            <w:rPr>
              <w:rFonts w:ascii="Cambria Math" w:hAnsi="Cambria Math"/>
            </w:rPr>
            <m:t xml:space="preserve">)</m:t>
          </m:r>
        </m:oMath>
      </m:oMathPara>
    </w:p>
    <w:p>
      <w:pPr>
        <w:pStyle w:val="FirstParagraph"/>
        <w:rPr/>
      </w:pPr>
      <w:r>
        <w:rPr/>
        <w:t xml:space="preserve">for every </w:t>
      </w:r>
      <w:r>
        <w:rPr/>
      </w:r>
      <m:oMath xmlns:m="http://schemas.openxmlformats.org/officeDocument/2006/math">
        <m:r>
          <w:rPr>
            <w:rFonts w:ascii="Cambria Math" w:hAnsi="Cambria Math"/>
          </w:rPr>
          <m:t xml:space="preserve">d</m:t>
        </m:r>
      </m:oMath>
      <w:r>
        <w:rPr/>
        <w:t xml:space="preserve">. The value function is invariant to the planning horizon, and the myopic and 2-step lookahead policies coincide at every assigned state. The chance enumeration limit </w:t>
      </w:r>
      <w:r>
        <w:rPr/>
      </w:r>
      <m:oMath xmlns:m="http://schemas.openxmlformats.org/officeDocument/2006/math">
        <m:r>
          <w:rPr>
            <w:rFonts w:ascii="Cambria Math" w:hAnsi="Cambria Math"/>
          </w:rPr>
          <m:t xml:space="preserve">L</m:t>
        </m:r>
      </m:oMath>
      <w:r>
        <w:rPr/>
        <w:t xml:space="preserve"> is likewise inoperative, since it governs the quantization of outcomes at reveal branches only. We accordingly report a single normative choice per state rather than one per planning horizon.</w:t>
      </w:r>
    </w:p>
    <w:p>
      <w:pPr>
        <w:pStyle w:val="BodyText"/>
        <w:rPr/>
      </w:pPr>
      <w:r>
        <w:rPr/>
        <w:t xml:space="preserve">Because no inspections occur, </w:t>
      </w:r>
      <w:r>
        <w:rPr/>
      </w:r>
      <m:oMath xmlns:m="http://schemas.openxmlformats.org/officeDocument/2006/math">
        <m:sSub>
          <m:e>
            <m:r>
              <w:rPr>
                <w:rFonts w:ascii="Cambria Math" w:hAnsi="Cambria Math"/>
              </w:rPr>
              <m:t xml:space="preserve">C</m:t>
            </m:r>
          </m:e>
          <m:sub>
            <m:r>
              <m:rPr>
                <m:lit/>
                <m:nor/>
              </m:rPr>
              <w:rPr>
                <w:rFonts w:ascii="Cambria Math" w:hAnsi="Cambria Math"/>
              </w:rPr>
              <m:t xml:space="preserve">tool</m:t>
            </m:r>
          </m:sub>
        </m:sSub>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0</m:t>
        </m:r>
      </m:oMath>
      <w:r>
        <w:rPr/>
        <w:t xml:space="preserve"> at every assigned state. The terminal utility reduces to</w:t>
      </w:r>
    </w:p>
    <w:p>
      <w:pPr>
        <w:pStyle w:val="BodyText"/>
        <w:jc w:val="center"/>
        <w:rPr/>
      </w:pPr>
      <w:r>
        <w:rPr/>
      </w:r>
      <m:oMathPara xmlns:m="http://schemas.openxmlformats.org/officeDocument/2006/math">
        <m:oMathParaPr>
          <m:jc m:val="center"/>
        </m:oMathParaPr>
        <m:oMath>
          <m:sSub>
            <m:e>
              <m:r>
                <w:rPr>
                  <w:rFonts w:ascii="Cambria Math" w:hAnsi="Cambria Math"/>
                </w:rPr>
                <m:t xml:space="preserve">U</m:t>
              </m:r>
            </m:e>
            <m:sub>
              <m:r>
                <m:rPr>
                  <m:lit/>
                  <m:nor/>
                </m:rPr>
                <w:rPr>
                  <w:rFonts w:ascii="Cambria Math" w:hAnsi="Cambria Math"/>
                </w:rPr>
                <m:t xml:space="preserve">choose</m:t>
              </m:r>
            </m:sub>
          </m:sSub>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E</m:t>
          </m:r>
          <m:r>
            <w:rPr>
              <w:rFonts w:ascii="Cambria Math" w:hAnsi="Cambria Math"/>
            </w:rPr>
            <m:t xml:space="preserve">[</m:t>
          </m:r>
          <m:sSub>
            <m:e>
              <m:r>
                <w:rPr>
                  <w:rFonts w:ascii="Cambria Math" w:hAnsi="Cambria Math"/>
                </w:rPr>
                <m:t xml:space="preserve">P</m:t>
              </m:r>
            </m:e>
            <m:sub>
              <m:r>
                <w:rPr>
                  <w:rFonts w:ascii="Cambria Math" w:hAnsi="Cambria Math"/>
                </w:rPr>
                <m:t xml:space="preserve">j</m:t>
              </m:r>
            </m:sub>
          </m:sSub>
          <m:r>
            <m:rPr>
              <m:lit/>
              <m:nor/>
            </m:rP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E</m:t>
          </m:r>
          <m:d>
            <m:dPr>
              <m:begChr m:val="["/>
              <m:endChr m:val="]"/>
            </m:dPr>
            <m:e>
              <m:f>
                <m:num>
                  <m:r>
                    <w:rPr>
                      <w:rFonts w:ascii="Cambria Math" w:hAnsi="Cambria Math"/>
                    </w:rPr>
                    <m:t xml:space="preserve">1</m:t>
                  </m:r>
                </m:num>
                <m:den>
                  <m:sSub>
                    <m:e>
                      <m:r>
                        <w:rPr>
                          <w:rFonts w:ascii="Cambria Math" w:hAnsi="Cambria Math"/>
                        </w:rPr>
                        <m:t xml:space="preserve">W</m:t>
                      </m:r>
                    </m:e>
                    <m:sub>
                      <m:r>
                        <w:rPr>
                          <w:rFonts w:ascii="Cambria Math" w:hAnsi="Cambria Math"/>
                        </w:rPr>
                        <m:t xml:space="preserve">j</m:t>
                      </m:r>
                    </m:sub>
                  </m:sSub>
                </m:den>
              </m:f>
              <m:r>
                <m:rPr>
                  <m:lit/>
                  <m:nor/>
                </m:rPr>
                <w:rPr>
                  <w:rFonts w:ascii="Cambria Math" w:hAnsi="Cambria Math"/>
                </w:rPr>
                <m:t xml:space="preserve">|</m:t>
              </m:r>
              <m:r>
                <w:rPr>
                  <w:rFonts w:ascii="Cambria Math" w:hAnsi="Cambria Math"/>
                </w:rPr>
                <m:t xml:space="preserve">s</m:t>
              </m:r>
            </m:e>
          </m:d>
        </m:oMath>
      </m:oMathPara>
    </w:p>
    <w:p>
      <w:pPr>
        <w:pStyle w:val="FirstParagraph"/>
        <w:rPr/>
      </w:pPr>
      <w:r>
        <w:rPr/>
        <w:t xml:space="preserve">evaluated over the empirical priors of the preceding section. Where weight is revealed, </w:t>
      </w:r>
      <w:r>
        <w:rPr/>
      </w:r>
      <m:oMath xmlns:m="http://schemas.openxmlformats.org/officeDocument/2006/math">
        <m:r>
          <w:rPr>
            <w:rFonts w:ascii="Cambria Math" w:hAnsi="Cambria Math"/>
          </w:rPr>
          <m:t xml:space="preserve">E</m:t>
        </m:r>
        <m:r>
          <w:rPr>
            <w:rFonts w:ascii="Cambria Math" w:hAnsi="Cambria Math"/>
          </w:rPr>
          <m:t xml:space="preserve">[</m:t>
        </m:r>
        <m:f>
          <m:fPr>
            <m:type m:val="lin"/>
          </m:fPr>
          <m:num>
            <m:r>
              <w:rPr>
                <w:rFonts w:ascii="Cambria Math" w:hAnsi="Cambria Math"/>
              </w:rPr>
              <m:t xml:space="preserve">1</m:t>
            </m:r>
          </m:num>
          <m:den>
            <m:sSub>
              <m:e>
                <m:r>
                  <w:rPr>
                    <w:rFonts w:ascii="Cambria Math" w:hAnsi="Cambria Math"/>
                  </w:rPr>
                  <m:t xml:space="preserve">W</m:t>
                </m:r>
              </m:e>
              <m:sub>
                <m:r>
                  <w:rPr>
                    <w:rFonts w:ascii="Cambria Math" w:hAnsi="Cambria Math"/>
                  </w:rPr>
                  <m:t xml:space="preserve">j</m:t>
                </m:r>
              </m:sub>
            </m:sSub>
          </m:den>
        </m:f>
        <m:r>
          <m:rPr>
            <m:lit/>
            <m:nor/>
          </m:rP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f>
          <m:fPr>
            <m:type m:val="lin"/>
          </m:fPr>
          <m:num>
            <m:r>
              <w:rPr>
                <w:rFonts w:ascii="Cambria Math" w:hAnsi="Cambria Math"/>
              </w:rPr>
              <m:t xml:space="preserve">1</m:t>
            </m:r>
          </m:num>
          <m:den>
            <m:sSub>
              <m:e>
                <m:r>
                  <w:rPr>
                    <w:rFonts w:ascii="Cambria Math" w:hAnsi="Cambria Math"/>
                  </w:rPr>
                  <m:t xml:space="preserve">W</m:t>
                </m:r>
              </m:e>
              <m:sub>
                <m:r>
                  <w:rPr>
                    <w:rFonts w:ascii="Cambria Math" w:hAnsi="Cambria Math"/>
                  </w:rPr>
                  <m:t xml:space="preserve">j</m:t>
                </m:r>
              </m:sub>
            </m:sSub>
          </m:den>
        </m:f>
      </m:oMath>
      <w:r>
        <w:rPr/>
        <w:t xml:space="preserve">; where it is withheld, the expected inverse weight over the empirical domain is </w:t>
      </w:r>
      <w:r>
        <w:rPr/>
      </w:r>
      <m:oMath xmlns:m="http://schemas.openxmlformats.org/officeDocument/2006/math">
        <m:r>
          <w:rPr>
            <w:rFonts w:ascii="Cambria Math" w:hAnsi="Cambria Math"/>
          </w:rPr>
          <m:t xml:space="preserve">E</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W</m:t>
            </m:r>
          </m:den>
        </m:f>
        <m:r>
          <w:rPr>
            <w:rFonts w:ascii="Cambria Math" w:hAnsi="Cambria Math"/>
          </w:rPr>
          <m:t xml:space="preserve">]</m:t>
        </m:r>
        <m:r>
          <w:rPr>
            <w:rFonts w:ascii="Cambria Math" w:hAnsi="Cambria Math"/>
          </w:rPr>
          <m:t xml:space="preserve">=</m:t>
        </m:r>
        <m:r>
          <w:rPr>
            <w:rFonts w:ascii="Cambria Math" w:hAnsi="Cambria Math"/>
          </w:rPr>
          <m:t xml:space="preserve">0.400</m:t>
        </m:r>
      </m:oMath>
      <w:r>
        <w:rPr/>
        <w:t xml:space="preserve">, which is a common factor across alternatives and does not affect the ranking. Where the cents are withheld, </w:t>
      </w:r>
      <w:r>
        <w:rPr/>
      </w:r>
      <m:oMath xmlns:m="http://schemas.openxmlformats.org/officeDocument/2006/math">
        <m:r>
          <w:rPr>
            <w:rFonts w:ascii="Cambria Math" w:hAnsi="Cambria Math"/>
          </w:rPr>
          <m:t xml:space="preserve">E</m:t>
        </m:r>
        <m:r>
          <w:rPr>
            <w:rFonts w:ascii="Cambria Math" w:hAnsi="Cambria Math"/>
          </w:rPr>
          <m:t xml:space="preserve">[</m:t>
        </m:r>
        <m:r>
          <m:rPr>
            <m:lit/>
            <m:nor/>
          </m:rPr>
          <w:rPr>
            <w:rFonts w:ascii="Cambria Math" w:hAnsi="Cambria Math"/>
          </w:rPr>
          <m:t xml:space="preserve">Cents</m:t>
        </m:r>
        <m:r>
          <w:rPr>
            <w:rFonts w:ascii="Cambria Math" w:hAnsi="Cambria Math"/>
          </w:rPr>
          <m:t xml:space="preserve">]</m:t>
        </m:r>
        <m:r>
          <w:rPr>
            <w:rFonts w:ascii="Cambria Math" w:hAnsi="Cambria Math"/>
          </w:rPr>
          <m:t xml:space="preserve">=</m:t>
        </m:r>
        <m:r>
          <w:rPr>
            <w:rFonts w:ascii="Cambria Math" w:hAnsi="Cambria Math"/>
          </w:rPr>
          <m:t xml:space="preserve">52.93</m:t>
        </m:r>
        <m:r>
          <w:rPr>
            <w:rFonts w:ascii="Cambria Math" w:hAnsi="Cambria Math"/>
          </w:rPr>
          <m:t xml:space="preserve">¢</m:t>
        </m:r>
      </m:oMath>
      <w:r>
        <w:rPr/>
        <w:t xml:space="preserve"> enters both alternatives equally; where the discount is withheld, </w:t>
      </w:r>
      <w:r>
        <w:rPr/>
      </w:r>
      <m:oMath xmlns:m="http://schemas.openxmlformats.org/officeDocument/2006/math">
        <m:r>
          <w:rPr>
            <w:rFonts w:ascii="Cambria Math" w:hAnsi="Cambria Math"/>
          </w:rPr>
          <m:t xml:space="preserve">E</m:t>
        </m:r>
        <m:r>
          <w:rPr>
            <w:rFonts w:ascii="Cambria Math" w:hAnsi="Cambria Math"/>
          </w:rPr>
          <m:t xml:space="preserve">[</m:t>
        </m:r>
        <m:r>
          <m:rPr>
            <m:lit/>
            <m:nor/>
          </m:rPr>
          <w:rPr>
            <w:rFonts w:ascii="Cambria Math" w:hAnsi="Cambria Math"/>
          </w:rPr>
          <m:t xml:space="preserve">Discount</m:t>
        </m:r>
        <m:r>
          <w:rPr>
            <w:rFonts w:ascii="Cambria Math" w:hAnsi="Cambria Math"/>
          </w:rPr>
          <m:t xml:space="preserve">]</m:t>
        </m:r>
        <m:r>
          <w:rPr>
            <w:rFonts w:ascii="Cambria Math" w:hAnsi="Cambria Math"/>
          </w:rPr>
          <m:t xml:space="preserve">=</m:t>
        </m:r>
        <m:r>
          <w:rPr>
            <w:rFonts w:ascii="Cambria Math" w:hAnsi="Cambria Math"/>
          </w:rPr>
          <m:t xml:space="preserve">20.0</m:t>
        </m:r>
        <m:r>
          <m:rPr>
            <m:lit/>
            <m:nor/>
          </m:rPr>
          <w:rPr>
            <w:rFonts w:ascii="Cambria Math" w:hAnsi="Cambria Math"/>
          </w:rPr>
          <m:t xml:space="preserve">%</m:t>
        </m:r>
      </m:oMath>
      <w:r>
        <w:rPr/>
        <w:t xml:space="preserve"> does the same. The whole-dollar price and the list price are revealed at every assigned state, so their priors never bind and the benchmark is insensitive to those two domains.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W7: Expected cost per ounce and normative choice at each assigned information state</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306"/>
              <w:gridCol w:w="1306"/>
              <w:gridCol w:w="1307"/>
              <w:gridCol w:w="1306"/>
              <w:gridCol w:w="1306"/>
              <w:gridCol w:w="1306"/>
              <w:gridCol w:w="1307"/>
            </w:tblGrid>
            <w:tr>
              <w:trPr>
                <w:tblHeader w:val="true"/>
              </w:trPr>
              <w:tc>
                <w:tcPr>
                  <w:tcW w:w="1306" w:type="dxa"/>
                  <w:tcBorders/>
                  <w:vAlign w:val="center"/>
                </w:tcPr>
                <w:p>
                  <w:pPr>
                    <w:pStyle w:val="Compact"/>
                    <w:spacing w:before="36" w:after="36"/>
                    <w:jc w:val="center"/>
                    <w:rPr>
                      <w:b w:val="false"/>
                    </w:rPr>
                  </w:pPr>
                  <w:r>
                    <w:rPr>
                      <w:b w:val="false"/>
                    </w:rPr>
                    <w:t>Environment</w:t>
                  </w:r>
                </w:p>
              </w:tc>
              <w:tc>
                <w:tcPr>
                  <w:tcW w:w="1306" w:type="dxa"/>
                  <w:tcBorders/>
                  <w:vAlign w:val="center"/>
                </w:tcPr>
                <w:p>
                  <w:pPr>
                    <w:pStyle w:val="Compact"/>
                    <w:spacing w:before="36" w:after="36"/>
                    <w:jc w:val="center"/>
                    <w:rPr>
                      <w:b w:val="false"/>
                    </w:rPr>
                  </w:pPr>
                  <w:r>
                    <w:rPr>
                      <w:b w:val="false"/>
                    </w:rPr>
                    <w:t>State</w:t>
                  </w:r>
                </w:p>
              </w:tc>
              <w:tc>
                <w:tcPr>
                  <w:tcW w:w="1307" w:type="dxa"/>
                  <w:tcBorders/>
                  <w:vAlign w:val="center"/>
                </w:tcPr>
                <w:p>
                  <w:pPr>
                    <w:pStyle w:val="Compact"/>
                    <w:spacing w:before="36" w:after="36"/>
                    <w:jc w:val="center"/>
                    <w:rPr>
                      <w:b w:val="false"/>
                    </w:rPr>
                  </w:pPr>
                  <w:r>
                    <w:rPr>
                      <w:b w:val="false"/>
                    </w:rPr>
                    <w:t>Revealed attributes</w:t>
                  </w:r>
                </w:p>
              </w:tc>
              <w:tc>
                <w:tcPr>
                  <w:tcW w:w="1306" w:type="dxa"/>
                  <w:tcBorders/>
                  <w:vAlign w:val="center"/>
                </w:tcPr>
                <w:p>
                  <w:pPr>
                    <w:pStyle w:val="Compact"/>
                    <w:spacing w:before="36" w:after="36"/>
                    <w:jc w:val="center"/>
                    <w:rPr>
                      <w:b w:val="false"/>
                    </w:rPr>
                  </w:pPr>
                  <w:r>
                    <w:rPr>
                      <w:b w:val="false"/>
                    </w:rPr>
                  </w:r>
                  <m:oMath xmlns:m="http://schemas.openxmlformats.org/officeDocument/2006/math">
                    <m:r>
                      <w:rPr>
                        <w:rFonts w:ascii="Cambria Math" w:hAnsi="Cambria Math"/>
                      </w:rPr>
                      <m:t xml:space="preserve">E</m:t>
                    </m:r>
                    <m:r>
                      <w:rPr>
                        <w:rFonts w:ascii="Cambria Math" w:hAnsi="Cambria Math"/>
                      </w:rPr>
                      <m:t xml:space="preserve">[</m:t>
                    </m:r>
                    <m:f>
                      <m:fPr>
                        <m:type m:val="lin"/>
                      </m:fPr>
                      <m:num>
                        <m:r>
                          <w:rPr>
                            <w:rFonts w:ascii="Cambria Math" w:hAnsi="Cambria Math"/>
                          </w:rPr>
                          <m:t xml:space="preserve">$</m:t>
                        </m:r>
                      </m:num>
                      <m:den>
                        <m:r>
                          <m:rPr>
                            <m:lit/>
                            <m:nor/>
                          </m:rPr>
                          <w:rPr>
                            <w:rFonts w:ascii="Cambria Math" w:hAnsi="Cambria Math"/>
                          </w:rPr>
                          <m:t xml:space="preserve">oz</m:t>
                        </m:r>
                      </m:den>
                    </m:f>
                    <m:r>
                      <w:rPr>
                        <w:rFonts w:ascii="Cambria Math" w:hAnsi="Cambria Math"/>
                      </w:rPr>
                      <m:t xml:space="preserve">]</m:t>
                    </m:r>
                  </m:oMath>
                  <w:r>
                    <w:rPr>
                      <w:b w:val="false"/>
                    </w:rPr>
                    <w:t>​</w:t>
                  </w:r>
                </w:p>
              </w:tc>
              <w:tc>
                <w:tcPr>
                  <w:tcW w:w="1306" w:type="dxa"/>
                  <w:tcBorders/>
                  <w:vAlign w:val="center"/>
                </w:tcPr>
                <w:p>
                  <w:pPr>
                    <w:pStyle w:val="Compact"/>
                    <w:spacing w:before="36" w:after="36"/>
                    <w:rPr>
                      <w:b w:val="false"/>
                    </w:rPr>
                  </w:pPr>
                  <w:r>
                    <w:rPr>
                      <w:b w:val="false"/>
                    </w:rPr>
                  </w:r>
                </w:p>
              </w:tc>
              <w:tc>
                <w:tcPr>
                  <w:tcW w:w="1306" w:type="dxa"/>
                  <w:tcBorders/>
                  <w:vAlign w:val="center"/>
                </w:tcPr>
                <w:p>
                  <w:pPr>
                    <w:pStyle w:val="Compact"/>
                    <w:spacing w:before="36" w:after="36"/>
                    <w:rPr>
                      <w:b w:val="false"/>
                    </w:rPr>
                  </w:pPr>
                  <w:r>
                    <w:rPr>
                      <w:b w:val="false"/>
                    </w:rPr>
                  </w:r>
                </w:p>
              </w:tc>
              <w:tc>
                <w:tcPr>
                  <w:tcW w:w="1307" w:type="dxa"/>
                  <w:tcBorders/>
                  <w:vAlign w:val="center"/>
                </w:tcPr>
                <w:p>
                  <w:pPr>
                    <w:pStyle w:val="Compact"/>
                    <w:spacing w:before="36" w:after="36"/>
                    <w:jc w:val="center"/>
                    <w:rPr>
                      <w:b w:val="false"/>
                    </w:rPr>
                  </w:pPr>
                  <w:r>
                    <w:rPr>
                      <w:b w:val="false"/>
                    </w:rPr>
                    <w:t>Normative choice</w:t>
                  </w:r>
                </w:p>
              </w:tc>
            </w:tr>
            <w:tr>
              <w:trPr/>
              <w:tc>
                <w:tcPr>
                  <w:tcW w:w="1306" w:type="dxa"/>
                  <w:tcBorders>
                    <w:top w:val="nil"/>
                    <w:bottom w:val="nil"/>
                  </w:tcBorders>
                  <w:vAlign w:val="center"/>
                </w:tcPr>
                <w:p>
                  <w:pPr>
                    <w:pStyle w:val="Compact"/>
                    <w:spacing w:lineRule="auto" w:line="240" w:before="36" w:after="36"/>
                    <w:ind w:hanging="0"/>
                    <w:jc w:val="left"/>
                    <w:rPr/>
                  </w:pPr>
                  <w:r>
                    <w:rPr/>
                  </w:r>
                </w:p>
              </w:tc>
              <w:tc>
                <w:tcPr>
                  <w:tcW w:w="1306" w:type="dxa"/>
                  <w:tcBorders>
                    <w:top w:val="nil"/>
                    <w:bottom w:val="nil"/>
                  </w:tcBorders>
                  <w:vAlign w:val="center"/>
                </w:tcPr>
                <w:p>
                  <w:pPr>
                    <w:pStyle w:val="Compact"/>
                    <w:spacing w:lineRule="auto" w:line="240" w:before="36" w:after="36"/>
                    <w:ind w:hanging="0"/>
                    <w:jc w:val="left"/>
                    <w:rPr/>
                  </w:pPr>
                  <w:r>
                    <w:rPr/>
                  </w:r>
                </w:p>
              </w:tc>
              <w:tc>
                <w:tcPr>
                  <w:tcW w:w="1307" w:type="dxa"/>
                  <w:tcBorders>
                    <w:top w:val="nil"/>
                    <w:bottom w:val="nil"/>
                  </w:tcBorders>
                  <w:vAlign w:val="center"/>
                </w:tcPr>
                <w:p>
                  <w:pPr>
                    <w:pStyle w:val="Compact"/>
                    <w:spacing w:lineRule="auto" w:line="240" w:before="36" w:after="36"/>
                    <w:ind w:hanging="0"/>
                    <w:jc w:val="left"/>
                    <w:rPr/>
                  </w:pPr>
                  <w:r>
                    <w:rPr/>
                  </w:r>
                </w:p>
              </w:tc>
              <w:tc>
                <w:tcPr>
                  <w:tcW w:w="1306" w:type="dxa"/>
                  <w:tcBorders>
                    <w:top w:val="nil"/>
                    <w:bottom w:val="nil"/>
                  </w:tcBorders>
                  <w:vAlign w:val="center"/>
                </w:tcPr>
                <w:p>
                  <w:pPr>
                    <w:pStyle w:val="Compact"/>
                    <w:spacing w:before="36" w:after="36"/>
                    <w:jc w:val="center"/>
                    <w:rPr/>
                  </w:pPr>
                  <w:r>
                    <w:rPr/>
                    <w:t>A</w:t>
                  </w:r>
                </w:p>
              </w:tc>
              <w:tc>
                <w:tcPr>
                  <w:tcW w:w="1306" w:type="dxa"/>
                  <w:tcBorders>
                    <w:top w:val="nil"/>
                    <w:bottom w:val="nil"/>
                  </w:tcBorders>
                  <w:vAlign w:val="center"/>
                </w:tcPr>
                <w:p>
                  <w:pPr>
                    <w:pStyle w:val="Compact"/>
                    <w:spacing w:before="36" w:after="36"/>
                    <w:jc w:val="center"/>
                    <w:rPr/>
                  </w:pPr>
                  <w:r>
                    <w:rPr/>
                    <w:t>B</w:t>
                  </w:r>
                </w:p>
              </w:tc>
              <w:tc>
                <w:tcPr>
                  <w:tcW w:w="1306" w:type="dxa"/>
                  <w:tcBorders>
                    <w:top w:val="nil"/>
                    <w:bottom w:val="nil"/>
                  </w:tcBorders>
                  <w:vAlign w:val="center"/>
                </w:tcPr>
                <w:p>
                  <w:pPr>
                    <w:pStyle w:val="Compact"/>
                    <w:spacing w:lineRule="auto" w:line="240" w:before="36" w:after="36"/>
                    <w:ind w:hanging="0"/>
                    <w:jc w:val="left"/>
                    <w:rPr/>
                  </w:pPr>
                  <w:r>
                    <w:rPr/>
                  </w:r>
                </w:p>
              </w:tc>
              <w:tc>
                <w:tcPr>
                  <w:tcW w:w="1307" w:type="dxa"/>
                  <w:tcBorders>
                    <w:top w:val="nil"/>
                    <w:bottom w:val="nil"/>
                  </w:tcBorders>
                  <w:vAlign w:val="center"/>
                </w:tcPr>
                <w:p>
                  <w:pPr>
                    <w:pStyle w:val="Compact"/>
                    <w:spacing w:lineRule="auto" w:line="240" w:before="36" w:after="36"/>
                    <w:ind w:hanging="0"/>
                    <w:jc w:val="left"/>
                    <w:rPr/>
                  </w:pPr>
                  <w:r>
                    <w:rPr/>
                  </w:r>
                </w:p>
              </w:tc>
            </w:tr>
            <w:tr>
              <w:trPr/>
              <w:tc>
                <w:tcPr>
                  <w:tcW w:w="1306" w:type="dxa"/>
                  <w:tcBorders>
                    <w:top w:val="nil"/>
                    <w:bottom w:val="nil"/>
                  </w:tcBorders>
                  <w:vAlign w:val="center"/>
                </w:tcPr>
                <w:p>
                  <w:pPr>
                    <w:pStyle w:val="Compact"/>
                    <w:spacing w:before="36" w:after="36"/>
                    <w:jc w:val="center"/>
                    <w:rPr/>
                  </w:pPr>
                  <w:r>
                    <w:rPr/>
                    <w:t>Study 1</w:t>
                  </w:r>
                </w:p>
              </w:tc>
              <w:tc>
                <w:tcPr>
                  <w:tcW w:w="1306" w:type="dxa"/>
                  <w:tcBorders>
                    <w:top w:val="nil"/>
                    <w:bottom w:val="nil"/>
                  </w:tcBorders>
                  <w:vAlign w:val="center"/>
                </w:tcPr>
                <w:p>
                  <w:pPr>
                    <w:pStyle w:val="Compact"/>
                    <w:spacing w:before="36" w:after="36"/>
                    <w:jc w:val="center"/>
                    <w:rPr/>
                  </w:pPr>
                  <w:r>
                    <w:rPr/>
                    <w:t>$</w:t>
                  </w:r>
                </w:p>
              </w:tc>
              <w:tc>
                <w:tcPr>
                  <w:tcW w:w="1307" w:type="dxa"/>
                  <w:tcBorders>
                    <w:top w:val="nil"/>
                    <w:bottom w:val="nil"/>
                  </w:tcBorders>
                  <w:vAlign w:val="center"/>
                </w:tcPr>
                <w:p>
                  <w:pPr>
                    <w:pStyle w:val="Compact"/>
                    <w:spacing w:before="36" w:after="36"/>
                    <w:jc w:val="center"/>
                    <w:rPr/>
                  </w:pPr>
                  <w:r>
                    <w:rPr>
                      <w:i/>
                      <w:iCs/>
                    </w:rPr>
                    <w:t>price_dollars</w:t>
                  </w:r>
                </w:p>
              </w:tc>
              <w:tc>
                <w:tcPr>
                  <w:tcW w:w="1306" w:type="dxa"/>
                  <w:tcBorders>
                    <w:top w:val="nil"/>
                    <w:bottom w:val="nil"/>
                  </w:tcBorders>
                  <w:vAlign w:val="center"/>
                </w:tcPr>
                <w:p>
                  <w:pPr>
                    <w:pStyle w:val="Compact"/>
                    <w:spacing w:before="36" w:after="36"/>
                    <w:jc w:val="center"/>
                    <w:rPr/>
                  </w:pPr>
                  <w:r>
                    <w:rPr/>
                    <w:t>1.8120</w:t>
                  </w:r>
                </w:p>
              </w:tc>
              <w:tc>
                <w:tcPr>
                  <w:tcW w:w="1306" w:type="dxa"/>
                  <w:tcBorders>
                    <w:top w:val="nil"/>
                    <w:bottom w:val="nil"/>
                  </w:tcBorders>
                  <w:vAlign w:val="center"/>
                </w:tcPr>
                <w:p>
                  <w:pPr>
                    <w:pStyle w:val="Compact"/>
                    <w:spacing w:before="36" w:after="36"/>
                    <w:jc w:val="center"/>
                    <w:rPr/>
                  </w:pPr>
                  <w:r>
                    <w:rPr/>
                    <w:t>2.2121</w:t>
                  </w:r>
                </w:p>
              </w:tc>
              <w:tc>
                <w:tcPr>
                  <w:tcW w:w="1306" w:type="dxa"/>
                  <w:tcBorders>
                    <w:top w:val="nil"/>
                    <w:bottom w:val="nil"/>
                  </w:tcBorders>
                  <w:vAlign w:val="center"/>
                </w:tcPr>
                <w:p>
                  <w:pPr>
                    <w:pStyle w:val="Compact"/>
                    <w:spacing w:lineRule="auto" w:line="240" w:before="36" w:after="36"/>
                    <w:ind w:hanging="0"/>
                    <w:jc w:val="left"/>
                    <w:rPr/>
                  </w:pPr>
                  <w:r>
                    <w:rPr/>
                  </w:r>
                </w:p>
              </w:tc>
              <w:tc>
                <w:tcPr>
                  <w:tcW w:w="1307" w:type="dxa"/>
                  <w:tcBorders>
                    <w:top w:val="nil"/>
                    <w:bottom w:val="nil"/>
                  </w:tcBorders>
                  <w:vAlign w:val="center"/>
                </w:tcPr>
                <w:p>
                  <w:pPr>
                    <w:pStyle w:val="Compact"/>
                    <w:spacing w:before="36" w:after="36"/>
                    <w:jc w:val="center"/>
                    <w:rPr/>
                  </w:pPr>
                  <w:r>
                    <w:rPr/>
                    <w:t>Coffee A</w:t>
                  </w:r>
                </w:p>
              </w:tc>
            </w:tr>
            <w:tr>
              <w:trPr/>
              <w:tc>
                <w:tcPr>
                  <w:tcW w:w="1306" w:type="dxa"/>
                  <w:tcBorders>
                    <w:top w:val="nil"/>
                    <w:bottom w:val="nil"/>
                  </w:tcBorders>
                  <w:vAlign w:val="center"/>
                </w:tcPr>
                <w:p>
                  <w:pPr>
                    <w:pStyle w:val="Compact"/>
                    <w:spacing w:before="36" w:after="36"/>
                    <w:jc w:val="center"/>
                    <w:rPr/>
                  </w:pPr>
                  <w:r>
                    <w:rPr/>
                    <w:t>Study 1</w:t>
                  </w:r>
                </w:p>
              </w:tc>
              <w:tc>
                <w:tcPr>
                  <w:tcW w:w="1306" w:type="dxa"/>
                  <w:tcBorders>
                    <w:top w:val="nil"/>
                    <w:bottom w:val="nil"/>
                  </w:tcBorders>
                  <w:vAlign w:val="center"/>
                </w:tcPr>
                <w:p>
                  <w:pPr>
                    <w:pStyle w:val="Compact"/>
                    <w:spacing w:before="36" w:after="36"/>
                    <w:jc w:val="center"/>
                    <w:rPr/>
                  </w:pPr>
                  <w:r>
                    <w:rPr/>
                    <w:t>$+roast</w:t>
                  </w:r>
                </w:p>
              </w:tc>
              <w:tc>
                <w:tcPr>
                  <w:tcW w:w="1307" w:type="dxa"/>
                  <w:tcBorders>
                    <w:top w:val="nil"/>
                    <w:bottom w:val="nil"/>
                  </w:tcBorders>
                  <w:vAlign w:val="center"/>
                </w:tcPr>
                <w:p>
                  <w:pPr>
                    <w:pStyle w:val="Compact"/>
                    <w:spacing w:before="36" w:after="36"/>
                    <w:jc w:val="center"/>
                    <w:rPr/>
                  </w:pPr>
                  <w:r>
                    <w:rPr>
                      <w:i/>
                      <w:iCs/>
                    </w:rPr>
                    <w:t>price_dollars</w:t>
                  </w:r>
                  <w:r>
                    <w:rPr/>
                    <w:t xml:space="preserve">, </w:t>
                  </w:r>
                  <w:r>
                    <w:rPr>
                      <w:i/>
                      <w:iCs/>
                    </w:rPr>
                    <w:t>roast_date</w:t>
                  </w:r>
                </w:p>
              </w:tc>
              <w:tc>
                <w:tcPr>
                  <w:tcW w:w="1306" w:type="dxa"/>
                  <w:tcBorders>
                    <w:top w:val="nil"/>
                    <w:bottom w:val="nil"/>
                  </w:tcBorders>
                  <w:vAlign w:val="center"/>
                </w:tcPr>
                <w:p>
                  <w:pPr>
                    <w:pStyle w:val="Compact"/>
                    <w:spacing w:before="36" w:after="36"/>
                    <w:jc w:val="center"/>
                    <w:rPr/>
                  </w:pPr>
                  <w:r>
                    <w:rPr/>
                    <w:t>1.8120</w:t>
                  </w:r>
                </w:p>
              </w:tc>
              <w:tc>
                <w:tcPr>
                  <w:tcW w:w="1306" w:type="dxa"/>
                  <w:tcBorders>
                    <w:top w:val="nil"/>
                    <w:bottom w:val="nil"/>
                  </w:tcBorders>
                  <w:vAlign w:val="center"/>
                </w:tcPr>
                <w:p>
                  <w:pPr>
                    <w:pStyle w:val="Compact"/>
                    <w:spacing w:before="36" w:after="36"/>
                    <w:jc w:val="center"/>
                    <w:rPr/>
                  </w:pPr>
                  <w:r>
                    <w:rPr/>
                    <w:t>2.2121</w:t>
                  </w:r>
                </w:p>
              </w:tc>
              <w:tc>
                <w:tcPr>
                  <w:tcW w:w="1306" w:type="dxa"/>
                  <w:tcBorders>
                    <w:top w:val="nil"/>
                    <w:bottom w:val="nil"/>
                  </w:tcBorders>
                  <w:vAlign w:val="center"/>
                </w:tcPr>
                <w:p>
                  <w:pPr>
                    <w:pStyle w:val="Compact"/>
                    <w:spacing w:lineRule="auto" w:line="240" w:before="36" w:after="36"/>
                    <w:ind w:hanging="0"/>
                    <w:jc w:val="left"/>
                    <w:rPr/>
                  </w:pPr>
                  <w:r>
                    <w:rPr/>
                  </w:r>
                </w:p>
              </w:tc>
              <w:tc>
                <w:tcPr>
                  <w:tcW w:w="1307" w:type="dxa"/>
                  <w:tcBorders>
                    <w:top w:val="nil"/>
                    <w:bottom w:val="nil"/>
                  </w:tcBorders>
                  <w:vAlign w:val="center"/>
                </w:tcPr>
                <w:p>
                  <w:pPr>
                    <w:pStyle w:val="Compact"/>
                    <w:spacing w:before="36" w:after="36"/>
                    <w:jc w:val="center"/>
                    <w:rPr/>
                  </w:pPr>
                  <w:r>
                    <w:rPr/>
                    <w:t>Coffee A</w:t>
                  </w:r>
                </w:p>
              </w:tc>
            </w:tr>
            <w:tr>
              <w:trPr/>
              <w:tc>
                <w:tcPr>
                  <w:tcW w:w="1306" w:type="dxa"/>
                  <w:tcBorders>
                    <w:top w:val="nil"/>
                    <w:bottom w:val="nil"/>
                  </w:tcBorders>
                  <w:vAlign w:val="center"/>
                </w:tcPr>
                <w:p>
                  <w:pPr>
                    <w:pStyle w:val="Compact"/>
                    <w:spacing w:before="36" w:after="36"/>
                    <w:jc w:val="center"/>
                    <w:rPr/>
                  </w:pPr>
                  <w:r>
                    <w:rPr/>
                    <w:t>Study 1</w:t>
                  </w:r>
                </w:p>
              </w:tc>
              <w:tc>
                <w:tcPr>
                  <w:tcW w:w="1306" w:type="dxa"/>
                  <w:tcBorders>
                    <w:top w:val="nil"/>
                    <w:bottom w:val="nil"/>
                  </w:tcBorders>
                  <w:vAlign w:val="center"/>
                </w:tcPr>
                <w:p>
                  <w:pPr>
                    <w:pStyle w:val="Compact"/>
                    <w:spacing w:before="36" w:after="36"/>
                    <w:jc w:val="center"/>
                    <w:rPr/>
                  </w:pPr>
                  <w:r>
                    <w:rPr/>
                    <w:t>$+oz</w:t>
                  </w:r>
                </w:p>
              </w:tc>
              <w:tc>
                <w:tcPr>
                  <w:tcW w:w="1307" w:type="dxa"/>
                  <w:tcBorders>
                    <w:top w:val="nil"/>
                    <w:bottom w:val="nil"/>
                  </w:tcBorders>
                  <w:vAlign w:val="center"/>
                </w:tcPr>
                <w:p>
                  <w:pPr>
                    <w:pStyle w:val="Compact"/>
                    <w:spacing w:before="36" w:after="36"/>
                    <w:jc w:val="center"/>
                    <w:rPr/>
                  </w:pPr>
                  <w:r>
                    <w:rPr>
                      <w:i/>
                      <w:iCs/>
                    </w:rPr>
                    <w:t>price_dollars</w:t>
                  </w:r>
                  <w:r>
                    <w:rPr/>
                    <w:t xml:space="preserve">, </w:t>
                  </w:r>
                  <w:r>
                    <w:rPr>
                      <w:i/>
                      <w:iCs/>
                    </w:rPr>
                    <w:t>weight</w:t>
                  </w:r>
                </w:p>
              </w:tc>
              <w:tc>
                <w:tcPr>
                  <w:tcW w:w="1306" w:type="dxa"/>
                  <w:tcBorders>
                    <w:top w:val="nil"/>
                    <w:bottom w:val="nil"/>
                  </w:tcBorders>
                  <w:vAlign w:val="center"/>
                </w:tcPr>
                <w:p>
                  <w:pPr>
                    <w:pStyle w:val="Compact"/>
                    <w:spacing w:before="36" w:after="36"/>
                    <w:jc w:val="center"/>
                    <w:rPr/>
                  </w:pPr>
                  <w:r>
                    <w:rPr/>
                    <w:t>0.4529</w:t>
                  </w:r>
                </w:p>
              </w:tc>
              <w:tc>
                <w:tcPr>
                  <w:tcW w:w="1306" w:type="dxa"/>
                  <w:tcBorders>
                    <w:top w:val="nil"/>
                    <w:bottom w:val="nil"/>
                  </w:tcBorders>
                  <w:vAlign w:val="center"/>
                </w:tcPr>
                <w:p>
                  <w:pPr>
                    <w:pStyle w:val="Compact"/>
                    <w:spacing w:before="36" w:after="36"/>
                    <w:jc w:val="center"/>
                    <w:rPr/>
                  </w:pPr>
                  <w:r>
                    <w:rPr/>
                    <w:t>0.5027</w:t>
                  </w:r>
                </w:p>
              </w:tc>
              <w:tc>
                <w:tcPr>
                  <w:tcW w:w="1306" w:type="dxa"/>
                  <w:tcBorders>
                    <w:top w:val="nil"/>
                    <w:bottom w:val="nil"/>
                  </w:tcBorders>
                  <w:vAlign w:val="center"/>
                </w:tcPr>
                <w:p>
                  <w:pPr>
                    <w:pStyle w:val="Compact"/>
                    <w:spacing w:lineRule="auto" w:line="240" w:before="36" w:after="36"/>
                    <w:ind w:hanging="0"/>
                    <w:jc w:val="left"/>
                    <w:rPr/>
                  </w:pPr>
                  <w:r>
                    <w:rPr/>
                  </w:r>
                </w:p>
              </w:tc>
              <w:tc>
                <w:tcPr>
                  <w:tcW w:w="1307" w:type="dxa"/>
                  <w:tcBorders>
                    <w:top w:val="nil"/>
                    <w:bottom w:val="nil"/>
                  </w:tcBorders>
                  <w:vAlign w:val="center"/>
                </w:tcPr>
                <w:p>
                  <w:pPr>
                    <w:pStyle w:val="Compact"/>
                    <w:spacing w:before="36" w:after="36"/>
                    <w:jc w:val="center"/>
                    <w:rPr/>
                  </w:pPr>
                  <w:r>
                    <w:rPr/>
                    <w:t>Coffee A</w:t>
                  </w:r>
                </w:p>
              </w:tc>
            </w:tr>
            <w:tr>
              <w:trPr/>
              <w:tc>
                <w:tcPr>
                  <w:tcW w:w="1306" w:type="dxa"/>
                  <w:tcBorders>
                    <w:top w:val="nil"/>
                    <w:bottom w:val="nil"/>
                  </w:tcBorders>
                  <w:vAlign w:val="center"/>
                </w:tcPr>
                <w:p>
                  <w:pPr>
                    <w:pStyle w:val="Compact"/>
                    <w:spacing w:before="36" w:after="36"/>
                    <w:jc w:val="center"/>
                    <w:rPr/>
                  </w:pPr>
                  <w:r>
                    <w:rPr/>
                    <w:t>Study 1</w:t>
                  </w:r>
                </w:p>
              </w:tc>
              <w:tc>
                <w:tcPr>
                  <w:tcW w:w="1306" w:type="dxa"/>
                  <w:tcBorders>
                    <w:top w:val="nil"/>
                    <w:bottom w:val="nil"/>
                  </w:tcBorders>
                  <w:vAlign w:val="center"/>
                </w:tcPr>
                <w:p>
                  <w:pPr>
                    <w:pStyle w:val="Compact"/>
                    <w:spacing w:before="36" w:after="36"/>
                    <w:jc w:val="center"/>
                    <w:rPr/>
                  </w:pPr>
                  <w:r>
                    <w:rPr/>
                    <w:t>$+¢+oz</w:t>
                  </w:r>
                </w:p>
              </w:tc>
              <w:tc>
                <w:tcPr>
                  <w:tcW w:w="1307" w:type="dxa"/>
                  <w:tcBorders>
                    <w:top w:val="nil"/>
                    <w:bottom w:val="nil"/>
                  </w:tcBorders>
                  <w:vAlign w:val="center"/>
                </w:tcPr>
                <w:p>
                  <w:pPr>
                    <w:pStyle w:val="Compact"/>
                    <w:spacing w:before="36" w:after="36"/>
                    <w:jc w:val="center"/>
                    <w:rPr/>
                  </w:pPr>
                  <w:r>
                    <w:rPr>
                      <w:i/>
                      <w:iCs/>
                    </w:rPr>
                    <w:t>price_dollars</w:t>
                  </w:r>
                  <w:r>
                    <w:rPr/>
                    <w:t xml:space="preserve">, </w:t>
                  </w:r>
                  <w:r>
                    <w:rPr>
                      <w:i/>
                      <w:iCs/>
                    </w:rPr>
                    <w:t>price_cents</w:t>
                  </w:r>
                  <w:r>
                    <w:rPr/>
                    <w:t xml:space="preserve">, </w:t>
                  </w:r>
                  <w:r>
                    <w:rPr>
                      <w:i/>
                      <w:iCs/>
                    </w:rPr>
                    <w:t>weight</w:t>
                  </w:r>
                </w:p>
              </w:tc>
              <w:tc>
                <w:tcPr>
                  <w:tcW w:w="1306" w:type="dxa"/>
                  <w:tcBorders>
                    <w:top w:val="nil"/>
                    <w:bottom w:val="nil"/>
                  </w:tcBorders>
                  <w:vAlign w:val="center"/>
                </w:tcPr>
                <w:p>
                  <w:pPr>
                    <w:pStyle w:val="Compact"/>
                    <w:spacing w:before="36" w:after="36"/>
                    <w:jc w:val="center"/>
                    <w:rPr/>
                  </w:pPr>
                  <w:r>
                    <w:rPr/>
                    <w:t>0.4990</w:t>
                  </w:r>
                </w:p>
              </w:tc>
              <w:tc>
                <w:tcPr>
                  <w:tcW w:w="1306" w:type="dxa"/>
                  <w:tcBorders>
                    <w:top w:val="nil"/>
                    <w:bottom w:val="nil"/>
                  </w:tcBorders>
                  <w:vAlign w:val="center"/>
                </w:tcPr>
                <w:p>
                  <w:pPr>
                    <w:pStyle w:val="Compact"/>
                    <w:spacing w:before="36" w:after="36"/>
                    <w:jc w:val="center"/>
                    <w:rPr/>
                  </w:pPr>
                  <w:r>
                    <w:rPr/>
                    <w:t>0.4545</w:t>
                  </w:r>
                </w:p>
              </w:tc>
              <w:tc>
                <w:tcPr>
                  <w:tcW w:w="1306" w:type="dxa"/>
                  <w:tcBorders>
                    <w:top w:val="nil"/>
                    <w:bottom w:val="nil"/>
                  </w:tcBorders>
                  <w:vAlign w:val="center"/>
                </w:tcPr>
                <w:p>
                  <w:pPr>
                    <w:pStyle w:val="Compact"/>
                    <w:spacing w:lineRule="auto" w:line="240" w:before="36" w:after="36"/>
                    <w:ind w:hanging="0"/>
                    <w:jc w:val="left"/>
                    <w:rPr/>
                  </w:pPr>
                  <w:r>
                    <w:rPr/>
                  </w:r>
                </w:p>
              </w:tc>
              <w:tc>
                <w:tcPr>
                  <w:tcW w:w="1307" w:type="dxa"/>
                  <w:tcBorders>
                    <w:top w:val="nil"/>
                    <w:bottom w:val="nil"/>
                  </w:tcBorders>
                  <w:vAlign w:val="center"/>
                </w:tcPr>
                <w:p>
                  <w:pPr>
                    <w:pStyle w:val="Compact"/>
                    <w:spacing w:before="36" w:after="36"/>
                    <w:jc w:val="center"/>
                    <w:rPr/>
                  </w:pPr>
                  <w:r>
                    <w:rPr/>
                    <w:t>Coffee B</w:t>
                  </w:r>
                </w:p>
              </w:tc>
            </w:tr>
            <w:tr>
              <w:trPr/>
              <w:tc>
                <w:tcPr>
                  <w:tcW w:w="1306" w:type="dxa"/>
                  <w:tcBorders>
                    <w:top w:val="nil"/>
                    <w:bottom w:val="nil"/>
                  </w:tcBorders>
                  <w:vAlign w:val="center"/>
                </w:tcPr>
                <w:p>
                  <w:pPr>
                    <w:pStyle w:val="Compact"/>
                    <w:spacing w:lineRule="auto" w:line="240" w:before="36" w:after="36"/>
                    <w:ind w:hanging="0"/>
                    <w:jc w:val="left"/>
                    <w:rPr/>
                  </w:pPr>
                  <w:r>
                    <w:rPr/>
                  </w:r>
                </w:p>
              </w:tc>
              <w:tc>
                <w:tcPr>
                  <w:tcW w:w="1306" w:type="dxa"/>
                  <w:tcBorders>
                    <w:top w:val="nil"/>
                    <w:bottom w:val="nil"/>
                  </w:tcBorders>
                  <w:vAlign w:val="center"/>
                </w:tcPr>
                <w:p>
                  <w:pPr>
                    <w:pStyle w:val="Compact"/>
                    <w:spacing w:lineRule="auto" w:line="240" w:before="36" w:after="36"/>
                    <w:ind w:hanging="0"/>
                    <w:jc w:val="left"/>
                    <w:rPr/>
                  </w:pPr>
                  <w:r>
                    <w:rPr/>
                  </w:r>
                </w:p>
              </w:tc>
              <w:tc>
                <w:tcPr>
                  <w:tcW w:w="1307" w:type="dxa"/>
                  <w:tcBorders>
                    <w:top w:val="nil"/>
                    <w:bottom w:val="nil"/>
                  </w:tcBorders>
                  <w:vAlign w:val="center"/>
                </w:tcPr>
                <w:p>
                  <w:pPr>
                    <w:pStyle w:val="Compact"/>
                    <w:spacing w:lineRule="auto" w:line="240" w:before="36" w:after="36"/>
                    <w:ind w:hanging="0"/>
                    <w:jc w:val="left"/>
                    <w:rPr/>
                  </w:pPr>
                  <w:r>
                    <w:rPr/>
                  </w:r>
                </w:p>
              </w:tc>
              <w:tc>
                <w:tcPr>
                  <w:tcW w:w="1306" w:type="dxa"/>
                  <w:tcBorders>
                    <w:top w:val="nil"/>
                    <w:bottom w:val="nil"/>
                  </w:tcBorders>
                  <w:vAlign w:val="center"/>
                </w:tcPr>
                <w:p>
                  <w:pPr>
                    <w:pStyle w:val="Compact"/>
                    <w:spacing w:before="36" w:after="36"/>
                    <w:jc w:val="center"/>
                    <w:rPr/>
                  </w:pPr>
                  <w:r>
                    <w:rPr/>
                    <w:t>C</w:t>
                  </w:r>
                </w:p>
              </w:tc>
              <w:tc>
                <w:tcPr>
                  <w:tcW w:w="1306" w:type="dxa"/>
                  <w:tcBorders>
                    <w:top w:val="nil"/>
                    <w:bottom w:val="nil"/>
                  </w:tcBorders>
                  <w:vAlign w:val="center"/>
                </w:tcPr>
                <w:p>
                  <w:pPr>
                    <w:pStyle w:val="Compact"/>
                    <w:spacing w:before="36" w:after="36"/>
                    <w:jc w:val="center"/>
                    <w:rPr/>
                  </w:pPr>
                  <w:r>
                    <w:rPr/>
                    <w:t>D</w:t>
                  </w:r>
                </w:p>
              </w:tc>
              <w:tc>
                <w:tcPr>
                  <w:tcW w:w="1306" w:type="dxa"/>
                  <w:tcBorders>
                    <w:top w:val="nil"/>
                    <w:bottom w:val="nil"/>
                  </w:tcBorders>
                  <w:vAlign w:val="center"/>
                </w:tcPr>
                <w:p>
                  <w:pPr>
                    <w:pStyle w:val="Compact"/>
                    <w:spacing w:before="36" w:after="36"/>
                    <w:jc w:val="center"/>
                    <w:rPr/>
                  </w:pPr>
                  <w:r>
                    <w:rPr/>
                    <w:t>E</w:t>
                  </w:r>
                </w:p>
              </w:tc>
              <w:tc>
                <w:tcPr>
                  <w:tcW w:w="1307" w:type="dxa"/>
                  <w:tcBorders>
                    <w:top w:val="nil"/>
                    <w:bottom w:val="nil"/>
                  </w:tcBorders>
                  <w:vAlign w:val="center"/>
                </w:tcPr>
                <w:p>
                  <w:pPr>
                    <w:pStyle w:val="Compact"/>
                    <w:spacing w:lineRule="auto" w:line="240" w:before="36" w:after="36"/>
                    <w:ind w:hanging="0"/>
                    <w:jc w:val="left"/>
                    <w:rPr/>
                  </w:pPr>
                  <w:r>
                    <w:rPr/>
                  </w:r>
                </w:p>
              </w:tc>
            </w:tr>
            <w:tr>
              <w:trPr/>
              <w:tc>
                <w:tcPr>
                  <w:tcW w:w="1306" w:type="dxa"/>
                  <w:tcBorders>
                    <w:top w:val="nil"/>
                    <w:bottom w:val="nil"/>
                  </w:tcBorders>
                  <w:vAlign w:val="center"/>
                </w:tcPr>
                <w:p>
                  <w:pPr>
                    <w:pStyle w:val="Compact"/>
                    <w:spacing w:before="36" w:after="36"/>
                    <w:jc w:val="center"/>
                    <w:rPr/>
                  </w:pPr>
                  <w:r>
                    <w:rPr/>
                    <w:t>Study 2</w:t>
                  </w:r>
                </w:p>
              </w:tc>
              <w:tc>
                <w:tcPr>
                  <w:tcW w:w="1306" w:type="dxa"/>
                  <w:tcBorders>
                    <w:top w:val="nil"/>
                    <w:bottom w:val="nil"/>
                  </w:tcBorders>
                  <w:vAlign w:val="center"/>
                </w:tcPr>
                <w:p>
                  <w:pPr>
                    <w:pStyle w:val="Compact"/>
                    <w:spacing w:before="36" w:after="36"/>
                    <w:jc w:val="center"/>
                    <w:rPr/>
                  </w:pPr>
                  <w:r>
                    <w:rPr/>
                    <w:t>LP</w:t>
                  </w:r>
                </w:p>
              </w:tc>
              <w:tc>
                <w:tcPr>
                  <w:tcW w:w="1307" w:type="dxa"/>
                  <w:tcBorders>
                    <w:top w:val="nil"/>
                    <w:bottom w:val="nil"/>
                  </w:tcBorders>
                  <w:vAlign w:val="center"/>
                </w:tcPr>
                <w:p>
                  <w:pPr>
                    <w:pStyle w:val="Compact"/>
                    <w:spacing w:before="36" w:after="36"/>
                    <w:jc w:val="center"/>
                    <w:rPr/>
                  </w:pPr>
                  <w:r>
                    <w:rPr>
                      <w:i/>
                      <w:iCs/>
                    </w:rPr>
                    <w:t>list_price</w:t>
                  </w:r>
                </w:p>
              </w:tc>
              <w:tc>
                <w:tcPr>
                  <w:tcW w:w="1306" w:type="dxa"/>
                  <w:tcBorders>
                    <w:top w:val="nil"/>
                    <w:bottom w:val="nil"/>
                  </w:tcBorders>
                  <w:vAlign w:val="center"/>
                </w:tcPr>
                <w:p>
                  <w:pPr>
                    <w:pStyle w:val="Compact"/>
                    <w:spacing w:before="36" w:after="36"/>
                    <w:jc w:val="center"/>
                    <w:rPr/>
                  </w:pPr>
                  <w:r>
                    <w:rPr/>
                    <w:t>2.5604</w:t>
                  </w:r>
                </w:p>
              </w:tc>
              <w:tc>
                <w:tcPr>
                  <w:tcW w:w="1306" w:type="dxa"/>
                  <w:tcBorders>
                    <w:top w:val="nil"/>
                    <w:bottom w:val="nil"/>
                  </w:tcBorders>
                  <w:vAlign w:val="center"/>
                </w:tcPr>
                <w:p>
                  <w:pPr>
                    <w:pStyle w:val="Compact"/>
                    <w:spacing w:before="36" w:after="36"/>
                    <w:jc w:val="center"/>
                    <w:rPr/>
                  </w:pPr>
                  <w:r>
                    <w:rPr/>
                    <w:t>4.8008</w:t>
                  </w:r>
                </w:p>
              </w:tc>
              <w:tc>
                <w:tcPr>
                  <w:tcW w:w="1306" w:type="dxa"/>
                  <w:tcBorders>
                    <w:top w:val="nil"/>
                    <w:bottom w:val="nil"/>
                  </w:tcBorders>
                  <w:vAlign w:val="center"/>
                </w:tcPr>
                <w:p>
                  <w:pPr>
                    <w:pStyle w:val="Compact"/>
                    <w:spacing w:before="36" w:after="36"/>
                    <w:jc w:val="center"/>
                    <w:rPr/>
                  </w:pPr>
                  <w:r>
                    <w:rPr/>
                    <w:t>3.2005</w:t>
                  </w:r>
                </w:p>
              </w:tc>
              <w:tc>
                <w:tcPr>
                  <w:tcW w:w="1307" w:type="dxa"/>
                  <w:tcBorders>
                    <w:top w:val="nil"/>
                    <w:bottom w:val="nil"/>
                  </w:tcBorders>
                  <w:vAlign w:val="center"/>
                </w:tcPr>
                <w:p>
                  <w:pPr>
                    <w:pStyle w:val="Compact"/>
                    <w:spacing w:before="36" w:after="36"/>
                    <w:jc w:val="center"/>
                    <w:rPr/>
                  </w:pPr>
                  <w:r>
                    <w:rPr/>
                    <w:t>Coffee C</w:t>
                  </w:r>
                </w:p>
              </w:tc>
            </w:tr>
            <w:tr>
              <w:trPr/>
              <w:tc>
                <w:tcPr>
                  <w:tcW w:w="1306" w:type="dxa"/>
                  <w:tcBorders>
                    <w:top w:val="nil"/>
                    <w:bottom w:val="nil"/>
                  </w:tcBorders>
                  <w:vAlign w:val="center"/>
                </w:tcPr>
                <w:p>
                  <w:pPr>
                    <w:pStyle w:val="Compact"/>
                    <w:spacing w:before="36" w:after="36"/>
                    <w:jc w:val="center"/>
                    <w:rPr/>
                  </w:pPr>
                  <w:r>
                    <w:rPr/>
                    <w:t>Study 2</w:t>
                  </w:r>
                </w:p>
              </w:tc>
              <w:tc>
                <w:tcPr>
                  <w:tcW w:w="1306" w:type="dxa"/>
                  <w:tcBorders>
                    <w:top w:val="nil"/>
                    <w:bottom w:val="nil"/>
                  </w:tcBorders>
                  <w:vAlign w:val="center"/>
                </w:tcPr>
                <w:p>
                  <w:pPr>
                    <w:pStyle w:val="Compact"/>
                    <w:spacing w:before="36" w:after="36"/>
                    <w:jc w:val="center"/>
                    <w:rPr/>
                  </w:pPr>
                  <w:r>
                    <w:rPr/>
                    <w:t>LP+roast</w:t>
                  </w:r>
                </w:p>
              </w:tc>
              <w:tc>
                <w:tcPr>
                  <w:tcW w:w="1307" w:type="dxa"/>
                  <w:tcBorders>
                    <w:top w:val="nil"/>
                    <w:bottom w:val="nil"/>
                  </w:tcBorders>
                  <w:vAlign w:val="center"/>
                </w:tcPr>
                <w:p>
                  <w:pPr>
                    <w:pStyle w:val="Compact"/>
                    <w:spacing w:before="36" w:after="36"/>
                    <w:jc w:val="center"/>
                    <w:rPr/>
                  </w:pPr>
                  <w:r>
                    <w:rPr>
                      <w:i/>
                      <w:iCs/>
                    </w:rPr>
                    <w:t>list_price</w:t>
                  </w:r>
                  <w:r>
                    <w:rPr/>
                    <w:t xml:space="preserve">, </w:t>
                  </w:r>
                  <w:r>
                    <w:rPr>
                      <w:i/>
                      <w:iCs/>
                    </w:rPr>
                    <w:t>roast_date</w:t>
                  </w:r>
                </w:p>
              </w:tc>
              <w:tc>
                <w:tcPr>
                  <w:tcW w:w="1306" w:type="dxa"/>
                  <w:tcBorders>
                    <w:top w:val="nil"/>
                    <w:bottom w:val="nil"/>
                  </w:tcBorders>
                  <w:vAlign w:val="center"/>
                </w:tcPr>
                <w:p>
                  <w:pPr>
                    <w:pStyle w:val="Compact"/>
                    <w:spacing w:before="36" w:after="36"/>
                    <w:jc w:val="center"/>
                    <w:rPr/>
                  </w:pPr>
                  <w:r>
                    <w:rPr/>
                    <w:t>2.5604</w:t>
                  </w:r>
                </w:p>
              </w:tc>
              <w:tc>
                <w:tcPr>
                  <w:tcW w:w="1306" w:type="dxa"/>
                  <w:tcBorders>
                    <w:top w:val="nil"/>
                    <w:bottom w:val="nil"/>
                  </w:tcBorders>
                  <w:vAlign w:val="center"/>
                </w:tcPr>
                <w:p>
                  <w:pPr>
                    <w:pStyle w:val="Compact"/>
                    <w:spacing w:before="36" w:after="36"/>
                    <w:jc w:val="center"/>
                    <w:rPr/>
                  </w:pPr>
                  <w:r>
                    <w:rPr/>
                    <w:t>4.8008</w:t>
                  </w:r>
                </w:p>
              </w:tc>
              <w:tc>
                <w:tcPr>
                  <w:tcW w:w="1306" w:type="dxa"/>
                  <w:tcBorders>
                    <w:top w:val="nil"/>
                    <w:bottom w:val="nil"/>
                  </w:tcBorders>
                  <w:vAlign w:val="center"/>
                </w:tcPr>
                <w:p>
                  <w:pPr>
                    <w:pStyle w:val="Compact"/>
                    <w:spacing w:before="36" w:after="36"/>
                    <w:jc w:val="center"/>
                    <w:rPr/>
                  </w:pPr>
                  <w:r>
                    <w:rPr/>
                    <w:t>3.2005</w:t>
                  </w:r>
                </w:p>
              </w:tc>
              <w:tc>
                <w:tcPr>
                  <w:tcW w:w="1307" w:type="dxa"/>
                  <w:tcBorders>
                    <w:top w:val="nil"/>
                    <w:bottom w:val="nil"/>
                  </w:tcBorders>
                  <w:vAlign w:val="center"/>
                </w:tcPr>
                <w:p>
                  <w:pPr>
                    <w:pStyle w:val="Compact"/>
                    <w:spacing w:before="36" w:after="36"/>
                    <w:jc w:val="center"/>
                    <w:rPr/>
                  </w:pPr>
                  <w:r>
                    <w:rPr/>
                    <w:t>Coffee C</w:t>
                  </w:r>
                </w:p>
              </w:tc>
            </w:tr>
            <w:tr>
              <w:trPr/>
              <w:tc>
                <w:tcPr>
                  <w:tcW w:w="1306" w:type="dxa"/>
                  <w:tcBorders>
                    <w:top w:val="nil"/>
                    <w:bottom w:val="nil"/>
                  </w:tcBorders>
                  <w:vAlign w:val="center"/>
                </w:tcPr>
                <w:p>
                  <w:pPr>
                    <w:pStyle w:val="Compact"/>
                    <w:spacing w:before="36" w:after="36"/>
                    <w:jc w:val="center"/>
                    <w:rPr/>
                  </w:pPr>
                  <w:r>
                    <w:rPr/>
                    <w:t>Study 2</w:t>
                  </w:r>
                </w:p>
              </w:tc>
              <w:tc>
                <w:tcPr>
                  <w:tcW w:w="1306" w:type="dxa"/>
                  <w:tcBorders>
                    <w:top w:val="nil"/>
                    <w:bottom w:val="nil"/>
                  </w:tcBorders>
                  <w:vAlign w:val="center"/>
                </w:tcPr>
                <w:p>
                  <w:pPr>
                    <w:pStyle w:val="Compact"/>
                    <w:spacing w:before="36" w:after="36"/>
                    <w:jc w:val="center"/>
                    <w:rPr/>
                  </w:pPr>
                  <w:r>
                    <w:rPr/>
                    <w:t>LP+%</w:t>
                  </w:r>
                </w:p>
              </w:tc>
              <w:tc>
                <w:tcPr>
                  <w:tcW w:w="1307" w:type="dxa"/>
                  <w:tcBorders>
                    <w:top w:val="nil"/>
                    <w:bottom w:val="nil"/>
                  </w:tcBorders>
                  <w:vAlign w:val="center"/>
                </w:tcPr>
                <w:p>
                  <w:pPr>
                    <w:pStyle w:val="Compact"/>
                    <w:spacing w:before="36" w:after="36"/>
                    <w:jc w:val="center"/>
                    <w:rPr/>
                  </w:pPr>
                  <w:r>
                    <w:rPr>
                      <w:i/>
                      <w:iCs/>
                    </w:rPr>
                    <w:t>list_price</w:t>
                  </w:r>
                  <w:r>
                    <w:rPr/>
                    <w:t xml:space="preserve">, </w:t>
                  </w:r>
                  <w:r>
                    <w:rPr>
                      <w:i/>
                      <w:iCs/>
                    </w:rPr>
                    <w:t>discount_percentage</w:t>
                  </w:r>
                </w:p>
              </w:tc>
              <w:tc>
                <w:tcPr>
                  <w:tcW w:w="1306" w:type="dxa"/>
                  <w:tcBorders>
                    <w:top w:val="nil"/>
                    <w:bottom w:val="nil"/>
                  </w:tcBorders>
                  <w:vAlign w:val="center"/>
                </w:tcPr>
                <w:p>
                  <w:pPr>
                    <w:pStyle w:val="Compact"/>
                    <w:spacing w:before="36" w:after="36"/>
                    <w:jc w:val="center"/>
                    <w:rPr/>
                  </w:pPr>
                  <w:r>
                    <w:rPr/>
                    <w:t>3.2005</w:t>
                  </w:r>
                </w:p>
              </w:tc>
              <w:tc>
                <w:tcPr>
                  <w:tcW w:w="1306" w:type="dxa"/>
                  <w:tcBorders>
                    <w:top w:val="nil"/>
                    <w:bottom w:val="nil"/>
                  </w:tcBorders>
                  <w:vAlign w:val="center"/>
                </w:tcPr>
                <w:p>
                  <w:pPr>
                    <w:pStyle w:val="Compact"/>
                    <w:spacing w:before="36" w:after="36"/>
                    <w:jc w:val="center"/>
                    <w:rPr/>
                  </w:pPr>
                  <w:r>
                    <w:rPr/>
                    <w:t>4.8008</w:t>
                  </w:r>
                </w:p>
              </w:tc>
              <w:tc>
                <w:tcPr>
                  <w:tcW w:w="1306" w:type="dxa"/>
                  <w:tcBorders>
                    <w:top w:val="nil"/>
                    <w:bottom w:val="nil"/>
                  </w:tcBorders>
                  <w:vAlign w:val="center"/>
                </w:tcPr>
                <w:p>
                  <w:pPr>
                    <w:pStyle w:val="Compact"/>
                    <w:spacing w:before="36" w:after="36"/>
                    <w:jc w:val="center"/>
                    <w:rPr/>
                  </w:pPr>
                  <w:r>
                    <w:rPr/>
                    <w:t>4.0007</w:t>
                  </w:r>
                </w:p>
              </w:tc>
              <w:tc>
                <w:tcPr>
                  <w:tcW w:w="1307" w:type="dxa"/>
                  <w:tcBorders>
                    <w:top w:val="nil"/>
                    <w:bottom w:val="nil"/>
                  </w:tcBorders>
                  <w:vAlign w:val="center"/>
                </w:tcPr>
                <w:p>
                  <w:pPr>
                    <w:pStyle w:val="Compact"/>
                    <w:spacing w:before="36" w:after="36"/>
                    <w:jc w:val="center"/>
                    <w:rPr/>
                  </w:pPr>
                  <w:r>
                    <w:rPr/>
                    <w:t>Coffee C</w:t>
                  </w:r>
                </w:p>
              </w:tc>
            </w:tr>
            <w:tr>
              <w:trPr/>
              <w:tc>
                <w:tcPr>
                  <w:tcW w:w="1306" w:type="dxa"/>
                  <w:tcBorders>
                    <w:top w:val="nil"/>
                    <w:bottom w:val="nil"/>
                  </w:tcBorders>
                  <w:vAlign w:val="center"/>
                </w:tcPr>
                <w:p>
                  <w:pPr>
                    <w:pStyle w:val="Compact"/>
                    <w:spacing w:before="36" w:after="36"/>
                    <w:jc w:val="center"/>
                    <w:rPr/>
                  </w:pPr>
                  <w:r>
                    <w:rPr/>
                    <w:t>Study 2</w:t>
                  </w:r>
                </w:p>
              </w:tc>
              <w:tc>
                <w:tcPr>
                  <w:tcW w:w="1306" w:type="dxa"/>
                  <w:tcBorders>
                    <w:top w:val="nil"/>
                    <w:bottom w:val="nil"/>
                  </w:tcBorders>
                  <w:vAlign w:val="center"/>
                </w:tcPr>
                <w:p>
                  <w:pPr>
                    <w:pStyle w:val="Compact"/>
                    <w:spacing w:before="36" w:after="36"/>
                    <w:jc w:val="center"/>
                    <w:rPr/>
                  </w:pPr>
                  <w:r>
                    <w:rPr/>
                    <w:t>LP+oz</w:t>
                  </w:r>
                </w:p>
              </w:tc>
              <w:tc>
                <w:tcPr>
                  <w:tcW w:w="1307" w:type="dxa"/>
                  <w:tcBorders>
                    <w:top w:val="nil"/>
                    <w:bottom w:val="nil"/>
                  </w:tcBorders>
                  <w:vAlign w:val="center"/>
                </w:tcPr>
                <w:p>
                  <w:pPr>
                    <w:pStyle w:val="Compact"/>
                    <w:spacing w:before="36" w:after="36"/>
                    <w:jc w:val="center"/>
                    <w:rPr/>
                  </w:pPr>
                  <w:r>
                    <w:rPr>
                      <w:i/>
                      <w:iCs/>
                    </w:rPr>
                    <w:t>list_price</w:t>
                  </w:r>
                  <w:r>
                    <w:rPr/>
                    <w:t xml:space="preserve">, </w:t>
                  </w:r>
                  <w:r>
                    <w:rPr>
                      <w:i/>
                      <w:iCs/>
                    </w:rPr>
                    <w:t>weight</w:t>
                  </w:r>
                </w:p>
              </w:tc>
              <w:tc>
                <w:tcPr>
                  <w:tcW w:w="1306" w:type="dxa"/>
                  <w:tcBorders>
                    <w:top w:val="nil"/>
                    <w:bottom w:val="nil"/>
                  </w:tcBorders>
                  <w:vAlign w:val="center"/>
                </w:tcPr>
                <w:p>
                  <w:pPr>
                    <w:pStyle w:val="Compact"/>
                    <w:spacing w:before="36" w:after="36"/>
                    <w:jc w:val="center"/>
                    <w:rPr/>
                  </w:pPr>
                  <w:r>
                    <w:rPr/>
                    <w:t>0.8000</w:t>
                  </w:r>
                </w:p>
              </w:tc>
              <w:tc>
                <w:tcPr>
                  <w:tcW w:w="1306" w:type="dxa"/>
                  <w:tcBorders>
                    <w:top w:val="nil"/>
                    <w:bottom w:val="nil"/>
                  </w:tcBorders>
                  <w:vAlign w:val="center"/>
                </w:tcPr>
                <w:p>
                  <w:pPr>
                    <w:pStyle w:val="Compact"/>
                    <w:spacing w:before="36" w:after="36"/>
                    <w:jc w:val="center"/>
                    <w:rPr/>
                  </w:pPr>
                  <w:r>
                    <w:rPr/>
                    <w:t>1.0000</w:t>
                  </w:r>
                </w:p>
              </w:tc>
              <w:tc>
                <w:tcPr>
                  <w:tcW w:w="1306" w:type="dxa"/>
                  <w:tcBorders>
                    <w:top w:val="nil"/>
                    <w:bottom w:val="nil"/>
                  </w:tcBorders>
                  <w:vAlign w:val="center"/>
                </w:tcPr>
                <w:p>
                  <w:pPr>
                    <w:pStyle w:val="Compact"/>
                    <w:spacing w:before="36" w:after="36"/>
                    <w:jc w:val="center"/>
                    <w:rPr/>
                  </w:pPr>
                  <w:r>
                    <w:rPr/>
                    <w:t>0.7339</w:t>
                  </w:r>
                </w:p>
              </w:tc>
              <w:tc>
                <w:tcPr>
                  <w:tcW w:w="1307" w:type="dxa"/>
                  <w:tcBorders>
                    <w:top w:val="nil"/>
                    <w:bottom w:val="nil"/>
                  </w:tcBorders>
                  <w:vAlign w:val="center"/>
                </w:tcPr>
                <w:p>
                  <w:pPr>
                    <w:pStyle w:val="Compact"/>
                    <w:spacing w:before="36" w:after="36"/>
                    <w:jc w:val="center"/>
                    <w:rPr/>
                  </w:pPr>
                  <w:r>
                    <w:rPr/>
                    <w:t>Coffee E</w:t>
                  </w:r>
                </w:p>
              </w:tc>
            </w:tr>
            <w:tr>
              <w:trPr/>
              <w:tc>
                <w:tcPr>
                  <w:tcW w:w="1306" w:type="dxa"/>
                  <w:tcBorders>
                    <w:top w:val="nil"/>
                  </w:tcBorders>
                  <w:vAlign w:val="center"/>
                </w:tcPr>
                <w:p>
                  <w:pPr>
                    <w:pStyle w:val="Compact"/>
                    <w:spacing w:before="36" w:after="36"/>
                    <w:jc w:val="center"/>
                    <w:rPr/>
                  </w:pPr>
                  <w:r>
                    <w:rPr/>
                    <w:t>Study 2</w:t>
                  </w:r>
                </w:p>
              </w:tc>
              <w:tc>
                <w:tcPr>
                  <w:tcW w:w="1306" w:type="dxa"/>
                  <w:tcBorders>
                    <w:top w:val="nil"/>
                  </w:tcBorders>
                  <w:vAlign w:val="center"/>
                </w:tcPr>
                <w:p>
                  <w:pPr>
                    <w:pStyle w:val="Compact"/>
                    <w:spacing w:before="36" w:after="36"/>
                    <w:jc w:val="center"/>
                    <w:rPr/>
                  </w:pPr>
                  <w:r>
                    <w:rPr/>
                    <w:t>LP+%+oz</w:t>
                  </w:r>
                </w:p>
              </w:tc>
              <w:tc>
                <w:tcPr>
                  <w:tcW w:w="1307" w:type="dxa"/>
                  <w:tcBorders>
                    <w:top w:val="nil"/>
                  </w:tcBorders>
                  <w:vAlign w:val="center"/>
                </w:tcPr>
                <w:p>
                  <w:pPr>
                    <w:pStyle w:val="Compact"/>
                    <w:spacing w:before="36" w:after="36"/>
                    <w:jc w:val="center"/>
                    <w:rPr/>
                  </w:pPr>
                  <w:r>
                    <w:rPr>
                      <w:i/>
                      <w:iCs/>
                    </w:rPr>
                    <w:t>list_price</w:t>
                  </w:r>
                  <w:r>
                    <w:rPr/>
                    <w:t xml:space="preserve">, </w:t>
                  </w:r>
                  <w:r>
                    <w:rPr>
                      <w:i/>
                      <w:iCs/>
                    </w:rPr>
                    <w:t>discount_percentage</w:t>
                  </w:r>
                  <w:r>
                    <w:rPr/>
                    <w:t xml:space="preserve">, </w:t>
                  </w:r>
                  <w:r>
                    <w:rPr>
                      <w:i/>
                      <w:iCs/>
                    </w:rPr>
                    <w:t>weight</w:t>
                  </w:r>
                </w:p>
              </w:tc>
              <w:tc>
                <w:tcPr>
                  <w:tcW w:w="1306" w:type="dxa"/>
                  <w:tcBorders>
                    <w:top w:val="nil"/>
                  </w:tcBorders>
                  <w:vAlign w:val="center"/>
                </w:tcPr>
                <w:p>
                  <w:pPr>
                    <w:pStyle w:val="Compact"/>
                    <w:spacing w:before="36" w:after="36"/>
                    <w:jc w:val="center"/>
                    <w:rPr/>
                  </w:pPr>
                  <w:r>
                    <w:rPr/>
                    <w:t>1.0000</w:t>
                  </w:r>
                </w:p>
              </w:tc>
              <w:tc>
                <w:tcPr>
                  <w:tcW w:w="1306" w:type="dxa"/>
                  <w:tcBorders>
                    <w:top w:val="nil"/>
                  </w:tcBorders>
                  <w:vAlign w:val="center"/>
                </w:tcPr>
                <w:p>
                  <w:pPr>
                    <w:pStyle w:val="Compact"/>
                    <w:spacing w:before="36" w:after="36"/>
                    <w:jc w:val="center"/>
                    <w:rPr/>
                  </w:pPr>
                  <w:r>
                    <w:rPr/>
                    <w:t>1.0000</w:t>
                  </w:r>
                </w:p>
              </w:tc>
              <w:tc>
                <w:tcPr>
                  <w:tcW w:w="1306" w:type="dxa"/>
                  <w:tcBorders>
                    <w:top w:val="nil"/>
                  </w:tcBorders>
                  <w:vAlign w:val="center"/>
                </w:tcPr>
                <w:p>
                  <w:pPr>
                    <w:pStyle w:val="Compact"/>
                    <w:spacing w:before="36" w:after="36"/>
                    <w:jc w:val="center"/>
                    <w:rPr/>
                  </w:pPr>
                  <w:r>
                    <w:rPr/>
                    <w:t>0.9174</w:t>
                  </w:r>
                </w:p>
              </w:tc>
              <w:tc>
                <w:tcPr>
                  <w:tcW w:w="1307" w:type="dxa"/>
                  <w:tcBorders>
                    <w:top w:val="nil"/>
                  </w:tcBorders>
                  <w:vAlign w:val="center"/>
                </w:tcPr>
                <w:p>
                  <w:pPr>
                    <w:pStyle w:val="Compact"/>
                    <w:spacing w:before="36" w:after="36"/>
                    <w:jc w:val="center"/>
                    <w:rPr/>
                  </w:pPr>
                  <w:r>
                    <w:rPr/>
                    <w:t>Coffee E</w:t>
                  </w:r>
                  <w:bookmarkStart w:id="136" w:name="apptbl-fixed-reveal-normative"/>
                  <w:bookmarkEnd w:id="136"/>
                </w:p>
              </w:tc>
            </w:tr>
          </w:tbl>
          <w:p>
            <w:pPr>
              <w:pStyle w:val="Normal"/>
              <w:spacing w:before="0" w:after="200"/>
              <w:jc w:val="left"/>
              <w:rPr>
                <w:sz w:val="24"/>
              </w:rPr>
            </w:pPr>
            <w:r>
              <w:rPr>
                <w:sz w:val="24"/>
              </w:rPr>
            </w:r>
          </w:p>
        </w:tc>
      </w:tr>
    </w:tbl>
    <w:p>
      <w:pPr>
        <w:pStyle w:val="BodyText"/>
        <w:rPr/>
      </w:pPr>
      <w:r>
        <w:rPr>
          <w:i/>
          <w:iCs/>
        </w:rPr>
        <w:t>Note.</w:t>
      </w:r>
      <w:r>
        <w:rPr/>
        <w:t xml:space="preserve"> Entries are </w:t>
      </w:r>
      <w:r>
        <w:rPr/>
      </w:r>
      <m:oMath xmlns:m="http://schemas.openxmlformats.org/officeDocument/2006/math">
        <m:r>
          <w:rPr>
            <w:rFonts w:ascii="Cambria Math" w:hAnsi="Cambria Math"/>
          </w:rPr>
          <m:t xml:space="preserve">−</m:t>
        </m:r>
        <m:sSub>
          <m:e>
            <m:r>
              <w:rPr>
                <w:rFonts w:ascii="Cambria Math" w:hAnsi="Cambria Math"/>
              </w:rPr>
              <m:t xml:space="preserve">U</m:t>
            </m:r>
          </m:e>
          <m:sub>
            <m:r>
              <m:rPr>
                <m:lit/>
                <m:nor/>
              </m:rPr>
              <w:rPr>
                <w:rFonts w:ascii="Cambria Math" w:hAnsi="Cambria Math"/>
              </w:rPr>
              <m:t xml:space="preserve">choose</m:t>
            </m:r>
          </m:sub>
        </m:sSub>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s</m:t>
        </m:r>
        <m:r>
          <w:rPr>
            <w:rFonts w:ascii="Cambria Math" w:hAnsi="Cambria Math"/>
          </w:rPr>
          <m:t xml:space="preserve">)</m:t>
        </m:r>
      </m:oMath>
      <w:r>
        <w:rPr/>
        <w:t xml:space="preserve">, the expected effective unit cost of each alternative given the revealed cells, in dollars per ounce. Lower values are preferred, and the normative choice is the alternative minimizing the entry in its row. Values are comparable within a row but not across rows: where weight is withheld, the entry is multiplied by </w:t>
      </w:r>
      <w:r>
        <w:rPr/>
      </w:r>
      <m:oMath xmlns:m="http://schemas.openxmlformats.org/officeDocument/2006/math">
        <m:r>
          <w:rPr>
            <w:rFonts w:ascii="Cambria Math" w:hAnsi="Cambria Math"/>
          </w:rPr>
          <m:t xml:space="preserve">E</m:t>
        </m:r>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W</m:t>
            </m:r>
          </m:den>
        </m:f>
        <m:r>
          <w:rPr>
            <w:rFonts w:ascii="Cambria Math" w:hAnsi="Cambria Math"/>
          </w:rPr>
          <m:t xml:space="preserve">]</m:t>
        </m:r>
        <m:r>
          <w:rPr>
            <w:rFonts w:ascii="Cambria Math" w:hAnsi="Cambria Math"/>
          </w:rPr>
          <m:t xml:space="preserve">=</m:t>
        </m:r>
        <m:r>
          <w:rPr>
            <w:rFonts w:ascii="Cambria Math" w:hAnsi="Cambria Math"/>
          </w:rPr>
          <m:t xml:space="preserve">0.400</m:t>
        </m:r>
      </m:oMath>
      <w:r>
        <w:rPr/>
        <w:t xml:space="preserve">, and where weight is revealed it is divided by the observed weight, so the two sets of rows are on different scales. Coffee C and Coffee D are exactly indifferent at the complete Study 2 state by construction, both at 1.0000, and both are inferior to Coffee E. The normative choice is invariant to the planning horizon at every state for the reason given above. State labels follow </w:t>
      </w:r>
      <w:hyperlink w:anchor="apptbl-fixed-reveal-design">
        <w:r>
          <w:rPr>
            <w:rStyle w:val="Hyperlink"/>
          </w:rPr>
          <w:t>Table W30</w:t>
        </w:r>
      </w:hyperlink>
      <w:r>
        <w:rPr/>
        <w:t>.</w:t>
      </w:r>
    </w:p>
    <w:p>
      <w:pPr>
        <w:pStyle w:val="BodyText"/>
        <w:rPr/>
      </w:pPr>
      <w:r>
        <w:rPr/>
        <w:t>At three of the four Study 1 states and three of the five Study 2 states, the normative choice given the revealed cells is not the alternative with the superior price-per-ounce at the true attribute values. Selecting the lower whole-dollar alternative when the cents are withheld, or the lowest-list-price alternative when weight is withheld, is optimal conditional on the state while producing an economically inferior outcome. The two criteria are distinguished throughout Web Appendix I as state consistency and choice optimality respectively.</w:t>
      </w:r>
      <w:bookmarkEnd w:id="135"/>
    </w:p>
    <w:p>
      <w:pPr>
        <w:pStyle w:val="Heading2"/>
        <w:rPr/>
      </w:pPr>
      <w:bookmarkStart w:id="137" w:name="comparison-with-llm-behavior"/>
      <w:r>
        <w:rPr/>
        <w:t>Comparison with LLM behavior</w:t>
      </w:r>
    </w:p>
    <w:p>
      <w:pPr>
        <w:pStyle w:val="FirstParagraph"/>
        <w:rPr/>
      </w:pPr>
      <w:r>
        <w:rPr/>
        <w:t xml:space="preserve">Comparing the normative Expectimax benchmarks with the empirical behavioral data from Study 1 and Study 2 Tool-Lab yields two insights. First, LLMs do not execute normative resource-rational planning under constraints. When subjected to the </w:t>
      </w:r>
      <w:r>
        <w:rPr/>
      </w:r>
      <m:oMath xmlns:m="http://schemas.openxmlformats.org/officeDocument/2006/math">
        <m:r>
          <w:rPr>
            <w:rFonts w:ascii="Cambria Math" w:hAnsi="Cambria Math"/>
          </w:rPr>
          <m:t xml:space="preserve">$</m:t>
        </m:r>
        <m:r>
          <w:rPr>
            <w:rFonts w:ascii="Cambria Math" w:hAnsi="Cambria Math"/>
          </w:rPr>
          <m:t xml:space="preserve">10.00</m:t>
        </m:r>
      </m:oMath>
      <w:r>
        <w:rPr/>
        <w:t xml:space="preserve"> cost condition in Study 2 Tool-Lab, the tested LLMs executed an average of 6.47 to 8.96 diagnostic tool calls (Gemini 3.1 Pro = 8.03; GPT-5.6 Sol = 7.02; Claude Sonnet 5 = 8.95; Claude Opus 5 = 8.96). In doing so, the LLMs incurred between </w:t>
      </w:r>
      <w:r>
        <w:rPr/>
      </w:r>
      <m:oMath xmlns:m="http://schemas.openxmlformats.org/officeDocument/2006/math">
        <m:r>
          <w:rPr>
            <w:rFonts w:ascii="Cambria Math" w:hAnsi="Cambria Math"/>
          </w:rPr>
          <m:t xml:space="preserve">$</m:t>
        </m:r>
        <m:r>
          <w:rPr>
            <w:rFonts w:ascii="Cambria Math" w:hAnsi="Cambria Math"/>
          </w:rPr>
          <m:t xml:space="preserve">65.00</m:t>
        </m:r>
      </m:oMath>
      <w:r>
        <w:rPr/>
        <w:t xml:space="preserve"> and </w:t>
      </w:r>
      <w:r>
        <w:rPr/>
      </w:r>
      <m:oMath xmlns:m="http://schemas.openxmlformats.org/officeDocument/2006/math">
        <m:r>
          <w:rPr>
            <w:rFonts w:ascii="Cambria Math" w:hAnsi="Cambria Math"/>
          </w:rPr>
          <m:t xml:space="preserve">$</m:t>
        </m:r>
        <m:r>
          <w:rPr>
            <w:rFonts w:ascii="Cambria Math" w:hAnsi="Cambria Math"/>
          </w:rPr>
          <m:t xml:space="preserve">90.00</m:t>
        </m:r>
      </m:oMath>
      <w:r>
        <w:rPr/>
        <w:t xml:space="preserve"> in cumulative tool penalties to purchase </w:t>
      </w:r>
      <w:r>
        <w:rPr/>
      </w:r>
      <m:oMath xmlns:m="http://schemas.openxmlformats.org/officeDocument/2006/math">
        <m:r>
          <w:rPr>
            <w:rFonts w:ascii="Cambria Math" w:hAnsi="Cambria Math"/>
          </w:rPr>
          <m:t xml:space="preserve">$</m:t>
        </m:r>
        <m:r>
          <w:rPr>
            <w:rFonts w:ascii="Cambria Math" w:hAnsi="Cambria Math"/>
          </w:rPr>
          <m:t xml:space="preserve">10.00</m:t>
        </m:r>
      </m:oMath>
      <w:r>
        <w:rPr/>
        <w:t xml:space="preserve"> coffee products. In contrast, the normative policy stops after 1.2 to 1.4 calls. This provides empirical evidence that LLM information search has a considerable gap with expected-value maximization.</w:t>
      </w:r>
    </w:p>
    <w:p>
      <w:pPr>
        <w:pStyle w:val="BodyText"/>
        <w:rPr/>
      </w:pPr>
      <w:r>
        <w:rPr/>
        <w:t xml:space="preserve">Second, in Study 1 Tool-Lab under </w:t>
      </w:r>
      <w:r>
        <w:rPr/>
      </w:r>
      <m:oMath xmlns:m="http://schemas.openxmlformats.org/officeDocument/2006/math">
        <m:r>
          <w:rPr>
            <w:rFonts w:ascii="Cambria Math" w:hAnsi="Cambria Math"/>
          </w:rPr>
          <m:t xml:space="preserve">$</m:t>
        </m:r>
        <m:r>
          <w:rPr>
            <w:rFonts w:ascii="Cambria Math" w:hAnsi="Cambria Math"/>
          </w:rPr>
          <m:t xml:space="preserve">10.00</m:t>
        </m:r>
      </m:oMath>
      <w:r>
        <w:rPr/>
        <w:t xml:space="preserve"> cost, LLMs systematically inspected whole dollars for both alternatives (</w:t>
      </w:r>
      <w:r>
        <w:rPr/>
      </w:r>
      <m:oMath xmlns:m="http://schemas.openxmlformats.org/officeDocument/2006/math">
        <m:sSub>
          <m:e>
            <m:r>
              <w:rPr>
                <w:rFonts w:ascii="Cambria Math" w:hAnsi="Cambria Math"/>
              </w:rPr>
              <m:t xml:space="preserve">M</m:t>
            </m:r>
          </m:e>
          <m:sub>
            <m:r>
              <m:rPr>
                <m:lit/>
                <m:nor/>
              </m:rPr>
              <w:rPr>
                <w:rFonts w:ascii="Cambria Math" w:hAnsi="Cambria Math"/>
              </w:rPr>
              <m:t xml:space="preserve">Dollars</m:t>
            </m:r>
          </m:sub>
        </m:sSub>
        <m:r>
          <w:rPr>
            <w:rFonts w:ascii="Cambria Math" w:hAnsi="Cambria Math"/>
          </w:rPr>
          <m:t xml:space="preserve">=</m:t>
        </m:r>
        <m:r>
          <w:rPr>
            <w:rFonts w:ascii="Cambria Math" w:hAnsi="Cambria Math"/>
          </w:rPr>
          <m:t xml:space="preserve">1.96</m:t>
        </m:r>
      </m:oMath>
      <w:r>
        <w:rPr/>
        <w:t xml:space="preserve"> to </w:t>
      </w:r>
      <w:r>
        <w:rPr/>
      </w:r>
      <m:oMath xmlns:m="http://schemas.openxmlformats.org/officeDocument/2006/math">
        <m:r>
          <w:rPr>
            <w:rFonts w:ascii="Cambria Math" w:hAnsi="Cambria Math"/>
          </w:rPr>
          <m:t xml:space="preserve">2.00</m:t>
        </m:r>
      </m:oMath>
      <w:r>
        <w:rPr/>
        <w:t>) while abandoning cents, which exposed them to the just-below pricing trap. In contrast, an optimal planner under constraint engages in asymmetric search termination. It verifies the front-runner and halts before inspecting the second option’s price. The LLMs’ tendency to maintain symmetric comparative evaluations across options even under large costs explains why environmental constraints structurally induce behavior consistent with heuristic purchasing in LLMs.</w:t>
      </w:r>
    </w:p>
    <w:p>
      <w:pPr>
        <w:pStyle w:val="BodyText"/>
        <w:rPr/>
      </w:pPr>
      <w:r>
        <w:rPr/>
        <w:drawing>
          <wp:inline distT="0" distB="0" distL="0" distR="0">
            <wp:extent cx="5943600" cy="177927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4"/>
                    <a:stretch>
                      <a:fillRect/>
                    </a:stretch>
                  </pic:blipFill>
                  <pic:spPr bwMode="auto">
                    <a:xfrm>
                      <a:off x="0" y="0"/>
                      <a:ext cx="5943600" cy="1779270"/>
                    </a:xfrm>
                    <a:prstGeom prst="rect">
                      <a:avLst/>
                    </a:prstGeom>
                    <a:noFill/>
                  </pic:spPr>
                </pic:pic>
              </a:graphicData>
            </a:graphic>
          </wp:inline>
        </w:drawing>
      </w:r>
    </w:p>
    <w:p>
      <w:pPr>
        <w:pStyle w:val="BodyText"/>
        <w:rPr/>
      </w:pPr>
      <w:r>
        <w:rPr/>
        <w:drawing>
          <wp:inline distT="0" distB="0" distL="0" distR="0">
            <wp:extent cx="5943600" cy="178308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5"/>
                    <a:stretch>
                      <a:fillRect/>
                    </a:stretch>
                  </pic:blipFill>
                  <pic:spPr bwMode="auto">
                    <a:xfrm>
                      <a:off x="0" y="0"/>
                      <a:ext cx="5943600" cy="1783080"/>
                    </a:xfrm>
                    <a:prstGeom prst="rect">
                      <a:avLst/>
                    </a:prstGeom>
                    <a:noFill/>
                  </pic:spPr>
                </pic:pic>
              </a:graphicData>
            </a:graphic>
          </wp:inline>
        </w:drawing>
      </w:r>
      <w:bookmarkEnd w:id="124"/>
      <w:bookmarkEnd w:id="137"/>
    </w:p>
    <w:p>
      <w:pPr>
        <w:pStyle w:val="Heading1"/>
        <w:rPr/>
      </w:pPr>
      <w:bookmarkStart w:id="138" w:name="sec-appendix-figures"/>
      <w:r>
        <w:rPr/>
        <w:t>Web appendix D: Supplementary figures</w:t>
      </w:r>
    </w:p>
    <w:p>
      <w:pPr>
        <w:pStyle w:val="Normal"/>
        <w:rPr/>
      </w:pPr>
      <w:r>
        <w:rPr/>
      </w:r>
      <w:bookmarkEnd w:id="138"/>
      <w:r>
        <w:br w:type="page"/>
      </w:r>
    </w:p>
    <w:p>
      <w:pPr>
        <w:pStyle w:val="Heading1"/>
        <w:spacing w:before="0" w:after="80"/>
        <w:rPr/>
      </w:pPr>
      <w:bookmarkStart w:id="139" w:name="sec-appendix-tables"/>
      <w:r>
        <w:rPr/>
        <w:t>Web appendix E: Supplementary tables</w:t>
      </w:r>
    </w:p>
    <w:p>
      <w:pPr>
        <w:pStyle w:val="Heading2"/>
        <w:rPr/>
      </w:pPr>
      <w:bookmarkStart w:id="140" w:name="study-1---baseline"/>
      <w:r>
        <w:rPr/>
        <w:t>Study 1 - Baseline</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W8: Ratio of cent to dollar price sensitivity (Study 1 Baseline)</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013"/>
              <w:gridCol w:w="1781"/>
              <w:gridCol w:w="2032"/>
              <w:gridCol w:w="3132"/>
              <w:gridCol w:w="1186"/>
            </w:tblGrid>
            <w:tr>
              <w:trPr>
                <w:tblHeader w:val="true"/>
              </w:trPr>
              <w:tc>
                <w:tcPr>
                  <w:tcW w:w="1013" w:type="dxa"/>
                  <w:tcBorders/>
                  <w:vAlign w:val="center"/>
                </w:tcPr>
                <w:p>
                  <w:pPr>
                    <w:pStyle w:val="Compact"/>
                    <w:spacing w:before="36" w:after="36"/>
                    <w:jc w:val="center"/>
                    <w:rPr>
                      <w:b w:val="false"/>
                    </w:rPr>
                  </w:pPr>
                  <w:r>
                    <w:rPr>
                      <w:b w:val="false"/>
                    </w:rPr>
                    <w:t>LLM</w:t>
                  </w:r>
                </w:p>
              </w:tc>
              <w:tc>
                <w:tcPr>
                  <w:tcW w:w="1781"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β</m:t>
                        </m:r>
                      </m:e>
                      <m:sub>
                        <m:r>
                          <w:rPr>
                            <w:rFonts w:ascii="Cambria Math" w:hAnsi="Cambria Math"/>
                          </w:rPr>
                          <m:t xml:space="preserve">D</m:t>
                        </m:r>
                        <m:r>
                          <w:rPr>
                            <w:rFonts w:ascii="Cambria Math" w:hAnsi="Cambria Math"/>
                          </w:rPr>
                          <m:t xml:space="preserve">o</m:t>
                        </m:r>
                        <m:r>
                          <w:rPr>
                            <w:rFonts w:ascii="Cambria Math" w:hAnsi="Cambria Math"/>
                          </w:rPr>
                          <m:t xml:space="preserve">l</m:t>
                        </m:r>
                        <m:r>
                          <w:rPr>
                            <w:rFonts w:ascii="Cambria Math" w:hAnsi="Cambria Math"/>
                          </w:rPr>
                          <m:t xml:space="preserve">l</m:t>
                        </m:r>
                        <m:r>
                          <w:rPr>
                            <w:rFonts w:ascii="Cambria Math" w:hAnsi="Cambria Math"/>
                          </w:rPr>
                          <m:t xml:space="preserve">a</m:t>
                        </m:r>
                        <m:r>
                          <w:rPr>
                            <w:rFonts w:ascii="Cambria Math" w:hAnsi="Cambria Math"/>
                          </w:rPr>
                          <m:t xml:space="preserve">r</m:t>
                        </m:r>
                        <m:r>
                          <w:rPr>
                            <w:rFonts w:ascii="Cambria Math" w:hAnsi="Cambria Math"/>
                          </w:rPr>
                          <m:t xml:space="preserve">s</m:t>
                        </m:r>
                      </m:sub>
                    </m:sSub>
                  </m:oMath>
                  <w:r>
                    <w:rPr>
                      <w:b w:val="false"/>
                    </w:rPr>
                    <w:t>​</w:t>
                  </w:r>
                </w:p>
              </w:tc>
              <w:tc>
                <w:tcPr>
                  <w:tcW w:w="2032"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β</m:t>
                        </m:r>
                      </m:e>
                      <m:sub>
                        <m:r>
                          <w:rPr>
                            <w:rFonts w:ascii="Cambria Math" w:hAnsi="Cambria Math"/>
                          </w:rPr>
                          <m:t xml:space="preserve">C</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s</m:t>
                        </m:r>
                        <m:r>
                          <w:rPr>
                            <w:rFonts w:ascii="Cambria Math" w:hAnsi="Cambria Math"/>
                          </w:rPr>
                          <m:t xml:space="preserve">(</m:t>
                        </m:r>
                        <m:r>
                          <w:rPr>
                            <w:rFonts w:ascii="Cambria Math" w:hAnsi="Cambria Math"/>
                          </w:rPr>
                          <m:t xml:space="preserve">$</m:t>
                        </m:r>
                        <m:r>
                          <w:rPr>
                            <w:rFonts w:ascii="Cambria Math" w:hAnsi="Cambria Math"/>
                          </w:rPr>
                          <m:t xml:space="preserve">)</m:t>
                        </m:r>
                      </m:sub>
                    </m:sSub>
                  </m:oMath>
                  <w:r>
                    <w:rPr>
                      <w:b w:val="false"/>
                    </w:rPr>
                    <w:t>​</w:t>
                  </w:r>
                </w:p>
              </w:tc>
              <w:tc>
                <w:tcPr>
                  <w:tcW w:w="3132" w:type="dxa"/>
                  <w:tcBorders/>
                  <w:vAlign w:val="center"/>
                </w:tcPr>
                <w:p>
                  <w:pPr>
                    <w:pStyle w:val="Compact"/>
                    <w:spacing w:before="36" w:after="36"/>
                    <w:jc w:val="center"/>
                    <w:rPr>
                      <w:b w:val="false"/>
                    </w:rPr>
                  </w:pPr>
                  <w:r>
                    <w:rPr>
                      <w:b w:val="false"/>
                    </w:rPr>
                  </w:r>
                  <m:oMath xmlns:m="http://schemas.openxmlformats.org/officeDocument/2006/math">
                    <m:f>
                      <m:fPr>
                        <m:type m:val="lin"/>
                      </m:fPr>
                      <m:num>
                        <m:sSub>
                          <m:e>
                            <m:r>
                              <w:rPr>
                                <w:rFonts w:ascii="Cambria Math" w:hAnsi="Cambria Math"/>
                              </w:rPr>
                              <m:t xml:space="preserve">β</m:t>
                            </m:r>
                          </m:e>
                          <m:sub>
                            <m:r>
                              <w:rPr>
                                <w:rFonts w:ascii="Cambria Math" w:hAnsi="Cambria Math"/>
                              </w:rPr>
                              <m:t xml:space="preserve">C</m:t>
                            </m:r>
                            <m:r>
                              <w:rPr>
                                <w:rFonts w:ascii="Cambria Math" w:hAnsi="Cambria Math"/>
                              </w:rPr>
                              <m:t xml:space="preserve">e</m:t>
                            </m:r>
                            <m:r>
                              <w:rPr>
                                <w:rFonts w:ascii="Cambria Math" w:hAnsi="Cambria Math"/>
                              </w:rPr>
                              <m:t xml:space="preserve">n</m:t>
                            </m:r>
                            <m:r>
                              <w:rPr>
                                <w:rFonts w:ascii="Cambria Math" w:hAnsi="Cambria Math"/>
                              </w:rPr>
                              <m:t xml:space="preserve">t</m:t>
                            </m:r>
                            <m:r>
                              <w:rPr>
                                <w:rFonts w:ascii="Cambria Math" w:hAnsi="Cambria Math"/>
                              </w:rPr>
                              <m:t xml:space="preserve">s</m:t>
                            </m:r>
                          </m:sub>
                        </m:sSub>
                      </m:num>
                      <m:den>
                        <m:sSub>
                          <m:e>
                            <m:r>
                              <w:rPr>
                                <w:rFonts w:ascii="Cambria Math" w:hAnsi="Cambria Math"/>
                              </w:rPr>
                              <m:t xml:space="preserve">β</m:t>
                            </m:r>
                          </m:e>
                          <m:sub>
                            <m:r>
                              <w:rPr>
                                <w:rFonts w:ascii="Cambria Math" w:hAnsi="Cambria Math"/>
                              </w:rPr>
                              <m:t xml:space="preserve">D</m:t>
                            </m:r>
                            <m:r>
                              <w:rPr>
                                <w:rFonts w:ascii="Cambria Math" w:hAnsi="Cambria Math"/>
                              </w:rPr>
                              <m:t xml:space="preserve">o</m:t>
                            </m:r>
                            <m:r>
                              <w:rPr>
                                <w:rFonts w:ascii="Cambria Math" w:hAnsi="Cambria Math"/>
                              </w:rPr>
                              <m:t xml:space="preserve">l</m:t>
                            </m:r>
                            <m:r>
                              <w:rPr>
                                <w:rFonts w:ascii="Cambria Math" w:hAnsi="Cambria Math"/>
                              </w:rPr>
                              <m:t xml:space="preserve">l</m:t>
                            </m:r>
                            <m:r>
                              <w:rPr>
                                <w:rFonts w:ascii="Cambria Math" w:hAnsi="Cambria Math"/>
                              </w:rPr>
                              <m:t xml:space="preserve">a</m:t>
                            </m:r>
                            <m:r>
                              <w:rPr>
                                <w:rFonts w:ascii="Cambria Math" w:hAnsi="Cambria Math"/>
                              </w:rPr>
                              <m:t xml:space="preserve">r</m:t>
                            </m:r>
                            <m:r>
                              <w:rPr>
                                <w:rFonts w:ascii="Cambria Math" w:hAnsi="Cambria Math"/>
                              </w:rPr>
                              <m:t xml:space="preserve">s</m:t>
                            </m:r>
                          </m:sub>
                        </m:sSub>
                      </m:den>
                    </m:f>
                  </m:oMath>
                  <w:r>
                    <w:rPr>
                      <w:b w:val="false"/>
                    </w:rPr>
                    <w:t>​</w:t>
                  </w:r>
                </w:p>
              </w:tc>
              <w:tc>
                <w:tcPr>
                  <w:tcW w:w="1186" w:type="dxa"/>
                  <w:tcBorders/>
                  <w:vAlign w:val="center"/>
                </w:tcPr>
                <w:p>
                  <w:pPr>
                    <w:pStyle w:val="Compact"/>
                    <w:spacing w:before="36" w:after="36"/>
                    <w:rPr>
                      <w:b w:val="false"/>
                    </w:rPr>
                  </w:pPr>
                  <w:r>
                    <w:rPr>
                      <w:b w:val="false"/>
                    </w:rPr>
                  </w:r>
                </w:p>
              </w:tc>
            </w:tr>
            <w:tr>
              <w:trPr/>
              <w:tc>
                <w:tcPr>
                  <w:tcW w:w="1013" w:type="dxa"/>
                  <w:tcBorders>
                    <w:top w:val="nil"/>
                    <w:bottom w:val="nil"/>
                  </w:tcBorders>
                  <w:vAlign w:val="center"/>
                </w:tcPr>
                <w:p>
                  <w:pPr>
                    <w:pStyle w:val="Compact"/>
                    <w:spacing w:before="36" w:after="36"/>
                    <w:jc w:val="center"/>
                    <w:rPr/>
                  </w:pPr>
                  <w:r>
                    <w:rPr/>
                    <w:t>Flash Lite</w:t>
                  </w:r>
                </w:p>
              </w:tc>
              <w:tc>
                <w:tcPr>
                  <w:tcW w:w="1781" w:type="dxa"/>
                  <w:tcBorders>
                    <w:top w:val="nil"/>
                    <w:bottom w:val="nil"/>
                  </w:tcBorders>
                  <w:vAlign w:val="center"/>
                </w:tcPr>
                <w:p>
                  <w:pPr>
                    <w:pStyle w:val="Compact"/>
                    <w:spacing w:before="36" w:after="36"/>
                    <w:jc w:val="center"/>
                    <w:rPr/>
                  </w:pPr>
                  <w:r>
                    <w:rPr/>
                    <w:t>-2.14</w:t>
                  </w:r>
                </w:p>
              </w:tc>
              <w:tc>
                <w:tcPr>
                  <w:tcW w:w="2032" w:type="dxa"/>
                  <w:tcBorders>
                    <w:top w:val="nil"/>
                    <w:bottom w:val="nil"/>
                  </w:tcBorders>
                  <w:vAlign w:val="center"/>
                </w:tcPr>
                <w:p>
                  <w:pPr>
                    <w:pStyle w:val="Compact"/>
                    <w:spacing w:before="36" w:after="36"/>
                    <w:jc w:val="center"/>
                    <w:rPr/>
                  </w:pPr>
                  <w:r>
                    <w:rPr/>
                    <w:t>-1.81</w:t>
                  </w:r>
                </w:p>
              </w:tc>
              <w:tc>
                <w:tcPr>
                  <w:tcW w:w="3132" w:type="dxa"/>
                  <w:tcBorders>
                    <w:top w:val="nil"/>
                    <w:bottom w:val="nil"/>
                  </w:tcBorders>
                  <w:vAlign w:val="center"/>
                </w:tcPr>
                <w:p>
                  <w:pPr>
                    <w:pStyle w:val="Compact"/>
                    <w:spacing w:before="36" w:after="36"/>
                    <w:jc w:val="center"/>
                    <w:rPr/>
                  </w:pPr>
                  <w:r>
                    <w:rPr/>
                    <w:t>0.84</w:t>
                  </w:r>
                </w:p>
              </w:tc>
              <w:tc>
                <w:tcPr>
                  <w:tcW w:w="1186" w:type="dxa"/>
                  <w:tcBorders>
                    <w:top w:val="nil"/>
                    <w:bottom w:val="nil"/>
                  </w:tcBorders>
                  <w:vAlign w:val="center"/>
                </w:tcPr>
                <w:p>
                  <w:pPr>
                    <w:pStyle w:val="Compact"/>
                    <w:spacing w:before="36" w:after="36"/>
                    <w:jc w:val="center"/>
                    <w:rPr/>
                  </w:pPr>
                  <w:r>
                    <w:rPr/>
                    <w:t>[0.58, 1.11]</w:t>
                  </w:r>
                </w:p>
              </w:tc>
            </w:tr>
            <w:tr>
              <w:trPr/>
              <w:tc>
                <w:tcPr>
                  <w:tcW w:w="1013" w:type="dxa"/>
                  <w:tcBorders>
                    <w:top w:val="nil"/>
                    <w:bottom w:val="nil"/>
                  </w:tcBorders>
                  <w:vAlign w:val="center"/>
                </w:tcPr>
                <w:p>
                  <w:pPr>
                    <w:pStyle w:val="Compact"/>
                    <w:spacing w:before="36" w:after="36"/>
                    <w:jc w:val="center"/>
                    <w:rPr/>
                  </w:pPr>
                  <w:r>
                    <w:rPr/>
                    <w:t>Flash</w:t>
                  </w:r>
                </w:p>
              </w:tc>
              <w:tc>
                <w:tcPr>
                  <w:tcW w:w="1781" w:type="dxa"/>
                  <w:tcBorders>
                    <w:top w:val="nil"/>
                    <w:bottom w:val="nil"/>
                  </w:tcBorders>
                  <w:vAlign w:val="center"/>
                </w:tcPr>
                <w:p>
                  <w:pPr>
                    <w:pStyle w:val="Compact"/>
                    <w:spacing w:before="36" w:after="36"/>
                    <w:jc w:val="center"/>
                    <w:rPr/>
                  </w:pPr>
                  <w:r>
                    <w:rPr/>
                    <w:t>-1.69</w:t>
                  </w:r>
                </w:p>
              </w:tc>
              <w:tc>
                <w:tcPr>
                  <w:tcW w:w="2032" w:type="dxa"/>
                  <w:tcBorders>
                    <w:top w:val="nil"/>
                    <w:bottom w:val="nil"/>
                  </w:tcBorders>
                  <w:vAlign w:val="center"/>
                </w:tcPr>
                <w:p>
                  <w:pPr>
                    <w:pStyle w:val="Compact"/>
                    <w:spacing w:before="36" w:after="36"/>
                    <w:jc w:val="center"/>
                    <w:rPr/>
                  </w:pPr>
                  <w:r>
                    <w:rPr/>
                    <w:t>-0.92</w:t>
                  </w:r>
                </w:p>
              </w:tc>
              <w:tc>
                <w:tcPr>
                  <w:tcW w:w="3132" w:type="dxa"/>
                  <w:tcBorders>
                    <w:top w:val="nil"/>
                    <w:bottom w:val="nil"/>
                  </w:tcBorders>
                  <w:vAlign w:val="center"/>
                </w:tcPr>
                <w:p>
                  <w:pPr>
                    <w:pStyle w:val="Compact"/>
                    <w:spacing w:before="36" w:after="36"/>
                    <w:jc w:val="center"/>
                    <w:rPr/>
                  </w:pPr>
                  <w:r>
                    <w:rPr/>
                    <w:t>0.55</w:t>
                  </w:r>
                </w:p>
              </w:tc>
              <w:tc>
                <w:tcPr>
                  <w:tcW w:w="1186" w:type="dxa"/>
                  <w:tcBorders>
                    <w:top w:val="nil"/>
                    <w:bottom w:val="nil"/>
                  </w:tcBorders>
                  <w:vAlign w:val="center"/>
                </w:tcPr>
                <w:p>
                  <w:pPr>
                    <w:pStyle w:val="Compact"/>
                    <w:spacing w:before="36" w:after="36"/>
                    <w:jc w:val="center"/>
                    <w:rPr/>
                  </w:pPr>
                  <w:r>
                    <w:rPr/>
                    <w:t>[0.19, 0.90]</w:t>
                  </w:r>
                </w:p>
              </w:tc>
            </w:tr>
            <w:tr>
              <w:trPr/>
              <w:tc>
                <w:tcPr>
                  <w:tcW w:w="1013" w:type="dxa"/>
                  <w:tcBorders>
                    <w:top w:val="nil"/>
                    <w:bottom w:val="nil"/>
                  </w:tcBorders>
                  <w:vAlign w:val="center"/>
                </w:tcPr>
                <w:p>
                  <w:pPr>
                    <w:pStyle w:val="Compact"/>
                    <w:spacing w:before="36" w:after="36"/>
                    <w:jc w:val="center"/>
                    <w:rPr/>
                  </w:pPr>
                  <w:r>
                    <w:rPr/>
                    <w:t>Pro</w:t>
                  </w:r>
                </w:p>
              </w:tc>
              <w:tc>
                <w:tcPr>
                  <w:tcW w:w="1781" w:type="dxa"/>
                  <w:tcBorders>
                    <w:top w:val="nil"/>
                    <w:bottom w:val="nil"/>
                  </w:tcBorders>
                  <w:vAlign w:val="center"/>
                </w:tcPr>
                <w:p>
                  <w:pPr>
                    <w:pStyle w:val="Compact"/>
                    <w:spacing w:before="36" w:after="36"/>
                    <w:jc w:val="center"/>
                    <w:rPr/>
                  </w:pPr>
                  <w:r>
                    <w:rPr/>
                    <w:t>-3.11</w:t>
                  </w:r>
                </w:p>
              </w:tc>
              <w:tc>
                <w:tcPr>
                  <w:tcW w:w="2032" w:type="dxa"/>
                  <w:tcBorders>
                    <w:top w:val="nil"/>
                    <w:bottom w:val="nil"/>
                  </w:tcBorders>
                  <w:vAlign w:val="center"/>
                </w:tcPr>
                <w:p>
                  <w:pPr>
                    <w:pStyle w:val="Compact"/>
                    <w:spacing w:before="36" w:after="36"/>
                    <w:jc w:val="center"/>
                    <w:rPr/>
                  </w:pPr>
                  <w:r>
                    <w:rPr/>
                    <w:t>-3.18</w:t>
                  </w:r>
                </w:p>
              </w:tc>
              <w:tc>
                <w:tcPr>
                  <w:tcW w:w="3132" w:type="dxa"/>
                  <w:tcBorders>
                    <w:top w:val="nil"/>
                    <w:bottom w:val="nil"/>
                  </w:tcBorders>
                  <w:vAlign w:val="center"/>
                </w:tcPr>
                <w:p>
                  <w:pPr>
                    <w:pStyle w:val="Compact"/>
                    <w:spacing w:before="36" w:after="36"/>
                    <w:jc w:val="center"/>
                    <w:rPr/>
                  </w:pPr>
                  <w:r>
                    <w:rPr/>
                    <w:t>1.02</w:t>
                  </w:r>
                </w:p>
              </w:tc>
              <w:tc>
                <w:tcPr>
                  <w:tcW w:w="1186" w:type="dxa"/>
                  <w:tcBorders>
                    <w:top w:val="nil"/>
                    <w:bottom w:val="nil"/>
                  </w:tcBorders>
                  <w:vAlign w:val="center"/>
                </w:tcPr>
                <w:p>
                  <w:pPr>
                    <w:pStyle w:val="Compact"/>
                    <w:spacing w:before="36" w:after="36"/>
                    <w:jc w:val="center"/>
                    <w:rPr/>
                  </w:pPr>
                  <w:r>
                    <w:rPr/>
                    <w:t>[0.83, 1.22]</w:t>
                  </w:r>
                </w:p>
              </w:tc>
            </w:tr>
            <w:tr>
              <w:trPr/>
              <w:tc>
                <w:tcPr>
                  <w:tcW w:w="1013" w:type="dxa"/>
                  <w:tcBorders>
                    <w:top w:val="nil"/>
                    <w:bottom w:val="nil"/>
                  </w:tcBorders>
                  <w:vAlign w:val="center"/>
                </w:tcPr>
                <w:p>
                  <w:pPr>
                    <w:pStyle w:val="Compact"/>
                    <w:spacing w:before="36" w:after="36"/>
                    <w:jc w:val="center"/>
                    <w:rPr/>
                  </w:pPr>
                  <w:r>
                    <w:rPr/>
                    <w:t>Sonnet</w:t>
                  </w:r>
                </w:p>
              </w:tc>
              <w:tc>
                <w:tcPr>
                  <w:tcW w:w="1781" w:type="dxa"/>
                  <w:tcBorders>
                    <w:top w:val="nil"/>
                    <w:bottom w:val="nil"/>
                  </w:tcBorders>
                  <w:vAlign w:val="center"/>
                </w:tcPr>
                <w:p>
                  <w:pPr>
                    <w:pStyle w:val="Compact"/>
                    <w:spacing w:before="36" w:after="36"/>
                    <w:jc w:val="center"/>
                    <w:rPr/>
                  </w:pPr>
                  <w:r>
                    <w:rPr/>
                    <w:t>-3.99</w:t>
                  </w:r>
                </w:p>
              </w:tc>
              <w:tc>
                <w:tcPr>
                  <w:tcW w:w="2032" w:type="dxa"/>
                  <w:tcBorders>
                    <w:top w:val="nil"/>
                    <w:bottom w:val="nil"/>
                  </w:tcBorders>
                  <w:vAlign w:val="center"/>
                </w:tcPr>
                <w:p>
                  <w:pPr>
                    <w:pStyle w:val="Compact"/>
                    <w:spacing w:before="36" w:after="36"/>
                    <w:jc w:val="center"/>
                    <w:rPr/>
                  </w:pPr>
                  <w:r>
                    <w:rPr/>
                    <w:t>-4.45</w:t>
                  </w:r>
                </w:p>
              </w:tc>
              <w:tc>
                <w:tcPr>
                  <w:tcW w:w="3132" w:type="dxa"/>
                  <w:tcBorders>
                    <w:top w:val="nil"/>
                    <w:bottom w:val="nil"/>
                  </w:tcBorders>
                  <w:vAlign w:val="center"/>
                </w:tcPr>
                <w:p>
                  <w:pPr>
                    <w:pStyle w:val="Compact"/>
                    <w:spacing w:before="36" w:after="36"/>
                    <w:jc w:val="center"/>
                    <w:rPr/>
                  </w:pPr>
                  <w:r>
                    <w:rPr/>
                    <w:t>1.12</w:t>
                  </w:r>
                </w:p>
              </w:tc>
              <w:tc>
                <w:tcPr>
                  <w:tcW w:w="1186" w:type="dxa"/>
                  <w:tcBorders>
                    <w:top w:val="nil"/>
                    <w:bottom w:val="nil"/>
                  </w:tcBorders>
                  <w:vAlign w:val="center"/>
                </w:tcPr>
                <w:p>
                  <w:pPr>
                    <w:pStyle w:val="Compact"/>
                    <w:spacing w:before="36" w:after="36"/>
                    <w:jc w:val="center"/>
                    <w:rPr/>
                  </w:pPr>
                  <w:r>
                    <w:rPr/>
                    <w:t>[0.94, 1.28]</w:t>
                  </w:r>
                </w:p>
              </w:tc>
            </w:tr>
            <w:tr>
              <w:trPr/>
              <w:tc>
                <w:tcPr>
                  <w:tcW w:w="1013" w:type="dxa"/>
                  <w:tcBorders>
                    <w:top w:val="nil"/>
                    <w:bottom w:val="nil"/>
                  </w:tcBorders>
                  <w:vAlign w:val="center"/>
                </w:tcPr>
                <w:p>
                  <w:pPr>
                    <w:pStyle w:val="Compact"/>
                    <w:spacing w:before="36" w:after="36"/>
                    <w:jc w:val="center"/>
                    <w:rPr/>
                  </w:pPr>
                  <w:r>
                    <w:rPr/>
                    <w:t>Opus</w:t>
                  </w:r>
                </w:p>
              </w:tc>
              <w:tc>
                <w:tcPr>
                  <w:tcW w:w="1781" w:type="dxa"/>
                  <w:tcBorders>
                    <w:top w:val="nil"/>
                    <w:bottom w:val="nil"/>
                  </w:tcBorders>
                  <w:vAlign w:val="center"/>
                </w:tcPr>
                <w:p>
                  <w:pPr>
                    <w:pStyle w:val="Compact"/>
                    <w:spacing w:before="36" w:after="36"/>
                    <w:jc w:val="center"/>
                    <w:rPr/>
                  </w:pPr>
                  <w:r>
                    <w:rPr/>
                    <w:t>-1.54</w:t>
                  </w:r>
                </w:p>
              </w:tc>
              <w:tc>
                <w:tcPr>
                  <w:tcW w:w="2032" w:type="dxa"/>
                  <w:tcBorders>
                    <w:top w:val="nil"/>
                    <w:bottom w:val="nil"/>
                  </w:tcBorders>
                  <w:vAlign w:val="center"/>
                </w:tcPr>
                <w:p>
                  <w:pPr>
                    <w:pStyle w:val="Compact"/>
                    <w:spacing w:before="36" w:after="36"/>
                    <w:jc w:val="center"/>
                    <w:rPr/>
                  </w:pPr>
                  <w:r>
                    <w:rPr/>
                    <w:t>-1.25</w:t>
                  </w:r>
                </w:p>
              </w:tc>
              <w:tc>
                <w:tcPr>
                  <w:tcW w:w="3132" w:type="dxa"/>
                  <w:tcBorders>
                    <w:top w:val="nil"/>
                    <w:bottom w:val="nil"/>
                  </w:tcBorders>
                  <w:vAlign w:val="center"/>
                </w:tcPr>
                <w:p>
                  <w:pPr>
                    <w:pStyle w:val="Compact"/>
                    <w:spacing w:before="36" w:after="36"/>
                    <w:jc w:val="center"/>
                    <w:rPr/>
                  </w:pPr>
                  <w:r>
                    <w:rPr/>
                    <w:t>0.81</w:t>
                  </w:r>
                </w:p>
              </w:tc>
              <w:tc>
                <w:tcPr>
                  <w:tcW w:w="1186" w:type="dxa"/>
                  <w:tcBorders>
                    <w:top w:val="nil"/>
                    <w:bottom w:val="nil"/>
                  </w:tcBorders>
                  <w:vAlign w:val="center"/>
                </w:tcPr>
                <w:p>
                  <w:pPr>
                    <w:pStyle w:val="Compact"/>
                    <w:spacing w:before="36" w:after="36"/>
                    <w:jc w:val="center"/>
                    <w:rPr/>
                  </w:pPr>
                  <w:r>
                    <w:rPr/>
                    <w:t>[0.45, 1.17]</w:t>
                  </w:r>
                </w:p>
              </w:tc>
            </w:tr>
            <w:tr>
              <w:trPr/>
              <w:tc>
                <w:tcPr>
                  <w:tcW w:w="1013" w:type="dxa"/>
                  <w:tcBorders>
                    <w:top w:val="nil"/>
                    <w:bottom w:val="nil"/>
                  </w:tcBorders>
                  <w:vAlign w:val="center"/>
                </w:tcPr>
                <w:p>
                  <w:pPr>
                    <w:pStyle w:val="Compact"/>
                    <w:spacing w:before="36" w:after="36"/>
                    <w:jc w:val="center"/>
                    <w:rPr/>
                  </w:pPr>
                  <w:r>
                    <w:rPr/>
                    <w:t>Luna</w:t>
                  </w:r>
                </w:p>
              </w:tc>
              <w:tc>
                <w:tcPr>
                  <w:tcW w:w="1781" w:type="dxa"/>
                  <w:tcBorders>
                    <w:top w:val="nil"/>
                    <w:bottom w:val="nil"/>
                  </w:tcBorders>
                  <w:vAlign w:val="center"/>
                </w:tcPr>
                <w:p>
                  <w:pPr>
                    <w:pStyle w:val="Compact"/>
                    <w:spacing w:before="36" w:after="36"/>
                    <w:jc w:val="center"/>
                    <w:rPr/>
                  </w:pPr>
                  <w:r>
                    <w:rPr/>
                    <w:t>-4</w:t>
                  </w:r>
                </w:p>
              </w:tc>
              <w:tc>
                <w:tcPr>
                  <w:tcW w:w="2032" w:type="dxa"/>
                  <w:tcBorders>
                    <w:top w:val="nil"/>
                    <w:bottom w:val="nil"/>
                  </w:tcBorders>
                  <w:vAlign w:val="center"/>
                </w:tcPr>
                <w:p>
                  <w:pPr>
                    <w:pStyle w:val="Compact"/>
                    <w:spacing w:before="36" w:after="36"/>
                    <w:jc w:val="center"/>
                    <w:rPr/>
                  </w:pPr>
                  <w:r>
                    <w:rPr/>
                    <w:t>-4.45</w:t>
                  </w:r>
                </w:p>
              </w:tc>
              <w:tc>
                <w:tcPr>
                  <w:tcW w:w="3132" w:type="dxa"/>
                  <w:tcBorders>
                    <w:top w:val="nil"/>
                    <w:bottom w:val="nil"/>
                  </w:tcBorders>
                  <w:vAlign w:val="center"/>
                </w:tcPr>
                <w:p>
                  <w:pPr>
                    <w:pStyle w:val="Compact"/>
                    <w:spacing w:before="36" w:after="36"/>
                    <w:jc w:val="center"/>
                    <w:rPr/>
                  </w:pPr>
                  <w:r>
                    <w:rPr/>
                    <w:t>1.11</w:t>
                  </w:r>
                </w:p>
              </w:tc>
              <w:tc>
                <w:tcPr>
                  <w:tcW w:w="1186" w:type="dxa"/>
                  <w:tcBorders>
                    <w:top w:val="nil"/>
                    <w:bottom w:val="nil"/>
                  </w:tcBorders>
                  <w:vAlign w:val="center"/>
                </w:tcPr>
                <w:p>
                  <w:pPr>
                    <w:pStyle w:val="Compact"/>
                    <w:spacing w:before="36" w:after="36"/>
                    <w:jc w:val="center"/>
                    <w:rPr/>
                  </w:pPr>
                  <w:r>
                    <w:rPr/>
                    <w:t>[0.94, 1.28]</w:t>
                  </w:r>
                </w:p>
              </w:tc>
            </w:tr>
            <w:tr>
              <w:trPr/>
              <w:tc>
                <w:tcPr>
                  <w:tcW w:w="1013" w:type="dxa"/>
                  <w:tcBorders>
                    <w:top w:val="nil"/>
                    <w:bottom w:val="nil"/>
                  </w:tcBorders>
                  <w:vAlign w:val="center"/>
                </w:tcPr>
                <w:p>
                  <w:pPr>
                    <w:pStyle w:val="Compact"/>
                    <w:spacing w:before="36" w:after="36"/>
                    <w:jc w:val="center"/>
                    <w:rPr/>
                  </w:pPr>
                  <w:r>
                    <w:rPr/>
                    <w:t>Terra</w:t>
                  </w:r>
                </w:p>
              </w:tc>
              <w:tc>
                <w:tcPr>
                  <w:tcW w:w="1781" w:type="dxa"/>
                  <w:tcBorders>
                    <w:top w:val="nil"/>
                    <w:bottom w:val="nil"/>
                  </w:tcBorders>
                  <w:vAlign w:val="center"/>
                </w:tcPr>
                <w:p>
                  <w:pPr>
                    <w:pStyle w:val="Compact"/>
                    <w:spacing w:before="36" w:after="36"/>
                    <w:jc w:val="center"/>
                    <w:rPr/>
                  </w:pPr>
                  <w:r>
                    <w:rPr/>
                    <w:t>-4.29</w:t>
                  </w:r>
                </w:p>
              </w:tc>
              <w:tc>
                <w:tcPr>
                  <w:tcW w:w="2032" w:type="dxa"/>
                  <w:tcBorders>
                    <w:top w:val="nil"/>
                    <w:bottom w:val="nil"/>
                  </w:tcBorders>
                  <w:vAlign w:val="center"/>
                </w:tcPr>
                <w:p>
                  <w:pPr>
                    <w:pStyle w:val="Compact"/>
                    <w:spacing w:before="36" w:after="36"/>
                    <w:jc w:val="center"/>
                    <w:rPr/>
                  </w:pPr>
                  <w:r>
                    <w:rPr/>
                    <w:t>-4.75</w:t>
                  </w:r>
                </w:p>
              </w:tc>
              <w:tc>
                <w:tcPr>
                  <w:tcW w:w="3132" w:type="dxa"/>
                  <w:tcBorders>
                    <w:top w:val="nil"/>
                    <w:bottom w:val="nil"/>
                  </w:tcBorders>
                  <w:vAlign w:val="center"/>
                </w:tcPr>
                <w:p>
                  <w:pPr>
                    <w:pStyle w:val="Compact"/>
                    <w:spacing w:before="36" w:after="36"/>
                    <w:jc w:val="center"/>
                    <w:rPr/>
                  </w:pPr>
                  <w:r>
                    <w:rPr/>
                    <w:t>1.11</w:t>
                  </w:r>
                </w:p>
              </w:tc>
              <w:tc>
                <w:tcPr>
                  <w:tcW w:w="1186" w:type="dxa"/>
                  <w:tcBorders>
                    <w:top w:val="nil"/>
                    <w:bottom w:val="nil"/>
                  </w:tcBorders>
                  <w:vAlign w:val="center"/>
                </w:tcPr>
                <w:p>
                  <w:pPr>
                    <w:pStyle w:val="Compact"/>
                    <w:spacing w:before="36" w:after="36"/>
                    <w:jc w:val="center"/>
                    <w:rPr/>
                  </w:pPr>
                  <w:r>
                    <w:rPr/>
                    <w:t>[0.94, 1.27]</w:t>
                  </w:r>
                </w:p>
              </w:tc>
            </w:tr>
            <w:tr>
              <w:trPr/>
              <w:tc>
                <w:tcPr>
                  <w:tcW w:w="1013" w:type="dxa"/>
                  <w:tcBorders>
                    <w:top w:val="nil"/>
                  </w:tcBorders>
                  <w:vAlign w:val="center"/>
                </w:tcPr>
                <w:p>
                  <w:pPr>
                    <w:pStyle w:val="Compact"/>
                    <w:spacing w:before="36" w:after="36"/>
                    <w:jc w:val="center"/>
                    <w:rPr/>
                  </w:pPr>
                  <w:r>
                    <w:rPr/>
                    <w:t>Sol</w:t>
                  </w:r>
                </w:p>
              </w:tc>
              <w:tc>
                <w:tcPr>
                  <w:tcW w:w="1781" w:type="dxa"/>
                  <w:tcBorders>
                    <w:top w:val="nil"/>
                  </w:tcBorders>
                  <w:vAlign w:val="center"/>
                </w:tcPr>
                <w:p>
                  <w:pPr>
                    <w:pStyle w:val="Compact"/>
                    <w:spacing w:before="36" w:after="36"/>
                    <w:jc w:val="center"/>
                    <w:rPr/>
                  </w:pPr>
                  <w:r>
                    <w:rPr/>
                    <w:t>-4.29</w:t>
                  </w:r>
                </w:p>
              </w:tc>
              <w:tc>
                <w:tcPr>
                  <w:tcW w:w="2032" w:type="dxa"/>
                  <w:tcBorders>
                    <w:top w:val="nil"/>
                  </w:tcBorders>
                  <w:vAlign w:val="center"/>
                </w:tcPr>
                <w:p>
                  <w:pPr>
                    <w:pStyle w:val="Compact"/>
                    <w:spacing w:before="36" w:after="36"/>
                    <w:jc w:val="center"/>
                    <w:rPr/>
                  </w:pPr>
                  <w:r>
                    <w:rPr/>
                    <w:t>-4.75</w:t>
                  </w:r>
                </w:p>
              </w:tc>
              <w:tc>
                <w:tcPr>
                  <w:tcW w:w="3132" w:type="dxa"/>
                  <w:tcBorders>
                    <w:top w:val="nil"/>
                  </w:tcBorders>
                  <w:vAlign w:val="center"/>
                </w:tcPr>
                <w:p>
                  <w:pPr>
                    <w:pStyle w:val="Compact"/>
                    <w:spacing w:before="36" w:after="36"/>
                    <w:jc w:val="center"/>
                    <w:rPr/>
                  </w:pPr>
                  <w:r>
                    <w:rPr/>
                    <w:t>1.11</w:t>
                  </w:r>
                </w:p>
              </w:tc>
              <w:tc>
                <w:tcPr>
                  <w:tcW w:w="1186" w:type="dxa"/>
                  <w:tcBorders>
                    <w:top w:val="nil"/>
                  </w:tcBorders>
                  <w:vAlign w:val="center"/>
                </w:tcPr>
                <w:p>
                  <w:pPr>
                    <w:pStyle w:val="Compact"/>
                    <w:spacing w:before="36" w:after="36"/>
                    <w:jc w:val="center"/>
                    <w:rPr/>
                  </w:pPr>
                  <w:r>
                    <w:rPr/>
                    <w:t>[0.94, 1.27]</w:t>
                  </w:r>
                  <w:bookmarkStart w:id="141" w:name="apptbl-s1a-cent-dollar-ratio"/>
                  <w:bookmarkEnd w:id="141"/>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014</m:t>
        </m:r>
      </m:oMath>
      <w:r>
        <w:rPr/>
        <w:t xml:space="preserve"> choice sets (</w:t>
      </w:r>
      <w:r>
        <w:rPr/>
      </w:r>
      <m:oMath xmlns:m="http://schemas.openxmlformats.org/officeDocument/2006/math">
        <m:r>
          <w:rPr>
            <w:rFonts w:ascii="Cambria Math" w:hAnsi="Cambria Math"/>
          </w:rPr>
          <m:t xml:space="preserve">4</m:t>
        </m:r>
        <m:r>
          <w:rPr>
            <w:rFonts w:ascii="Cambria Math" w:hAnsi="Cambria Math"/>
          </w:rPr>
          <m:t xml:space="preserve">,</m:t>
        </m:r>
        <m:r>
          <w:rPr>
            <w:rFonts w:ascii="Cambria Math" w:hAnsi="Cambria Math"/>
          </w:rPr>
          <m:t xml:space="preserve">056</m:t>
        </m:r>
      </m:oMath>
      <w:r>
        <w:rPr/>
        <w:t xml:space="preserve"> observations) per LLM. Fractional cents are scaled to dollars (</w:t>
      </w:r>
      <w:r>
        <w:rPr/>
      </w:r>
      <m:oMath xmlns:m="http://schemas.openxmlformats.org/officeDocument/2006/math">
        <m:r>
          <m:rPr>
            <m:lit/>
            <m:nor/>
          </m:rPr>
          <w:rPr>
            <w:rFonts w:ascii="Cambria Math" w:hAnsi="Cambria Math"/>
          </w:rPr>
          <m:t xml:space="preserve">Cents ($)</m:t>
        </m:r>
        <m:r>
          <w:rPr>
            <w:rFonts w:ascii="Cambria Math" w:hAnsi="Cambria Math"/>
          </w:rPr>
          <m:t xml:space="preserve">=</m:t>
        </m:r>
        <m:f>
          <m:fPr>
            <m:type m:val="lin"/>
          </m:fPr>
          <m:num>
            <m:r>
              <m:rPr>
                <m:lit/>
                <m:nor/>
              </m:rPr>
              <w:rPr>
                <w:rFonts w:ascii="Cambria Math" w:hAnsi="Cambria Math"/>
              </w:rPr>
              <m:t xml:space="preserve">Cents</m:t>
            </m:r>
          </m:num>
          <m:den>
            <m:r>
              <w:rPr>
                <w:rFonts w:ascii="Cambria Math" w:hAnsi="Cambria Math"/>
              </w:rPr>
              <m:t xml:space="preserve">100</m:t>
            </m:r>
          </m:den>
        </m:f>
      </m:oMath>
      <w:r>
        <w:rPr/>
        <w:t>), hence both coefficients express the marginal disutility of a one-dollar increase in that component of the price. A ratio of one indicates that a cent is weighted at exactly one hundredth of a dollar. Ratios below one indicate that the cent component is discounted relative to the dollar component. Confidence intervals are exact (Fieller). Estimates for GPT-5.6 Terra and GPT-5.6 Sol are identical because both LLMs selected the same cost-minimizing alternative in all 1,014 choice sets.</w:t>
      </w:r>
      <w:bookmarkEnd w:id="140"/>
    </w:p>
    <w:p>
      <w:pPr>
        <w:pStyle w:val="Heading2"/>
        <w:rPr/>
      </w:pPr>
      <w:bookmarkStart w:id="142" w:name="study-1---tool-lab"/>
      <w:r>
        <w:rPr/>
        <w:t>Study 1 - Tool-Lab</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W9: Prompt manipulation establishing goal specificity (Studies 1 and 2 Tool-Lab)</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524"/>
              <w:gridCol w:w="7620"/>
            </w:tblGrid>
            <w:tr>
              <w:trPr>
                <w:tblHeader w:val="true"/>
              </w:trPr>
              <w:tc>
                <w:tcPr>
                  <w:tcW w:w="1524" w:type="dxa"/>
                  <w:tcBorders/>
                  <w:vAlign w:val="center"/>
                </w:tcPr>
                <w:p>
                  <w:pPr>
                    <w:pStyle w:val="Compact"/>
                    <w:spacing w:before="36" w:after="36"/>
                    <w:jc w:val="center"/>
                    <w:rPr>
                      <w:b w:val="false"/>
                    </w:rPr>
                  </w:pPr>
                  <w:r>
                    <w:rPr>
                      <w:b w:val="false"/>
                    </w:rPr>
                    <w:t>Prompt goal</w:t>
                  </w:r>
                </w:p>
              </w:tc>
              <w:tc>
                <w:tcPr>
                  <w:tcW w:w="7620" w:type="dxa"/>
                  <w:tcBorders/>
                  <w:vAlign w:val="center"/>
                </w:tcPr>
                <w:p>
                  <w:pPr>
                    <w:pStyle w:val="Compact"/>
                    <w:spacing w:before="36" w:after="36"/>
                    <w:jc w:val="center"/>
                    <w:rPr>
                      <w:b w:val="false"/>
                    </w:rPr>
                  </w:pPr>
                  <w:r>
                    <w:rPr>
                      <w:b w:val="false"/>
                    </w:rPr>
                    <w:t>Prompt text</w:t>
                  </w:r>
                </w:p>
              </w:tc>
            </w:tr>
            <w:tr>
              <w:trPr/>
              <w:tc>
                <w:tcPr>
                  <w:tcW w:w="1524" w:type="dxa"/>
                  <w:tcBorders>
                    <w:top w:val="nil"/>
                    <w:bottom w:val="nil"/>
                  </w:tcBorders>
                  <w:vAlign w:val="center"/>
                </w:tcPr>
                <w:p>
                  <w:pPr>
                    <w:pStyle w:val="Compact"/>
                    <w:spacing w:before="36" w:after="36"/>
                    <w:jc w:val="center"/>
                    <w:rPr/>
                  </w:pPr>
                  <w:r>
                    <w:rPr/>
                    <w:t>Vague</w:t>
                  </w:r>
                </w:p>
              </w:tc>
              <w:tc>
                <w:tcPr>
                  <w:tcW w:w="7620" w:type="dxa"/>
                  <w:tcBorders>
                    <w:top w:val="nil"/>
                    <w:bottom w:val="nil"/>
                  </w:tcBorders>
                  <w:vAlign w:val="center"/>
                </w:tcPr>
                <w:p>
                  <w:pPr>
                    <w:pStyle w:val="Compact"/>
                    <w:spacing w:before="36" w:after="36"/>
                    <w:jc w:val="center"/>
                    <w:rPr/>
                  </w:pPr>
                  <w:r>
                    <w:rPr/>
                    <w:t xml:space="preserve">You have been delegated by a consumer to make purchase decision. Your goal is to choose an instant coffee for the user.  After you choose a coffee, the user would purchase 5 bags of your chosen coffee.  You can open the cells to get information about the product using the </w:t>
                  </w:r>
                  <w:r>
                    <w:rPr>
                      <w:i/>
                      <w:iCs/>
                    </w:rPr>
                    <w:t>inspect_cell</w:t>
                  </w:r>
                  <w:r>
                    <w:rPr/>
                    <w:t xml:space="preserve"> tool, or you can stop searching and submit your choice with the </w:t>
                  </w:r>
                  <w:r>
                    <w:rPr>
                      <w:i/>
                      <w:iCs/>
                    </w:rPr>
                    <w:t>submit_choice</w:t>
                  </w:r>
                  <w:r>
                    <w:rPr/>
                    <w:t xml:space="preserve"> tool.  Every time you use the </w:t>
                  </w:r>
                  <w:r>
                    <w:rPr>
                      <w:i/>
                      <w:iCs/>
                    </w:rPr>
                    <w:t>inspect_cell</w:t>
                  </w:r>
                  <w:r>
                    <w:rPr/>
                    <w:t xml:space="preserve"> tool, the user loses {inspect_tool_cost}. </w:t>
                  </w:r>
                  <w:r>
                    <w:rPr>
                      <w:i/>
                      <w:iCs/>
                    </w:rPr>
                    <w:t>submit_choice</w:t>
                  </w:r>
                  <w:r>
                    <w:rPr/>
                    <w:t xml:space="preserve"> has no cost.  You need to find the </w:t>
                  </w:r>
                  <w:r>
                    <w:rPr>
                      <w:b/>
                      <w:bCs/>
                    </w:rPr>
                    <w:t>best deal</w:t>
                  </w:r>
                  <w:r>
                    <w:rPr/>
                    <w:t xml:space="preserve"> on instant coffee.  Which coffee would you choose for the user?</w:t>
                  </w:r>
                </w:p>
              </w:tc>
            </w:tr>
            <w:tr>
              <w:trPr/>
              <w:tc>
                <w:tcPr>
                  <w:tcW w:w="1524" w:type="dxa"/>
                  <w:tcBorders>
                    <w:top w:val="nil"/>
                  </w:tcBorders>
                  <w:vAlign w:val="center"/>
                </w:tcPr>
                <w:p>
                  <w:pPr>
                    <w:pStyle w:val="Compact"/>
                    <w:spacing w:before="36" w:after="36"/>
                    <w:jc w:val="center"/>
                    <w:rPr/>
                  </w:pPr>
                  <w:r>
                    <w:rPr/>
                    <w:t>Specific</w:t>
                  </w:r>
                </w:p>
              </w:tc>
              <w:tc>
                <w:tcPr>
                  <w:tcW w:w="7620" w:type="dxa"/>
                  <w:tcBorders>
                    <w:top w:val="nil"/>
                  </w:tcBorders>
                  <w:vAlign w:val="center"/>
                </w:tcPr>
                <w:p>
                  <w:pPr>
                    <w:pStyle w:val="Compact"/>
                    <w:spacing w:before="36" w:after="36"/>
                    <w:jc w:val="center"/>
                    <w:rPr/>
                  </w:pPr>
                  <w:r>
                    <w:rPr/>
                    <w:t xml:space="preserve">You have been delegated by a consumer to make purchase decision. Your goal is to choose an instant coffee for the user.  After you choose a coffee, the user would purchase 5 bags of your chosen coffee.  You can open the cells to get information about the product using the </w:t>
                  </w:r>
                  <w:r>
                    <w:rPr>
                      <w:i/>
                      <w:iCs/>
                    </w:rPr>
                    <w:t>inspect_cell</w:t>
                  </w:r>
                  <w:r>
                    <w:rPr/>
                    <w:t xml:space="preserve"> tool, or you can stop searching and submit your choice with the </w:t>
                  </w:r>
                  <w:r>
                    <w:rPr>
                      <w:i/>
                      <w:iCs/>
                    </w:rPr>
                    <w:t>submit_choice</w:t>
                  </w:r>
                  <w:r>
                    <w:rPr/>
                    <w:t xml:space="preserve"> tool.  Every time you use the </w:t>
                  </w:r>
                  <w:r>
                    <w:rPr>
                      <w:i/>
                      <w:iCs/>
                    </w:rPr>
                    <w:t>inspect_cell</w:t>
                  </w:r>
                  <w:r>
                    <w:rPr/>
                    <w:t xml:space="preserve"> tool, the user loses {inspect_tool_cost}. </w:t>
                  </w:r>
                  <w:r>
                    <w:rPr>
                      <w:i/>
                      <w:iCs/>
                    </w:rPr>
                    <w:t>submit_choice</w:t>
                  </w:r>
                  <w:r>
                    <w:rPr/>
                    <w:t xml:space="preserve"> has no cost.  You need to find the coffee with the </w:t>
                  </w:r>
                  <w:r>
                    <w:rPr>
                      <w:b/>
                      <w:bCs/>
                    </w:rPr>
                    <w:t>lowest price per ounce</w:t>
                  </w:r>
                  <w:r>
                    <w:rPr/>
                    <w:t>.  Which coffee would you choose for the user?</w:t>
                  </w:r>
                  <w:bookmarkStart w:id="143" w:name="apptbl-s1b-prompts"/>
                  <w:bookmarkEnd w:id="143"/>
                </w:p>
              </w:tc>
            </w:tr>
          </w:tbl>
          <w:p>
            <w:pPr>
              <w:pStyle w:val="Normal"/>
              <w:spacing w:before="0" w:after="200"/>
              <w:jc w:val="left"/>
              <w:rPr>
                <w:sz w:val="24"/>
              </w:rPr>
            </w:pPr>
            <w:r>
              <w:rPr>
                <w:sz w:val="24"/>
              </w:rPr>
            </w:r>
          </w:p>
        </w:tc>
      </w:tr>
    </w:tbl>
    <w:p>
      <w:pPr>
        <w:pStyle w:val="TableNote"/>
        <w:rPr/>
      </w:pPr>
      <w:r>
        <w:rPr>
          <w:i/>
          <w:iCs/>
        </w:rPr>
        <w:t>Note.</w:t>
      </w:r>
      <w:r>
        <w:rPr/>
        <w:t xml:space="preserve"> The parameter {inspect_tool_cost} was dynamically replaced with the cost ($0.00 vs. $10.00 in Study 1 and $0.00 vs. $10.00 in Study 2) according to the assigned acquisition cost condition.</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W10: Inspecting Cents, Weight, Dollars, Diagnostic information acquisition and choice optimality (Study 1 Tool-Lab)</w:t>
            </w:r>
          </w:p>
          <w:tbl>
            <w:tblPr>
              <w:tblStyle w:val="APATable"/>
              <w:tblW w:w="47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843"/>
              <w:gridCol w:w="459"/>
              <w:gridCol w:w="911"/>
              <w:gridCol w:w="912"/>
              <w:gridCol w:w="911"/>
              <w:gridCol w:w="912"/>
              <w:gridCol w:w="911"/>
              <w:gridCol w:w="912"/>
              <w:gridCol w:w="911"/>
              <w:gridCol w:w="913"/>
            </w:tblGrid>
            <w:tr>
              <w:trPr>
                <w:tblHeader w:val="true"/>
              </w:trPr>
              <w:tc>
                <w:tcPr>
                  <w:tcW w:w="843" w:type="dxa"/>
                  <w:tcBorders/>
                  <w:vAlign w:val="center"/>
                </w:tcPr>
                <w:p>
                  <w:pPr>
                    <w:pStyle w:val="Compact"/>
                    <w:spacing w:before="36" w:after="36"/>
                    <w:jc w:val="center"/>
                    <w:rPr>
                      <w:b w:val="false"/>
                    </w:rPr>
                  </w:pPr>
                  <w:r>
                    <w:rPr>
                      <w:b w:val="false"/>
                    </w:rPr>
                    <w:t>LLM</w:t>
                  </w:r>
                </w:p>
              </w:tc>
              <w:tc>
                <w:tcPr>
                  <w:tcW w:w="459" w:type="dxa"/>
                  <w:tcBorders/>
                  <w:vAlign w:val="center"/>
                </w:tcPr>
                <w:p>
                  <w:pPr>
                    <w:pStyle w:val="Compact"/>
                    <w:spacing w:before="36" w:after="36"/>
                    <w:jc w:val="center"/>
                    <w:rPr>
                      <w:b w:val="false"/>
                    </w:rPr>
                  </w:pPr>
                  <w:r>
                    <w:rPr>
                      <w:b w:val="false"/>
                    </w:rPr>
                    <w:t>Cost</w:t>
                  </w:r>
                </w:p>
              </w:tc>
              <w:tc>
                <w:tcPr>
                  <w:tcW w:w="3646" w:type="dxa"/>
                  <w:gridSpan w:val="4"/>
                  <w:tcBorders/>
                  <w:vAlign w:val="center"/>
                </w:tcPr>
                <w:p>
                  <w:pPr>
                    <w:pStyle w:val="Compact"/>
                    <w:spacing w:before="36" w:after="36"/>
                    <w:jc w:val="center"/>
                    <w:rPr>
                      <w:b w:val="false"/>
                    </w:rPr>
                  </w:pPr>
                  <w:r>
                    <w:rPr>
                      <w:b w:val="false"/>
                    </w:rPr>
                    <w:t>Vague</w:t>
                  </w:r>
                </w:p>
              </w:tc>
              <w:tc>
                <w:tcPr>
                  <w:tcW w:w="3647" w:type="dxa"/>
                  <w:gridSpan w:val="4"/>
                  <w:tcBorders/>
                  <w:vAlign w:val="center"/>
                </w:tcPr>
                <w:p>
                  <w:pPr>
                    <w:pStyle w:val="Compact"/>
                    <w:spacing w:before="36" w:after="36"/>
                    <w:jc w:val="center"/>
                    <w:rPr>
                      <w:b w:val="false"/>
                    </w:rPr>
                  </w:pPr>
                  <w:r>
                    <w:rPr>
                      <w:b w:val="false"/>
                    </w:rPr>
                    <w:t>Specific</w:t>
                  </w:r>
                </w:p>
              </w:tc>
            </w:tr>
            <w:tr>
              <w:trPr>
                <w:tblHeader w:val="true"/>
              </w:trPr>
              <w:tc>
                <w:tcPr>
                  <w:tcW w:w="843" w:type="dxa"/>
                  <w:tcBorders/>
                  <w:vAlign w:val="center"/>
                </w:tcPr>
                <w:p>
                  <w:pPr>
                    <w:pStyle w:val="Compact"/>
                    <w:spacing w:before="36" w:after="36"/>
                    <w:rPr>
                      <w:b w:val="false"/>
                    </w:rPr>
                  </w:pPr>
                  <w:r>
                    <w:rPr>
                      <w:b w:val="false"/>
                    </w:rPr>
                  </w:r>
                </w:p>
              </w:tc>
              <w:tc>
                <w:tcPr>
                  <w:tcW w:w="459" w:type="dxa"/>
                  <w:tcBorders/>
                  <w:vAlign w:val="center"/>
                </w:tcPr>
                <w:p>
                  <w:pPr>
                    <w:pStyle w:val="Compact"/>
                    <w:spacing w:before="36" w:after="36"/>
                    <w:rPr>
                      <w:b w:val="false"/>
                    </w:rPr>
                  </w:pPr>
                  <w:r>
                    <w:rPr>
                      <w:b w:val="false"/>
                    </w:rPr>
                  </w:r>
                </w:p>
              </w:tc>
              <w:tc>
                <w:tcPr>
                  <w:tcW w:w="911" w:type="dxa"/>
                  <w:tcBorders/>
                  <w:vAlign w:val="center"/>
                </w:tcPr>
                <w:p>
                  <w:pPr>
                    <w:pStyle w:val="Compact"/>
                    <w:spacing w:before="36" w:after="36"/>
                    <w:jc w:val="center"/>
                    <w:rPr>
                      <w:b w:val="false"/>
                    </w:rPr>
                  </w:pPr>
                  <w:r>
                    <w:rPr>
                      <w:b w:val="false"/>
                    </w:rPr>
                    <w:t>Cents</w:t>
                  </w:r>
                </w:p>
              </w:tc>
              <w:tc>
                <w:tcPr>
                  <w:tcW w:w="912" w:type="dxa"/>
                  <w:tcBorders/>
                  <w:vAlign w:val="center"/>
                </w:tcPr>
                <w:p>
                  <w:pPr>
                    <w:pStyle w:val="Compact"/>
                    <w:spacing w:before="36" w:after="36"/>
                    <w:jc w:val="center"/>
                    <w:rPr>
                      <w:b w:val="false"/>
                    </w:rPr>
                  </w:pPr>
                  <w:r>
                    <w:rPr>
                      <w:b w:val="false"/>
                    </w:rPr>
                    <w:t>Weight</w:t>
                  </w:r>
                </w:p>
              </w:tc>
              <w:tc>
                <w:tcPr>
                  <w:tcW w:w="911" w:type="dxa"/>
                  <w:tcBorders/>
                  <w:vAlign w:val="center"/>
                </w:tcPr>
                <w:p>
                  <w:pPr>
                    <w:pStyle w:val="Compact"/>
                    <w:spacing w:before="36" w:after="36"/>
                    <w:jc w:val="center"/>
                    <w:rPr>
                      <w:b w:val="false"/>
                    </w:rPr>
                  </w:pPr>
                  <w:r>
                    <w:rPr>
                      <w:b w:val="false"/>
                    </w:rPr>
                    <w:t>Diagnostic</w:t>
                  </w:r>
                </w:p>
              </w:tc>
              <w:tc>
                <w:tcPr>
                  <w:tcW w:w="912" w:type="dxa"/>
                  <w:tcBorders/>
                  <w:vAlign w:val="center"/>
                </w:tcPr>
                <w:p>
                  <w:pPr>
                    <w:pStyle w:val="Compact"/>
                    <w:spacing w:before="36" w:after="36"/>
                    <w:jc w:val="center"/>
                    <w:rPr>
                      <w:b w:val="false"/>
                    </w:rPr>
                  </w:pPr>
                  <w:r>
                    <w:rPr>
                      <w:b w:val="false"/>
                    </w:rPr>
                    <w:t>Optimality</w:t>
                  </w:r>
                </w:p>
              </w:tc>
              <w:tc>
                <w:tcPr>
                  <w:tcW w:w="911" w:type="dxa"/>
                  <w:tcBorders/>
                  <w:vAlign w:val="center"/>
                </w:tcPr>
                <w:p>
                  <w:pPr>
                    <w:pStyle w:val="Compact"/>
                    <w:spacing w:before="36" w:after="36"/>
                    <w:jc w:val="center"/>
                    <w:rPr>
                      <w:b w:val="false"/>
                    </w:rPr>
                  </w:pPr>
                  <w:r>
                    <w:rPr>
                      <w:b w:val="false"/>
                    </w:rPr>
                    <w:t>Cents</w:t>
                  </w:r>
                </w:p>
              </w:tc>
              <w:tc>
                <w:tcPr>
                  <w:tcW w:w="912" w:type="dxa"/>
                  <w:tcBorders/>
                  <w:vAlign w:val="center"/>
                </w:tcPr>
                <w:p>
                  <w:pPr>
                    <w:pStyle w:val="Compact"/>
                    <w:spacing w:before="36" w:after="36"/>
                    <w:jc w:val="center"/>
                    <w:rPr>
                      <w:b w:val="false"/>
                    </w:rPr>
                  </w:pPr>
                  <w:r>
                    <w:rPr>
                      <w:b w:val="false"/>
                    </w:rPr>
                    <w:t>Weight</w:t>
                  </w:r>
                </w:p>
              </w:tc>
              <w:tc>
                <w:tcPr>
                  <w:tcW w:w="911" w:type="dxa"/>
                  <w:tcBorders/>
                  <w:vAlign w:val="center"/>
                </w:tcPr>
                <w:p>
                  <w:pPr>
                    <w:pStyle w:val="Compact"/>
                    <w:spacing w:before="36" w:after="36"/>
                    <w:jc w:val="center"/>
                    <w:rPr>
                      <w:b w:val="false"/>
                    </w:rPr>
                  </w:pPr>
                  <w:r>
                    <w:rPr>
                      <w:b w:val="false"/>
                    </w:rPr>
                    <w:t>Diagnostic</w:t>
                  </w:r>
                </w:p>
              </w:tc>
              <w:tc>
                <w:tcPr>
                  <w:tcW w:w="913" w:type="dxa"/>
                  <w:tcBorders/>
                  <w:vAlign w:val="center"/>
                </w:tcPr>
                <w:p>
                  <w:pPr>
                    <w:pStyle w:val="Compact"/>
                    <w:spacing w:before="36" w:after="36"/>
                    <w:jc w:val="center"/>
                    <w:rPr>
                      <w:b w:val="false"/>
                    </w:rPr>
                  </w:pPr>
                  <w:r>
                    <w:rPr>
                      <w:b w:val="false"/>
                    </w:rPr>
                    <w:t>Optimality</w:t>
                  </w:r>
                </w:p>
              </w:tc>
            </w:tr>
            <w:tr>
              <w:trPr/>
              <w:tc>
                <w:tcPr>
                  <w:tcW w:w="843" w:type="dxa"/>
                  <w:tcBorders>
                    <w:top w:val="nil"/>
                    <w:bottom w:val="nil"/>
                  </w:tcBorders>
                  <w:vAlign w:val="center"/>
                </w:tcPr>
                <w:p>
                  <w:pPr>
                    <w:pStyle w:val="Compact"/>
                    <w:spacing w:before="36" w:after="36"/>
                    <w:jc w:val="center"/>
                    <w:rPr/>
                  </w:pPr>
                  <w:r>
                    <w:rPr/>
                    <w:t>Flash Lite</w:t>
                  </w:r>
                </w:p>
              </w:tc>
              <w:tc>
                <w:tcPr>
                  <w:tcW w:w="459" w:type="dxa"/>
                  <w:tcBorders>
                    <w:top w:val="nil"/>
                    <w:bottom w:val="nil"/>
                  </w:tcBorders>
                  <w:vAlign w:val="center"/>
                </w:tcPr>
                <w:p>
                  <w:pPr>
                    <w:pStyle w:val="Compact"/>
                    <w:spacing w:before="36" w:after="36"/>
                    <w:jc w:val="center"/>
                    <w:rPr/>
                  </w:pPr>
                  <w:r>
                    <w:rPr/>
                    <w:t>$0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1.54 (0.85)</w:t>
                  </w:r>
                </w:p>
              </w:tc>
              <w:tc>
                <w:tcPr>
                  <w:tcW w:w="911" w:type="dxa"/>
                  <w:tcBorders>
                    <w:top w:val="nil"/>
                    <w:bottom w:val="nil"/>
                  </w:tcBorders>
                  <w:vAlign w:val="center"/>
                </w:tcPr>
                <w:p>
                  <w:pPr>
                    <w:pStyle w:val="Compact"/>
                    <w:spacing w:before="36" w:after="36"/>
                    <w:jc w:val="center"/>
                    <w:rPr/>
                  </w:pPr>
                  <w:r>
                    <w:rPr/>
                    <w:t>5.54 (0.85)</w:t>
                  </w:r>
                </w:p>
              </w:tc>
              <w:tc>
                <w:tcPr>
                  <w:tcW w:w="912" w:type="dxa"/>
                  <w:tcBorders>
                    <w:top w:val="nil"/>
                    <w:bottom w:val="nil"/>
                  </w:tcBorders>
                  <w:vAlign w:val="center"/>
                </w:tcPr>
                <w:p>
                  <w:pPr>
                    <w:pStyle w:val="Compact"/>
                    <w:spacing w:before="36" w:after="36"/>
                    <w:jc w:val="center"/>
                    <w:rPr/>
                  </w:pPr>
                  <w:r>
                    <w:rPr/>
                    <w:t>0.47 (0.50)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6.00 (0.00)</w:t>
                  </w:r>
                </w:p>
              </w:tc>
              <w:tc>
                <w:tcPr>
                  <w:tcW w:w="913" w:type="dxa"/>
                  <w:tcBorders>
                    <w:top w:val="nil"/>
                    <w:bottom w:val="nil"/>
                  </w:tcBorders>
                  <w:vAlign w:val="center"/>
                </w:tcPr>
                <w:p>
                  <w:pPr>
                    <w:pStyle w:val="Compact"/>
                    <w:spacing w:before="36" w:after="36"/>
                    <w:jc w:val="center"/>
                    <w:rPr/>
                  </w:pPr>
                  <w:r>
                    <w:rPr/>
                    <w:t>0.54 (0.50)</w:t>
                  </w:r>
                </w:p>
              </w:tc>
            </w:tr>
            <w:tr>
              <w:trPr/>
              <w:tc>
                <w:tcPr>
                  <w:tcW w:w="843" w:type="dxa"/>
                  <w:tcBorders>
                    <w:top w:val="nil"/>
                    <w:bottom w:val="nil"/>
                  </w:tcBorders>
                  <w:vAlign w:val="center"/>
                </w:tcPr>
                <w:p>
                  <w:pPr>
                    <w:pStyle w:val="Compact"/>
                    <w:spacing w:before="36" w:after="36"/>
                    <w:jc w:val="center"/>
                    <w:rPr/>
                  </w:pPr>
                  <w:r>
                    <w:rPr/>
                    <w:t>Flash Lite</w:t>
                  </w:r>
                </w:p>
              </w:tc>
              <w:tc>
                <w:tcPr>
                  <w:tcW w:w="459" w:type="dxa"/>
                  <w:tcBorders>
                    <w:top w:val="nil"/>
                    <w:bottom w:val="nil"/>
                  </w:tcBorders>
                  <w:vAlign w:val="center"/>
                </w:tcPr>
                <w:p>
                  <w:pPr>
                    <w:pStyle w:val="Compact"/>
                    <w:spacing w:before="36" w:after="36"/>
                    <w:jc w:val="center"/>
                    <w:rPr/>
                  </w:pPr>
                  <w:r>
                    <w:rPr/>
                    <w:t>$10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1.10 (1.00)</w:t>
                  </w:r>
                </w:p>
              </w:tc>
              <w:tc>
                <w:tcPr>
                  <w:tcW w:w="911" w:type="dxa"/>
                  <w:tcBorders>
                    <w:top w:val="nil"/>
                    <w:bottom w:val="nil"/>
                  </w:tcBorders>
                  <w:vAlign w:val="center"/>
                </w:tcPr>
                <w:p>
                  <w:pPr>
                    <w:pStyle w:val="Compact"/>
                    <w:spacing w:before="36" w:after="36"/>
                    <w:jc w:val="center"/>
                    <w:rPr/>
                  </w:pPr>
                  <w:r>
                    <w:rPr/>
                    <w:t>5.10 (1.00)</w:t>
                  </w:r>
                </w:p>
              </w:tc>
              <w:tc>
                <w:tcPr>
                  <w:tcW w:w="912" w:type="dxa"/>
                  <w:tcBorders>
                    <w:top w:val="nil"/>
                    <w:bottom w:val="nil"/>
                  </w:tcBorders>
                  <w:vAlign w:val="center"/>
                </w:tcPr>
                <w:p>
                  <w:pPr>
                    <w:pStyle w:val="Compact"/>
                    <w:spacing w:before="36" w:after="36"/>
                    <w:jc w:val="center"/>
                    <w:rPr/>
                  </w:pPr>
                  <w:r>
                    <w:rPr/>
                    <w:t>0.35 (0.48)</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6.00 (0.00)</w:t>
                  </w:r>
                </w:p>
              </w:tc>
              <w:tc>
                <w:tcPr>
                  <w:tcW w:w="913" w:type="dxa"/>
                  <w:tcBorders>
                    <w:top w:val="nil"/>
                    <w:bottom w:val="nil"/>
                  </w:tcBorders>
                  <w:vAlign w:val="center"/>
                </w:tcPr>
                <w:p>
                  <w:pPr>
                    <w:pStyle w:val="Compact"/>
                    <w:spacing w:before="36" w:after="36"/>
                    <w:jc w:val="center"/>
                    <w:rPr/>
                  </w:pPr>
                  <w:r>
                    <w:rPr/>
                    <w:t>0.75 (0.44)</w:t>
                  </w:r>
                </w:p>
              </w:tc>
            </w:tr>
            <w:tr>
              <w:trPr/>
              <w:tc>
                <w:tcPr>
                  <w:tcW w:w="843" w:type="dxa"/>
                  <w:tcBorders>
                    <w:top w:val="nil"/>
                    <w:bottom w:val="nil"/>
                  </w:tcBorders>
                  <w:vAlign w:val="center"/>
                </w:tcPr>
                <w:p>
                  <w:pPr>
                    <w:pStyle w:val="Compact"/>
                    <w:spacing w:before="36" w:after="36"/>
                    <w:jc w:val="center"/>
                    <w:rPr/>
                  </w:pPr>
                  <w:r>
                    <w:rPr/>
                    <w:t>Flash</w:t>
                  </w:r>
                </w:p>
              </w:tc>
              <w:tc>
                <w:tcPr>
                  <w:tcW w:w="459" w:type="dxa"/>
                  <w:tcBorders>
                    <w:top w:val="nil"/>
                    <w:bottom w:val="nil"/>
                  </w:tcBorders>
                  <w:vAlign w:val="center"/>
                </w:tcPr>
                <w:p>
                  <w:pPr>
                    <w:pStyle w:val="Compact"/>
                    <w:spacing w:before="36" w:after="36"/>
                    <w:jc w:val="center"/>
                    <w:rPr/>
                  </w:pPr>
                  <w:r>
                    <w:rPr/>
                    <w:t>$0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6.00 (0.00)</w:t>
                  </w:r>
                </w:p>
              </w:tc>
              <w:tc>
                <w:tcPr>
                  <w:tcW w:w="912" w:type="dxa"/>
                  <w:tcBorders>
                    <w:top w:val="nil"/>
                    <w:bottom w:val="nil"/>
                  </w:tcBorders>
                  <w:vAlign w:val="center"/>
                </w:tcPr>
                <w:p>
                  <w:pPr>
                    <w:pStyle w:val="Compact"/>
                    <w:spacing w:before="36" w:after="36"/>
                    <w:jc w:val="center"/>
                    <w:rPr/>
                  </w:pPr>
                  <w:r>
                    <w:rPr/>
                    <w:t>1.00 (0.00)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6.00 (0.00)</w:t>
                  </w:r>
                </w:p>
              </w:tc>
              <w:tc>
                <w:tcPr>
                  <w:tcW w:w="913" w:type="dxa"/>
                  <w:tcBorders>
                    <w:top w:val="nil"/>
                    <w:bottom w:val="nil"/>
                  </w:tcBorders>
                  <w:vAlign w:val="center"/>
                </w:tcPr>
                <w:p>
                  <w:pPr>
                    <w:pStyle w:val="Compact"/>
                    <w:spacing w:before="36" w:after="36"/>
                    <w:jc w:val="center"/>
                    <w:rPr/>
                  </w:pPr>
                  <w:r>
                    <w:rPr/>
                    <w:t>1.00 (0.00)</w:t>
                  </w:r>
                </w:p>
              </w:tc>
            </w:tr>
            <w:tr>
              <w:trPr/>
              <w:tc>
                <w:tcPr>
                  <w:tcW w:w="843" w:type="dxa"/>
                  <w:tcBorders>
                    <w:top w:val="nil"/>
                    <w:bottom w:val="nil"/>
                  </w:tcBorders>
                  <w:vAlign w:val="center"/>
                </w:tcPr>
                <w:p>
                  <w:pPr>
                    <w:pStyle w:val="Compact"/>
                    <w:spacing w:before="36" w:after="36"/>
                    <w:jc w:val="center"/>
                    <w:rPr/>
                  </w:pPr>
                  <w:r>
                    <w:rPr/>
                    <w:t>Flash</w:t>
                  </w:r>
                </w:p>
              </w:tc>
              <w:tc>
                <w:tcPr>
                  <w:tcW w:w="459" w:type="dxa"/>
                  <w:tcBorders>
                    <w:top w:val="nil"/>
                    <w:bottom w:val="nil"/>
                  </w:tcBorders>
                  <w:vAlign w:val="center"/>
                </w:tcPr>
                <w:p>
                  <w:pPr>
                    <w:pStyle w:val="Compact"/>
                    <w:spacing w:before="36" w:after="36"/>
                    <w:jc w:val="center"/>
                    <w:rPr/>
                  </w:pPr>
                  <w:r>
                    <w:rPr/>
                    <w:t>$10</w:t>
                  </w:r>
                </w:p>
              </w:tc>
              <w:tc>
                <w:tcPr>
                  <w:tcW w:w="911" w:type="dxa"/>
                  <w:tcBorders>
                    <w:top w:val="nil"/>
                    <w:bottom w:val="nil"/>
                  </w:tcBorders>
                  <w:vAlign w:val="center"/>
                </w:tcPr>
                <w:p>
                  <w:pPr>
                    <w:pStyle w:val="Compact"/>
                    <w:spacing w:before="36" w:after="36"/>
                    <w:jc w:val="center"/>
                    <w:rPr/>
                  </w:pPr>
                  <w:r>
                    <w:rPr/>
                    <w:t>0.20 (0.60)</w:t>
                  </w:r>
                </w:p>
              </w:tc>
              <w:tc>
                <w:tcPr>
                  <w:tcW w:w="912" w:type="dxa"/>
                  <w:tcBorders>
                    <w:top w:val="nil"/>
                    <w:bottom w:val="nil"/>
                  </w:tcBorders>
                  <w:vAlign w:val="center"/>
                </w:tcPr>
                <w:p>
                  <w:pPr>
                    <w:pStyle w:val="Compact"/>
                    <w:spacing w:before="36" w:after="36"/>
                    <w:jc w:val="center"/>
                    <w:rPr/>
                  </w:pPr>
                  <w:r>
                    <w:rPr/>
                    <w:t>0.96 (0.96)</w:t>
                  </w:r>
                </w:p>
              </w:tc>
              <w:tc>
                <w:tcPr>
                  <w:tcW w:w="911" w:type="dxa"/>
                  <w:tcBorders>
                    <w:top w:val="nil"/>
                    <w:bottom w:val="nil"/>
                  </w:tcBorders>
                  <w:vAlign w:val="center"/>
                </w:tcPr>
                <w:p>
                  <w:pPr>
                    <w:pStyle w:val="Compact"/>
                    <w:spacing w:before="36" w:after="36"/>
                    <w:jc w:val="center"/>
                    <w:rPr/>
                  </w:pPr>
                  <w:r>
                    <w:rPr/>
                    <w:t>3.01 (1.45)</w:t>
                  </w:r>
                </w:p>
              </w:tc>
              <w:tc>
                <w:tcPr>
                  <w:tcW w:w="912" w:type="dxa"/>
                  <w:tcBorders>
                    <w:top w:val="nil"/>
                    <w:bottom w:val="nil"/>
                  </w:tcBorders>
                  <w:vAlign w:val="center"/>
                </w:tcPr>
                <w:p>
                  <w:pPr>
                    <w:pStyle w:val="Compact"/>
                    <w:spacing w:before="36" w:after="36"/>
                    <w:jc w:val="center"/>
                    <w:rPr/>
                  </w:pPr>
                  <w:r>
                    <w:rPr/>
                    <w:t>0.16 (0.37)</w:t>
                  </w:r>
                </w:p>
              </w:tc>
              <w:tc>
                <w:tcPr>
                  <w:tcW w:w="911" w:type="dxa"/>
                  <w:tcBorders>
                    <w:top w:val="nil"/>
                    <w:bottom w:val="nil"/>
                  </w:tcBorders>
                  <w:vAlign w:val="center"/>
                </w:tcPr>
                <w:p>
                  <w:pPr>
                    <w:pStyle w:val="Compact"/>
                    <w:spacing w:before="36" w:after="36"/>
                    <w:jc w:val="center"/>
                    <w:rPr/>
                  </w:pPr>
                  <w:r>
                    <w:rPr/>
                    <w:t>1.58 (0.82)</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5.58 (0.82)</w:t>
                  </w:r>
                </w:p>
              </w:tc>
              <w:tc>
                <w:tcPr>
                  <w:tcW w:w="913" w:type="dxa"/>
                  <w:tcBorders>
                    <w:top w:val="nil"/>
                    <w:bottom w:val="nil"/>
                  </w:tcBorders>
                  <w:vAlign w:val="center"/>
                </w:tcPr>
                <w:p>
                  <w:pPr>
                    <w:pStyle w:val="Compact"/>
                    <w:spacing w:before="36" w:after="36"/>
                    <w:jc w:val="center"/>
                    <w:rPr/>
                  </w:pPr>
                  <w:r>
                    <w:rPr/>
                    <w:t>0.79 (0.41)</w:t>
                  </w:r>
                </w:p>
              </w:tc>
            </w:tr>
            <w:tr>
              <w:trPr/>
              <w:tc>
                <w:tcPr>
                  <w:tcW w:w="843" w:type="dxa"/>
                  <w:tcBorders>
                    <w:top w:val="nil"/>
                    <w:bottom w:val="nil"/>
                  </w:tcBorders>
                  <w:vAlign w:val="center"/>
                </w:tcPr>
                <w:p>
                  <w:pPr>
                    <w:pStyle w:val="Compact"/>
                    <w:spacing w:before="36" w:after="36"/>
                    <w:jc w:val="center"/>
                    <w:rPr/>
                  </w:pPr>
                  <w:r>
                    <w:rPr/>
                    <w:t>Pro</w:t>
                  </w:r>
                </w:p>
              </w:tc>
              <w:tc>
                <w:tcPr>
                  <w:tcW w:w="459" w:type="dxa"/>
                  <w:tcBorders>
                    <w:top w:val="nil"/>
                    <w:bottom w:val="nil"/>
                  </w:tcBorders>
                  <w:vAlign w:val="center"/>
                </w:tcPr>
                <w:p>
                  <w:pPr>
                    <w:pStyle w:val="Compact"/>
                    <w:spacing w:before="36" w:after="36"/>
                    <w:jc w:val="center"/>
                    <w:rPr/>
                  </w:pPr>
                  <w:r>
                    <w:rPr/>
                    <w:t>$0</w:t>
                  </w:r>
                </w:p>
              </w:tc>
              <w:tc>
                <w:tcPr>
                  <w:tcW w:w="911" w:type="dxa"/>
                  <w:tcBorders>
                    <w:top w:val="nil"/>
                    <w:bottom w:val="nil"/>
                  </w:tcBorders>
                  <w:vAlign w:val="center"/>
                </w:tcPr>
                <w:p>
                  <w:pPr>
                    <w:pStyle w:val="Compact"/>
                    <w:spacing w:before="36" w:after="36"/>
                    <w:jc w:val="center"/>
                    <w:rPr/>
                  </w:pPr>
                  <w:r>
                    <w:rPr/>
                    <w:t>1.75 (0.64)</w:t>
                  </w:r>
                </w:p>
              </w:tc>
              <w:tc>
                <w:tcPr>
                  <w:tcW w:w="912" w:type="dxa"/>
                  <w:tcBorders>
                    <w:top w:val="nil"/>
                    <w:bottom w:val="nil"/>
                  </w:tcBorders>
                  <w:vAlign w:val="center"/>
                </w:tcPr>
                <w:p>
                  <w:pPr>
                    <w:pStyle w:val="Compact"/>
                    <w:spacing w:before="36" w:after="36"/>
                    <w:jc w:val="center"/>
                    <w:rPr/>
                  </w:pPr>
                  <w:r>
                    <w:rPr/>
                    <w:t>1.68 (0.74)</w:t>
                  </w:r>
                </w:p>
              </w:tc>
              <w:tc>
                <w:tcPr>
                  <w:tcW w:w="911" w:type="dxa"/>
                  <w:tcBorders>
                    <w:top w:val="nil"/>
                    <w:bottom w:val="nil"/>
                  </w:tcBorders>
                  <w:vAlign w:val="center"/>
                </w:tcPr>
                <w:p>
                  <w:pPr>
                    <w:pStyle w:val="Compact"/>
                    <w:spacing w:before="36" w:after="36"/>
                    <w:jc w:val="center"/>
                    <w:rPr/>
                  </w:pPr>
                  <w:r>
                    <w:rPr/>
                    <w:t>5.43 (1.34)</w:t>
                  </w:r>
                </w:p>
              </w:tc>
              <w:tc>
                <w:tcPr>
                  <w:tcW w:w="912" w:type="dxa"/>
                  <w:tcBorders>
                    <w:top w:val="nil"/>
                    <w:bottom w:val="nil"/>
                  </w:tcBorders>
                  <w:vAlign w:val="center"/>
                </w:tcPr>
                <w:p>
                  <w:pPr>
                    <w:pStyle w:val="Compact"/>
                    <w:spacing w:before="36" w:after="36"/>
                    <w:jc w:val="center"/>
                    <w:rPr/>
                  </w:pPr>
                  <w:r>
                    <w:rPr/>
                    <w:t>0.76 (0.43)</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6.00 (0.00)</w:t>
                  </w:r>
                </w:p>
              </w:tc>
              <w:tc>
                <w:tcPr>
                  <w:tcW w:w="913" w:type="dxa"/>
                  <w:tcBorders>
                    <w:top w:val="nil"/>
                    <w:bottom w:val="nil"/>
                  </w:tcBorders>
                  <w:vAlign w:val="center"/>
                </w:tcPr>
                <w:p>
                  <w:pPr>
                    <w:pStyle w:val="Compact"/>
                    <w:spacing w:before="36" w:after="36"/>
                    <w:jc w:val="center"/>
                    <w:rPr/>
                  </w:pPr>
                  <w:r>
                    <w:rPr/>
                    <w:t>1.00 (0.00)</w:t>
                  </w:r>
                </w:p>
              </w:tc>
            </w:tr>
            <w:tr>
              <w:trPr/>
              <w:tc>
                <w:tcPr>
                  <w:tcW w:w="843" w:type="dxa"/>
                  <w:tcBorders>
                    <w:top w:val="nil"/>
                    <w:bottom w:val="nil"/>
                  </w:tcBorders>
                  <w:vAlign w:val="center"/>
                </w:tcPr>
                <w:p>
                  <w:pPr>
                    <w:pStyle w:val="Compact"/>
                    <w:spacing w:before="36" w:after="36"/>
                    <w:jc w:val="center"/>
                    <w:rPr/>
                  </w:pPr>
                  <w:r>
                    <w:rPr/>
                    <w:t>Pro</w:t>
                  </w:r>
                </w:p>
              </w:tc>
              <w:tc>
                <w:tcPr>
                  <w:tcW w:w="459" w:type="dxa"/>
                  <w:tcBorders>
                    <w:top w:val="nil"/>
                    <w:bottom w:val="nil"/>
                  </w:tcBorders>
                  <w:vAlign w:val="center"/>
                </w:tcPr>
                <w:p>
                  <w:pPr>
                    <w:pStyle w:val="Compact"/>
                    <w:spacing w:before="36" w:after="36"/>
                    <w:jc w:val="center"/>
                    <w:rPr/>
                  </w:pPr>
                  <w:r>
                    <w:rPr/>
                    <w:t>$10</w:t>
                  </w:r>
                </w:p>
              </w:tc>
              <w:tc>
                <w:tcPr>
                  <w:tcW w:w="911" w:type="dxa"/>
                  <w:tcBorders>
                    <w:top w:val="nil"/>
                    <w:bottom w:val="nil"/>
                  </w:tcBorders>
                  <w:vAlign w:val="center"/>
                </w:tcPr>
                <w:p>
                  <w:pPr>
                    <w:pStyle w:val="Compact"/>
                    <w:spacing w:before="36" w:after="36"/>
                    <w:jc w:val="center"/>
                    <w:rPr/>
                  </w:pPr>
                  <w:r>
                    <w:rPr/>
                    <w:t>0.10 (0.44)</w:t>
                  </w:r>
                </w:p>
              </w:tc>
              <w:tc>
                <w:tcPr>
                  <w:tcW w:w="912" w:type="dxa"/>
                  <w:tcBorders>
                    <w:top w:val="nil"/>
                    <w:bottom w:val="nil"/>
                  </w:tcBorders>
                  <w:vAlign w:val="center"/>
                </w:tcPr>
                <w:p>
                  <w:pPr>
                    <w:pStyle w:val="Compact"/>
                    <w:spacing w:before="36" w:after="36"/>
                    <w:jc w:val="center"/>
                    <w:rPr/>
                  </w:pPr>
                  <w:r>
                    <w:rPr/>
                    <w:t>0.14 (0.51)</w:t>
                  </w:r>
                </w:p>
              </w:tc>
              <w:tc>
                <w:tcPr>
                  <w:tcW w:w="911" w:type="dxa"/>
                  <w:tcBorders>
                    <w:top w:val="nil"/>
                    <w:bottom w:val="nil"/>
                  </w:tcBorders>
                  <w:vAlign w:val="center"/>
                </w:tcPr>
                <w:p>
                  <w:pPr>
                    <w:pStyle w:val="Compact"/>
                    <w:spacing w:before="36" w:after="36"/>
                    <w:jc w:val="center"/>
                    <w:rPr/>
                  </w:pPr>
                  <w:r>
                    <w:rPr/>
                    <w:t>2.20 (0.94)</w:t>
                  </w:r>
                </w:p>
              </w:tc>
              <w:tc>
                <w:tcPr>
                  <w:tcW w:w="912" w:type="dxa"/>
                  <w:tcBorders>
                    <w:top w:val="nil"/>
                    <w:bottom w:val="nil"/>
                  </w:tcBorders>
                  <w:vAlign w:val="center"/>
                </w:tcPr>
                <w:p>
                  <w:pPr>
                    <w:pStyle w:val="Compact"/>
                    <w:spacing w:before="36" w:after="36"/>
                    <w:jc w:val="center"/>
                    <w:rPr/>
                  </w:pPr>
                  <w:r>
                    <w:rPr/>
                    <w:t>0.07 (0.26)</w:t>
                  </w:r>
                </w:p>
              </w:tc>
              <w:tc>
                <w:tcPr>
                  <w:tcW w:w="911" w:type="dxa"/>
                  <w:tcBorders>
                    <w:top w:val="nil"/>
                    <w:bottom w:val="nil"/>
                  </w:tcBorders>
                  <w:vAlign w:val="center"/>
                </w:tcPr>
                <w:p>
                  <w:pPr>
                    <w:pStyle w:val="Compact"/>
                    <w:spacing w:before="36" w:after="36"/>
                    <w:jc w:val="center"/>
                    <w:rPr/>
                  </w:pPr>
                  <w:r>
                    <w:rPr/>
                    <w:t>1.98 (0.20)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5.98 (0.20)</w:t>
                  </w:r>
                </w:p>
              </w:tc>
              <w:tc>
                <w:tcPr>
                  <w:tcW w:w="913" w:type="dxa"/>
                  <w:tcBorders>
                    <w:top w:val="nil"/>
                    <w:bottom w:val="nil"/>
                  </w:tcBorders>
                  <w:vAlign w:val="center"/>
                </w:tcPr>
                <w:p>
                  <w:pPr>
                    <w:pStyle w:val="Compact"/>
                    <w:spacing w:before="36" w:after="36"/>
                    <w:jc w:val="center"/>
                    <w:rPr/>
                  </w:pPr>
                  <w:r>
                    <w:rPr/>
                    <w:t>0.99 (0.10)</w:t>
                  </w:r>
                </w:p>
              </w:tc>
            </w:tr>
            <w:tr>
              <w:trPr/>
              <w:tc>
                <w:tcPr>
                  <w:tcW w:w="843" w:type="dxa"/>
                  <w:tcBorders>
                    <w:top w:val="nil"/>
                    <w:bottom w:val="nil"/>
                  </w:tcBorders>
                  <w:vAlign w:val="center"/>
                </w:tcPr>
                <w:p>
                  <w:pPr>
                    <w:pStyle w:val="Compact"/>
                    <w:spacing w:before="36" w:after="36"/>
                    <w:jc w:val="center"/>
                    <w:rPr/>
                  </w:pPr>
                  <w:r>
                    <w:rPr/>
                    <w:t>Luna</w:t>
                  </w:r>
                </w:p>
              </w:tc>
              <w:tc>
                <w:tcPr>
                  <w:tcW w:w="459" w:type="dxa"/>
                  <w:tcBorders>
                    <w:top w:val="nil"/>
                    <w:bottom w:val="nil"/>
                  </w:tcBorders>
                  <w:vAlign w:val="center"/>
                </w:tcPr>
                <w:p>
                  <w:pPr>
                    <w:pStyle w:val="Compact"/>
                    <w:spacing w:before="36" w:after="36"/>
                    <w:jc w:val="center"/>
                    <w:rPr/>
                  </w:pPr>
                  <w:r>
                    <w:rPr/>
                    <w:t>$0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6.00 (0.00)</w:t>
                  </w:r>
                </w:p>
              </w:tc>
              <w:tc>
                <w:tcPr>
                  <w:tcW w:w="912" w:type="dxa"/>
                  <w:tcBorders>
                    <w:top w:val="nil"/>
                    <w:bottom w:val="nil"/>
                  </w:tcBorders>
                  <w:vAlign w:val="center"/>
                </w:tcPr>
                <w:p>
                  <w:pPr>
                    <w:pStyle w:val="Compact"/>
                    <w:spacing w:before="36" w:after="36"/>
                    <w:jc w:val="center"/>
                    <w:rPr/>
                  </w:pPr>
                  <w:r>
                    <w:rPr/>
                    <w:t>0.96 (0.20)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6.00 (0.00)</w:t>
                  </w:r>
                </w:p>
              </w:tc>
              <w:tc>
                <w:tcPr>
                  <w:tcW w:w="913" w:type="dxa"/>
                  <w:tcBorders>
                    <w:top w:val="nil"/>
                    <w:bottom w:val="nil"/>
                  </w:tcBorders>
                  <w:vAlign w:val="center"/>
                </w:tcPr>
                <w:p>
                  <w:pPr>
                    <w:pStyle w:val="Compact"/>
                    <w:spacing w:before="36" w:after="36"/>
                    <w:jc w:val="center"/>
                    <w:rPr/>
                  </w:pPr>
                  <w:r>
                    <w:rPr/>
                    <w:t>1.00 (0.00)</w:t>
                  </w:r>
                </w:p>
              </w:tc>
            </w:tr>
            <w:tr>
              <w:trPr/>
              <w:tc>
                <w:tcPr>
                  <w:tcW w:w="843" w:type="dxa"/>
                  <w:tcBorders>
                    <w:top w:val="nil"/>
                    <w:bottom w:val="nil"/>
                  </w:tcBorders>
                  <w:vAlign w:val="center"/>
                </w:tcPr>
                <w:p>
                  <w:pPr>
                    <w:pStyle w:val="Compact"/>
                    <w:spacing w:before="36" w:after="36"/>
                    <w:jc w:val="center"/>
                    <w:rPr/>
                  </w:pPr>
                  <w:r>
                    <w:rPr/>
                    <w:t>Luna</w:t>
                  </w:r>
                </w:p>
              </w:tc>
              <w:tc>
                <w:tcPr>
                  <w:tcW w:w="459" w:type="dxa"/>
                  <w:tcBorders>
                    <w:top w:val="nil"/>
                    <w:bottom w:val="nil"/>
                  </w:tcBorders>
                  <w:vAlign w:val="center"/>
                </w:tcPr>
                <w:p>
                  <w:pPr>
                    <w:pStyle w:val="Compact"/>
                    <w:spacing w:before="36" w:after="36"/>
                    <w:jc w:val="center"/>
                    <w:rPr/>
                  </w:pPr>
                  <w:r>
                    <w:rPr/>
                    <w:t>$10</w:t>
                  </w:r>
                </w:p>
              </w:tc>
              <w:tc>
                <w:tcPr>
                  <w:tcW w:w="911" w:type="dxa"/>
                  <w:tcBorders>
                    <w:top w:val="nil"/>
                    <w:bottom w:val="nil"/>
                  </w:tcBorders>
                  <w:vAlign w:val="center"/>
                </w:tcPr>
                <w:p>
                  <w:pPr>
                    <w:pStyle w:val="Compact"/>
                    <w:spacing w:before="36" w:after="36"/>
                    <w:jc w:val="center"/>
                    <w:rPr/>
                  </w:pPr>
                  <w:r>
                    <w:rPr/>
                    <w:t>1.82 (0.58)</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5.82 (0.58)</w:t>
                  </w:r>
                </w:p>
              </w:tc>
              <w:tc>
                <w:tcPr>
                  <w:tcW w:w="912" w:type="dxa"/>
                  <w:tcBorders>
                    <w:top w:val="nil"/>
                    <w:bottom w:val="nil"/>
                  </w:tcBorders>
                  <w:vAlign w:val="center"/>
                </w:tcPr>
                <w:p>
                  <w:pPr>
                    <w:pStyle w:val="Compact"/>
                    <w:spacing w:before="36" w:after="36"/>
                    <w:jc w:val="center"/>
                    <w:rPr/>
                  </w:pPr>
                  <w:r>
                    <w:rPr/>
                    <w:t>0.84 (0.37)</w:t>
                  </w:r>
                </w:p>
              </w:tc>
              <w:tc>
                <w:tcPr>
                  <w:tcW w:w="911" w:type="dxa"/>
                  <w:tcBorders>
                    <w:top w:val="nil"/>
                    <w:bottom w:val="nil"/>
                  </w:tcBorders>
                  <w:vAlign w:val="center"/>
                </w:tcPr>
                <w:p>
                  <w:pPr>
                    <w:pStyle w:val="Compact"/>
                    <w:spacing w:before="36" w:after="36"/>
                    <w:jc w:val="center"/>
                    <w:rPr/>
                  </w:pPr>
                  <w:r>
                    <w:rPr/>
                    <w:t>1.98 (0.20)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5.98 (0.20)</w:t>
                  </w:r>
                </w:p>
              </w:tc>
              <w:tc>
                <w:tcPr>
                  <w:tcW w:w="913" w:type="dxa"/>
                  <w:tcBorders>
                    <w:top w:val="nil"/>
                    <w:bottom w:val="nil"/>
                  </w:tcBorders>
                  <w:vAlign w:val="center"/>
                </w:tcPr>
                <w:p>
                  <w:pPr>
                    <w:pStyle w:val="Compact"/>
                    <w:spacing w:before="36" w:after="36"/>
                    <w:jc w:val="center"/>
                    <w:rPr/>
                  </w:pPr>
                  <w:r>
                    <w:rPr/>
                    <w:t>1.00 (0.00)</w:t>
                  </w:r>
                </w:p>
              </w:tc>
            </w:tr>
            <w:tr>
              <w:trPr/>
              <w:tc>
                <w:tcPr>
                  <w:tcW w:w="843" w:type="dxa"/>
                  <w:tcBorders>
                    <w:top w:val="nil"/>
                    <w:bottom w:val="nil"/>
                  </w:tcBorders>
                  <w:vAlign w:val="center"/>
                </w:tcPr>
                <w:p>
                  <w:pPr>
                    <w:pStyle w:val="Compact"/>
                    <w:spacing w:before="36" w:after="36"/>
                    <w:jc w:val="center"/>
                    <w:rPr/>
                  </w:pPr>
                  <w:r>
                    <w:rPr/>
                    <w:t>Terra</w:t>
                  </w:r>
                </w:p>
              </w:tc>
              <w:tc>
                <w:tcPr>
                  <w:tcW w:w="459" w:type="dxa"/>
                  <w:tcBorders>
                    <w:top w:val="nil"/>
                    <w:bottom w:val="nil"/>
                  </w:tcBorders>
                  <w:vAlign w:val="center"/>
                </w:tcPr>
                <w:p>
                  <w:pPr>
                    <w:pStyle w:val="Compact"/>
                    <w:spacing w:before="36" w:after="36"/>
                    <w:jc w:val="center"/>
                    <w:rPr/>
                  </w:pPr>
                  <w:r>
                    <w:rPr/>
                    <w:t>$0</w:t>
                  </w:r>
                </w:p>
              </w:tc>
              <w:tc>
                <w:tcPr>
                  <w:tcW w:w="911" w:type="dxa"/>
                  <w:tcBorders>
                    <w:top w:val="nil"/>
                    <w:bottom w:val="nil"/>
                  </w:tcBorders>
                  <w:vAlign w:val="center"/>
                </w:tcPr>
                <w:p>
                  <w:pPr>
                    <w:pStyle w:val="Compact"/>
                    <w:spacing w:before="36" w:after="36"/>
                    <w:jc w:val="center"/>
                    <w:rPr/>
                  </w:pPr>
                  <w:r>
                    <w:rPr/>
                    <w:t>1.98 (0.14)</w:t>
                  </w:r>
                </w:p>
              </w:tc>
              <w:tc>
                <w:tcPr>
                  <w:tcW w:w="912" w:type="dxa"/>
                  <w:tcBorders>
                    <w:top w:val="nil"/>
                    <w:bottom w:val="nil"/>
                  </w:tcBorders>
                  <w:vAlign w:val="center"/>
                </w:tcPr>
                <w:p>
                  <w:pPr>
                    <w:pStyle w:val="Compact"/>
                    <w:spacing w:before="36" w:after="36"/>
                    <w:jc w:val="center"/>
                    <w:rPr/>
                  </w:pPr>
                  <w:r>
                    <w:rPr/>
                    <w:t>1.94 (0.34)</w:t>
                  </w:r>
                </w:p>
              </w:tc>
              <w:tc>
                <w:tcPr>
                  <w:tcW w:w="911" w:type="dxa"/>
                  <w:tcBorders>
                    <w:top w:val="nil"/>
                    <w:bottom w:val="nil"/>
                  </w:tcBorders>
                  <w:vAlign w:val="center"/>
                </w:tcPr>
                <w:p>
                  <w:pPr>
                    <w:pStyle w:val="Compact"/>
                    <w:spacing w:before="36" w:after="36"/>
                    <w:jc w:val="center"/>
                    <w:rPr/>
                  </w:pPr>
                  <w:r>
                    <w:rPr/>
                    <w:t>5.92 (0.46)</w:t>
                  </w:r>
                </w:p>
              </w:tc>
              <w:tc>
                <w:tcPr>
                  <w:tcW w:w="912" w:type="dxa"/>
                  <w:tcBorders>
                    <w:top w:val="nil"/>
                    <w:bottom w:val="nil"/>
                  </w:tcBorders>
                  <w:vAlign w:val="center"/>
                </w:tcPr>
                <w:p>
                  <w:pPr>
                    <w:pStyle w:val="Compact"/>
                    <w:spacing w:before="36" w:after="36"/>
                    <w:jc w:val="center"/>
                    <w:rPr/>
                  </w:pPr>
                  <w:r>
                    <w:rPr/>
                    <w:t>0.96 (0.20)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6.00 (0.00)</w:t>
                  </w:r>
                </w:p>
              </w:tc>
              <w:tc>
                <w:tcPr>
                  <w:tcW w:w="913" w:type="dxa"/>
                  <w:tcBorders>
                    <w:top w:val="nil"/>
                    <w:bottom w:val="nil"/>
                  </w:tcBorders>
                  <w:vAlign w:val="center"/>
                </w:tcPr>
                <w:p>
                  <w:pPr>
                    <w:pStyle w:val="Compact"/>
                    <w:spacing w:before="36" w:after="36"/>
                    <w:jc w:val="center"/>
                    <w:rPr/>
                  </w:pPr>
                  <w:r>
                    <w:rPr/>
                    <w:t>1.00 (0.00)</w:t>
                  </w:r>
                </w:p>
              </w:tc>
            </w:tr>
            <w:tr>
              <w:trPr/>
              <w:tc>
                <w:tcPr>
                  <w:tcW w:w="843" w:type="dxa"/>
                  <w:tcBorders>
                    <w:top w:val="nil"/>
                    <w:bottom w:val="nil"/>
                  </w:tcBorders>
                  <w:vAlign w:val="center"/>
                </w:tcPr>
                <w:p>
                  <w:pPr>
                    <w:pStyle w:val="Compact"/>
                    <w:spacing w:before="36" w:after="36"/>
                    <w:jc w:val="center"/>
                    <w:rPr/>
                  </w:pPr>
                  <w:r>
                    <w:rPr/>
                    <w:t>Terra</w:t>
                  </w:r>
                </w:p>
              </w:tc>
              <w:tc>
                <w:tcPr>
                  <w:tcW w:w="459" w:type="dxa"/>
                  <w:tcBorders>
                    <w:top w:val="nil"/>
                    <w:bottom w:val="nil"/>
                  </w:tcBorders>
                  <w:vAlign w:val="center"/>
                </w:tcPr>
                <w:p>
                  <w:pPr>
                    <w:pStyle w:val="Compact"/>
                    <w:spacing w:before="36" w:after="36"/>
                    <w:jc w:val="center"/>
                    <w:rPr/>
                  </w:pPr>
                  <w:r>
                    <w:rPr/>
                    <w:t>$10</w:t>
                  </w:r>
                </w:p>
              </w:tc>
              <w:tc>
                <w:tcPr>
                  <w:tcW w:w="911" w:type="dxa"/>
                  <w:tcBorders>
                    <w:top w:val="nil"/>
                    <w:bottom w:val="nil"/>
                  </w:tcBorders>
                  <w:vAlign w:val="center"/>
                </w:tcPr>
                <w:p>
                  <w:pPr>
                    <w:pStyle w:val="Compact"/>
                    <w:spacing w:before="36" w:after="36"/>
                    <w:jc w:val="center"/>
                    <w:rPr/>
                  </w:pPr>
                  <w:r>
                    <w:rPr/>
                    <w:t>0.58 (0.79)</w:t>
                  </w:r>
                </w:p>
              </w:tc>
              <w:tc>
                <w:tcPr>
                  <w:tcW w:w="912" w:type="dxa"/>
                  <w:tcBorders>
                    <w:top w:val="nil"/>
                    <w:bottom w:val="nil"/>
                  </w:tcBorders>
                  <w:vAlign w:val="center"/>
                </w:tcPr>
                <w:p>
                  <w:pPr>
                    <w:pStyle w:val="Compact"/>
                    <w:spacing w:before="36" w:after="36"/>
                    <w:jc w:val="center"/>
                    <w:rPr/>
                  </w:pPr>
                  <w:r>
                    <w:rPr/>
                    <w:t>0.45 (0.83)</w:t>
                  </w:r>
                </w:p>
              </w:tc>
              <w:tc>
                <w:tcPr>
                  <w:tcW w:w="911" w:type="dxa"/>
                  <w:tcBorders>
                    <w:top w:val="nil"/>
                    <w:bottom w:val="nil"/>
                  </w:tcBorders>
                  <w:vAlign w:val="center"/>
                </w:tcPr>
                <w:p>
                  <w:pPr>
                    <w:pStyle w:val="Compact"/>
                    <w:spacing w:before="36" w:after="36"/>
                    <w:jc w:val="center"/>
                    <w:rPr/>
                  </w:pPr>
                  <w:r>
                    <w:rPr/>
                    <w:t>2.78 (1.68)</w:t>
                  </w:r>
                </w:p>
              </w:tc>
              <w:tc>
                <w:tcPr>
                  <w:tcW w:w="912" w:type="dxa"/>
                  <w:tcBorders>
                    <w:top w:val="nil"/>
                    <w:bottom w:val="nil"/>
                  </w:tcBorders>
                  <w:vAlign w:val="center"/>
                </w:tcPr>
                <w:p>
                  <w:pPr>
                    <w:pStyle w:val="Compact"/>
                    <w:spacing w:before="36" w:after="36"/>
                    <w:jc w:val="center"/>
                    <w:rPr/>
                  </w:pPr>
                  <w:r>
                    <w:rPr/>
                    <w:t>0.22 (0.42)</w:t>
                  </w:r>
                </w:p>
              </w:tc>
              <w:tc>
                <w:tcPr>
                  <w:tcW w:w="911" w:type="dxa"/>
                  <w:tcBorders>
                    <w:top w:val="nil"/>
                    <w:bottom w:val="nil"/>
                  </w:tcBorders>
                  <w:vAlign w:val="center"/>
                </w:tcPr>
                <w:p>
                  <w:pPr>
                    <w:pStyle w:val="Compact"/>
                    <w:spacing w:before="36" w:after="36"/>
                    <w:jc w:val="center"/>
                    <w:rPr/>
                  </w:pPr>
                  <w:r>
                    <w:rPr/>
                    <w:t>1.95 (0.26)</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5.95 (0.26)</w:t>
                  </w:r>
                </w:p>
              </w:tc>
              <w:tc>
                <w:tcPr>
                  <w:tcW w:w="913" w:type="dxa"/>
                  <w:tcBorders>
                    <w:top w:val="nil"/>
                    <w:bottom w:val="nil"/>
                  </w:tcBorders>
                  <w:vAlign w:val="center"/>
                </w:tcPr>
                <w:p>
                  <w:pPr>
                    <w:pStyle w:val="Compact"/>
                    <w:spacing w:before="36" w:after="36"/>
                    <w:jc w:val="center"/>
                    <w:rPr/>
                  </w:pPr>
                  <w:r>
                    <w:rPr/>
                    <w:t>0.99 (0.10)</w:t>
                  </w:r>
                </w:p>
              </w:tc>
            </w:tr>
            <w:tr>
              <w:trPr/>
              <w:tc>
                <w:tcPr>
                  <w:tcW w:w="843" w:type="dxa"/>
                  <w:tcBorders>
                    <w:top w:val="nil"/>
                    <w:bottom w:val="nil"/>
                  </w:tcBorders>
                  <w:vAlign w:val="center"/>
                </w:tcPr>
                <w:p>
                  <w:pPr>
                    <w:pStyle w:val="Compact"/>
                    <w:spacing w:before="36" w:after="36"/>
                    <w:jc w:val="center"/>
                    <w:rPr/>
                  </w:pPr>
                  <w:r>
                    <w:rPr/>
                    <w:t>Sol</w:t>
                  </w:r>
                </w:p>
              </w:tc>
              <w:tc>
                <w:tcPr>
                  <w:tcW w:w="459" w:type="dxa"/>
                  <w:tcBorders>
                    <w:top w:val="nil"/>
                    <w:bottom w:val="nil"/>
                  </w:tcBorders>
                  <w:vAlign w:val="center"/>
                </w:tcPr>
                <w:p>
                  <w:pPr>
                    <w:pStyle w:val="Compact"/>
                    <w:spacing w:before="36" w:after="36"/>
                    <w:jc w:val="center"/>
                    <w:rPr/>
                  </w:pPr>
                  <w:r>
                    <w:rPr/>
                    <w:t>$0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6.00 (0.00)</w:t>
                  </w:r>
                </w:p>
              </w:tc>
              <w:tc>
                <w:tcPr>
                  <w:tcW w:w="912" w:type="dxa"/>
                  <w:tcBorders>
                    <w:top w:val="nil"/>
                    <w:bottom w:val="nil"/>
                  </w:tcBorders>
                  <w:vAlign w:val="center"/>
                </w:tcPr>
                <w:p>
                  <w:pPr>
                    <w:pStyle w:val="Compact"/>
                    <w:spacing w:before="36" w:after="36"/>
                    <w:jc w:val="center"/>
                    <w:rPr/>
                  </w:pPr>
                  <w:r>
                    <w:rPr/>
                    <w:t>1.00 (0.00)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6.00 (0.00)</w:t>
                  </w:r>
                </w:p>
              </w:tc>
              <w:tc>
                <w:tcPr>
                  <w:tcW w:w="913" w:type="dxa"/>
                  <w:tcBorders>
                    <w:top w:val="nil"/>
                    <w:bottom w:val="nil"/>
                  </w:tcBorders>
                  <w:vAlign w:val="center"/>
                </w:tcPr>
                <w:p>
                  <w:pPr>
                    <w:pStyle w:val="Compact"/>
                    <w:spacing w:before="36" w:after="36"/>
                    <w:jc w:val="center"/>
                    <w:rPr/>
                  </w:pPr>
                  <w:r>
                    <w:rPr/>
                    <w:t>1.00 (0.00)</w:t>
                  </w:r>
                </w:p>
              </w:tc>
            </w:tr>
            <w:tr>
              <w:trPr/>
              <w:tc>
                <w:tcPr>
                  <w:tcW w:w="843" w:type="dxa"/>
                  <w:tcBorders>
                    <w:top w:val="nil"/>
                    <w:bottom w:val="nil"/>
                  </w:tcBorders>
                  <w:vAlign w:val="center"/>
                </w:tcPr>
                <w:p>
                  <w:pPr>
                    <w:pStyle w:val="Compact"/>
                    <w:spacing w:before="36" w:after="36"/>
                    <w:jc w:val="center"/>
                    <w:rPr/>
                  </w:pPr>
                  <w:r>
                    <w:rPr/>
                    <w:t>Sol</w:t>
                  </w:r>
                </w:p>
              </w:tc>
              <w:tc>
                <w:tcPr>
                  <w:tcW w:w="459" w:type="dxa"/>
                  <w:tcBorders>
                    <w:top w:val="nil"/>
                    <w:bottom w:val="nil"/>
                  </w:tcBorders>
                  <w:vAlign w:val="center"/>
                </w:tcPr>
                <w:p>
                  <w:pPr>
                    <w:pStyle w:val="Compact"/>
                    <w:spacing w:before="36" w:after="36"/>
                    <w:jc w:val="center"/>
                    <w:rPr/>
                  </w:pPr>
                  <w:r>
                    <w:rPr/>
                    <w:t>$10</w:t>
                  </w:r>
                </w:p>
              </w:tc>
              <w:tc>
                <w:tcPr>
                  <w:tcW w:w="911" w:type="dxa"/>
                  <w:tcBorders>
                    <w:top w:val="nil"/>
                    <w:bottom w:val="nil"/>
                  </w:tcBorders>
                  <w:vAlign w:val="center"/>
                </w:tcPr>
                <w:p>
                  <w:pPr>
                    <w:pStyle w:val="Compact"/>
                    <w:spacing w:before="36" w:after="36"/>
                    <w:jc w:val="center"/>
                    <w:rPr/>
                  </w:pPr>
                  <w:r>
                    <w:rPr/>
                    <w:t>0.37 (0.77)</w:t>
                  </w:r>
                </w:p>
              </w:tc>
              <w:tc>
                <w:tcPr>
                  <w:tcW w:w="912" w:type="dxa"/>
                  <w:tcBorders>
                    <w:top w:val="nil"/>
                    <w:bottom w:val="nil"/>
                  </w:tcBorders>
                  <w:vAlign w:val="center"/>
                </w:tcPr>
                <w:p>
                  <w:pPr>
                    <w:pStyle w:val="Compact"/>
                    <w:spacing w:before="36" w:after="36"/>
                    <w:jc w:val="center"/>
                    <w:rPr/>
                  </w:pPr>
                  <w:r>
                    <w:rPr/>
                    <w:t>0.90 (1.00)</w:t>
                  </w:r>
                </w:p>
              </w:tc>
              <w:tc>
                <w:tcPr>
                  <w:tcW w:w="911" w:type="dxa"/>
                  <w:tcBorders>
                    <w:top w:val="nil"/>
                    <w:bottom w:val="nil"/>
                  </w:tcBorders>
                  <w:vAlign w:val="center"/>
                </w:tcPr>
                <w:p>
                  <w:pPr>
                    <w:pStyle w:val="Compact"/>
                    <w:spacing w:before="36" w:after="36"/>
                    <w:jc w:val="center"/>
                    <w:rPr/>
                  </w:pPr>
                  <w:r>
                    <w:rPr/>
                    <w:t>3.27 (1.56)</w:t>
                  </w:r>
                </w:p>
              </w:tc>
              <w:tc>
                <w:tcPr>
                  <w:tcW w:w="912" w:type="dxa"/>
                  <w:tcBorders>
                    <w:top w:val="nil"/>
                    <w:bottom w:val="nil"/>
                  </w:tcBorders>
                  <w:vAlign w:val="center"/>
                </w:tcPr>
                <w:p>
                  <w:pPr>
                    <w:pStyle w:val="Compact"/>
                    <w:spacing w:before="36" w:after="36"/>
                    <w:jc w:val="center"/>
                    <w:rPr/>
                  </w:pPr>
                  <w:r>
                    <w:rPr/>
                    <w:t>0.18 (0.39)</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6.00 (0.00)</w:t>
                  </w:r>
                </w:p>
              </w:tc>
              <w:tc>
                <w:tcPr>
                  <w:tcW w:w="913" w:type="dxa"/>
                  <w:tcBorders>
                    <w:top w:val="nil"/>
                    <w:bottom w:val="nil"/>
                  </w:tcBorders>
                  <w:vAlign w:val="center"/>
                </w:tcPr>
                <w:p>
                  <w:pPr>
                    <w:pStyle w:val="Compact"/>
                    <w:spacing w:before="36" w:after="36"/>
                    <w:jc w:val="center"/>
                    <w:rPr/>
                  </w:pPr>
                  <w:r>
                    <w:rPr/>
                    <w:t>1.00 (0.00)</w:t>
                  </w:r>
                </w:p>
              </w:tc>
            </w:tr>
            <w:tr>
              <w:trPr/>
              <w:tc>
                <w:tcPr>
                  <w:tcW w:w="843" w:type="dxa"/>
                  <w:tcBorders>
                    <w:top w:val="nil"/>
                    <w:bottom w:val="nil"/>
                  </w:tcBorders>
                  <w:vAlign w:val="center"/>
                </w:tcPr>
                <w:p>
                  <w:pPr>
                    <w:pStyle w:val="Compact"/>
                    <w:spacing w:before="36" w:after="36"/>
                    <w:jc w:val="center"/>
                    <w:rPr/>
                  </w:pPr>
                  <w:r>
                    <w:rPr/>
                    <w:t>Sonnet</w:t>
                  </w:r>
                </w:p>
              </w:tc>
              <w:tc>
                <w:tcPr>
                  <w:tcW w:w="459" w:type="dxa"/>
                  <w:tcBorders>
                    <w:top w:val="nil"/>
                    <w:bottom w:val="nil"/>
                  </w:tcBorders>
                  <w:vAlign w:val="center"/>
                </w:tcPr>
                <w:p>
                  <w:pPr>
                    <w:pStyle w:val="Compact"/>
                    <w:spacing w:before="36" w:after="36"/>
                    <w:jc w:val="center"/>
                    <w:rPr/>
                  </w:pPr>
                  <w:r>
                    <w:rPr/>
                    <w:t>$0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6.00 (0.00)</w:t>
                  </w:r>
                </w:p>
              </w:tc>
              <w:tc>
                <w:tcPr>
                  <w:tcW w:w="912" w:type="dxa"/>
                  <w:tcBorders>
                    <w:top w:val="nil"/>
                    <w:bottom w:val="nil"/>
                  </w:tcBorders>
                  <w:vAlign w:val="center"/>
                </w:tcPr>
                <w:p>
                  <w:pPr>
                    <w:pStyle w:val="Compact"/>
                    <w:spacing w:before="36" w:after="36"/>
                    <w:jc w:val="center"/>
                    <w:rPr/>
                  </w:pPr>
                  <w:r>
                    <w:rPr/>
                    <w:t>1.00 (0.00)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6.00 (0.00)</w:t>
                  </w:r>
                </w:p>
              </w:tc>
              <w:tc>
                <w:tcPr>
                  <w:tcW w:w="913" w:type="dxa"/>
                  <w:tcBorders>
                    <w:top w:val="nil"/>
                    <w:bottom w:val="nil"/>
                  </w:tcBorders>
                  <w:vAlign w:val="center"/>
                </w:tcPr>
                <w:p>
                  <w:pPr>
                    <w:pStyle w:val="Compact"/>
                    <w:spacing w:before="36" w:after="36"/>
                    <w:jc w:val="center"/>
                    <w:rPr/>
                  </w:pPr>
                  <w:r>
                    <w:rPr/>
                    <w:t>1.00 (0.00)</w:t>
                  </w:r>
                </w:p>
              </w:tc>
            </w:tr>
            <w:tr>
              <w:trPr/>
              <w:tc>
                <w:tcPr>
                  <w:tcW w:w="843" w:type="dxa"/>
                  <w:tcBorders>
                    <w:top w:val="nil"/>
                    <w:bottom w:val="nil"/>
                  </w:tcBorders>
                  <w:vAlign w:val="center"/>
                </w:tcPr>
                <w:p>
                  <w:pPr>
                    <w:pStyle w:val="Compact"/>
                    <w:spacing w:before="36" w:after="36"/>
                    <w:jc w:val="center"/>
                    <w:rPr/>
                  </w:pPr>
                  <w:r>
                    <w:rPr/>
                    <w:t>Sonnet</w:t>
                  </w:r>
                </w:p>
              </w:tc>
              <w:tc>
                <w:tcPr>
                  <w:tcW w:w="459" w:type="dxa"/>
                  <w:tcBorders>
                    <w:top w:val="nil"/>
                    <w:bottom w:val="nil"/>
                  </w:tcBorders>
                  <w:vAlign w:val="center"/>
                </w:tcPr>
                <w:p>
                  <w:pPr>
                    <w:pStyle w:val="Compact"/>
                    <w:spacing w:before="36" w:after="36"/>
                    <w:jc w:val="center"/>
                    <w:rPr/>
                  </w:pPr>
                  <w:r>
                    <w:rPr/>
                    <w:t>$10</w:t>
                  </w:r>
                </w:p>
              </w:tc>
              <w:tc>
                <w:tcPr>
                  <w:tcW w:w="911" w:type="dxa"/>
                  <w:tcBorders>
                    <w:top w:val="nil"/>
                    <w:bottom w:val="nil"/>
                  </w:tcBorders>
                  <w:vAlign w:val="center"/>
                </w:tcPr>
                <w:p>
                  <w:pPr>
                    <w:pStyle w:val="Compact"/>
                    <w:spacing w:before="36" w:after="36"/>
                    <w:jc w:val="center"/>
                    <w:rPr/>
                  </w:pPr>
                  <w:r>
                    <w:rPr/>
                    <w:t>1.06 (1.00)</w:t>
                  </w:r>
                </w:p>
              </w:tc>
              <w:tc>
                <w:tcPr>
                  <w:tcW w:w="912" w:type="dxa"/>
                  <w:tcBorders>
                    <w:top w:val="nil"/>
                    <w:bottom w:val="nil"/>
                  </w:tcBorders>
                  <w:vAlign w:val="center"/>
                </w:tcPr>
                <w:p>
                  <w:pPr>
                    <w:pStyle w:val="Compact"/>
                    <w:spacing w:before="36" w:after="36"/>
                    <w:jc w:val="center"/>
                    <w:rPr/>
                  </w:pPr>
                  <w:r>
                    <w:rPr/>
                    <w:t>1.88 (0.48)</w:t>
                  </w:r>
                </w:p>
              </w:tc>
              <w:tc>
                <w:tcPr>
                  <w:tcW w:w="911" w:type="dxa"/>
                  <w:tcBorders>
                    <w:top w:val="nil"/>
                    <w:bottom w:val="nil"/>
                  </w:tcBorders>
                  <w:vAlign w:val="center"/>
                </w:tcPr>
                <w:p>
                  <w:pPr>
                    <w:pStyle w:val="Compact"/>
                    <w:spacing w:before="36" w:after="36"/>
                    <w:jc w:val="center"/>
                    <w:rPr/>
                  </w:pPr>
                  <w:r>
                    <w:rPr/>
                    <w:t>4.94 (1.22)</w:t>
                  </w:r>
                </w:p>
              </w:tc>
              <w:tc>
                <w:tcPr>
                  <w:tcW w:w="912" w:type="dxa"/>
                  <w:tcBorders>
                    <w:top w:val="nil"/>
                    <w:bottom w:val="nil"/>
                  </w:tcBorders>
                  <w:vAlign w:val="center"/>
                </w:tcPr>
                <w:p>
                  <w:pPr>
                    <w:pStyle w:val="Compact"/>
                    <w:spacing w:before="36" w:after="36"/>
                    <w:jc w:val="center"/>
                    <w:rPr/>
                  </w:pPr>
                  <w:r>
                    <w:rPr/>
                    <w:t>0.53 (0.50)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6.00 (0.00)</w:t>
                  </w:r>
                </w:p>
              </w:tc>
              <w:tc>
                <w:tcPr>
                  <w:tcW w:w="913" w:type="dxa"/>
                  <w:tcBorders>
                    <w:top w:val="nil"/>
                    <w:bottom w:val="nil"/>
                  </w:tcBorders>
                  <w:vAlign w:val="center"/>
                </w:tcPr>
                <w:p>
                  <w:pPr>
                    <w:pStyle w:val="Compact"/>
                    <w:spacing w:before="36" w:after="36"/>
                    <w:jc w:val="center"/>
                    <w:rPr/>
                  </w:pPr>
                  <w:r>
                    <w:rPr/>
                    <w:t>1.00 (0.00)</w:t>
                  </w:r>
                </w:p>
              </w:tc>
            </w:tr>
            <w:tr>
              <w:trPr/>
              <w:tc>
                <w:tcPr>
                  <w:tcW w:w="843" w:type="dxa"/>
                  <w:tcBorders>
                    <w:top w:val="nil"/>
                    <w:bottom w:val="nil"/>
                  </w:tcBorders>
                  <w:vAlign w:val="center"/>
                </w:tcPr>
                <w:p>
                  <w:pPr>
                    <w:pStyle w:val="Compact"/>
                    <w:spacing w:before="36" w:after="36"/>
                    <w:jc w:val="center"/>
                    <w:rPr/>
                  </w:pPr>
                  <w:r>
                    <w:rPr/>
                    <w:t>Opus</w:t>
                  </w:r>
                </w:p>
              </w:tc>
              <w:tc>
                <w:tcPr>
                  <w:tcW w:w="459" w:type="dxa"/>
                  <w:tcBorders>
                    <w:top w:val="nil"/>
                    <w:bottom w:val="nil"/>
                  </w:tcBorders>
                  <w:vAlign w:val="center"/>
                </w:tcPr>
                <w:p>
                  <w:pPr>
                    <w:pStyle w:val="Compact"/>
                    <w:spacing w:before="36" w:after="36"/>
                    <w:jc w:val="center"/>
                    <w:rPr/>
                  </w:pPr>
                  <w:r>
                    <w:rPr/>
                    <w:t>$0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6.00 (0.00)</w:t>
                  </w:r>
                </w:p>
              </w:tc>
              <w:tc>
                <w:tcPr>
                  <w:tcW w:w="912" w:type="dxa"/>
                  <w:tcBorders>
                    <w:top w:val="nil"/>
                    <w:bottom w:val="nil"/>
                  </w:tcBorders>
                  <w:vAlign w:val="center"/>
                </w:tcPr>
                <w:p>
                  <w:pPr>
                    <w:pStyle w:val="Compact"/>
                    <w:spacing w:before="36" w:after="36"/>
                    <w:jc w:val="center"/>
                    <w:rPr/>
                  </w:pPr>
                  <w:r>
                    <w:rPr/>
                    <w:t>1.00 (0.00)</w:t>
                  </w:r>
                </w:p>
              </w:tc>
              <w:tc>
                <w:tcPr>
                  <w:tcW w:w="911" w:type="dxa"/>
                  <w:tcBorders>
                    <w:top w:val="nil"/>
                    <w:bottom w:val="nil"/>
                  </w:tcBorders>
                  <w:vAlign w:val="center"/>
                </w:tcPr>
                <w:p>
                  <w:pPr>
                    <w:pStyle w:val="Compact"/>
                    <w:spacing w:before="36" w:after="36"/>
                    <w:jc w:val="center"/>
                    <w:rPr/>
                  </w:pPr>
                  <w:r>
                    <w:rPr/>
                    <w:t>2.00 (0.00)</w:t>
                  </w:r>
                </w:p>
              </w:tc>
              <w:tc>
                <w:tcPr>
                  <w:tcW w:w="912" w:type="dxa"/>
                  <w:tcBorders>
                    <w:top w:val="nil"/>
                    <w:bottom w:val="nil"/>
                  </w:tcBorders>
                  <w:vAlign w:val="center"/>
                </w:tcPr>
                <w:p>
                  <w:pPr>
                    <w:pStyle w:val="Compact"/>
                    <w:spacing w:before="36" w:after="36"/>
                    <w:jc w:val="center"/>
                    <w:rPr/>
                  </w:pPr>
                  <w:r>
                    <w:rPr/>
                    <w:t>2.00 (0.00)</w:t>
                  </w:r>
                </w:p>
              </w:tc>
              <w:tc>
                <w:tcPr>
                  <w:tcW w:w="911" w:type="dxa"/>
                  <w:tcBorders>
                    <w:top w:val="nil"/>
                    <w:bottom w:val="nil"/>
                  </w:tcBorders>
                  <w:vAlign w:val="center"/>
                </w:tcPr>
                <w:p>
                  <w:pPr>
                    <w:pStyle w:val="Compact"/>
                    <w:spacing w:before="36" w:after="36"/>
                    <w:jc w:val="center"/>
                    <w:rPr/>
                  </w:pPr>
                  <w:r>
                    <w:rPr/>
                    <w:t>6.00 (0.00)</w:t>
                  </w:r>
                </w:p>
              </w:tc>
              <w:tc>
                <w:tcPr>
                  <w:tcW w:w="913" w:type="dxa"/>
                  <w:tcBorders>
                    <w:top w:val="nil"/>
                    <w:bottom w:val="nil"/>
                  </w:tcBorders>
                  <w:vAlign w:val="center"/>
                </w:tcPr>
                <w:p>
                  <w:pPr>
                    <w:pStyle w:val="Compact"/>
                    <w:spacing w:before="36" w:after="36"/>
                    <w:jc w:val="center"/>
                    <w:rPr/>
                  </w:pPr>
                  <w:r>
                    <w:rPr/>
                    <w:t>1.00 (0.00)</w:t>
                  </w:r>
                </w:p>
              </w:tc>
            </w:tr>
            <w:tr>
              <w:trPr/>
              <w:tc>
                <w:tcPr>
                  <w:tcW w:w="843" w:type="dxa"/>
                  <w:tcBorders>
                    <w:top w:val="nil"/>
                  </w:tcBorders>
                  <w:vAlign w:val="center"/>
                </w:tcPr>
                <w:p>
                  <w:pPr>
                    <w:pStyle w:val="Compact"/>
                    <w:spacing w:before="36" w:after="36"/>
                    <w:jc w:val="center"/>
                    <w:rPr/>
                  </w:pPr>
                  <w:r>
                    <w:rPr/>
                    <w:t>Opus</w:t>
                  </w:r>
                </w:p>
              </w:tc>
              <w:tc>
                <w:tcPr>
                  <w:tcW w:w="459" w:type="dxa"/>
                  <w:tcBorders>
                    <w:top w:val="nil"/>
                  </w:tcBorders>
                  <w:vAlign w:val="center"/>
                </w:tcPr>
                <w:p>
                  <w:pPr>
                    <w:pStyle w:val="Compact"/>
                    <w:spacing w:before="36" w:after="36"/>
                    <w:jc w:val="center"/>
                    <w:rPr/>
                  </w:pPr>
                  <w:r>
                    <w:rPr/>
                    <w:t>$10</w:t>
                  </w:r>
                </w:p>
              </w:tc>
              <w:tc>
                <w:tcPr>
                  <w:tcW w:w="911" w:type="dxa"/>
                  <w:tcBorders>
                    <w:top w:val="nil"/>
                  </w:tcBorders>
                  <w:vAlign w:val="center"/>
                </w:tcPr>
                <w:p>
                  <w:pPr>
                    <w:pStyle w:val="Compact"/>
                    <w:spacing w:before="36" w:after="36"/>
                    <w:jc w:val="center"/>
                    <w:rPr/>
                  </w:pPr>
                  <w:r>
                    <w:rPr/>
                    <w:t>0.00 (0.00)</w:t>
                  </w:r>
                </w:p>
              </w:tc>
              <w:tc>
                <w:tcPr>
                  <w:tcW w:w="912" w:type="dxa"/>
                  <w:tcBorders>
                    <w:top w:val="nil"/>
                  </w:tcBorders>
                  <w:vAlign w:val="center"/>
                </w:tcPr>
                <w:p>
                  <w:pPr>
                    <w:pStyle w:val="Compact"/>
                    <w:spacing w:before="36" w:after="36"/>
                    <w:jc w:val="center"/>
                    <w:rPr/>
                  </w:pPr>
                  <w:r>
                    <w:rPr/>
                    <w:t>1.38 (0.93)</w:t>
                  </w:r>
                </w:p>
              </w:tc>
              <w:tc>
                <w:tcPr>
                  <w:tcW w:w="911" w:type="dxa"/>
                  <w:tcBorders>
                    <w:top w:val="nil"/>
                  </w:tcBorders>
                  <w:vAlign w:val="center"/>
                </w:tcPr>
                <w:p>
                  <w:pPr>
                    <w:pStyle w:val="Compact"/>
                    <w:spacing w:before="36" w:after="36"/>
                    <w:jc w:val="center"/>
                    <w:rPr/>
                  </w:pPr>
                  <w:r>
                    <w:rPr/>
                    <w:t>3.38 (0.93)</w:t>
                  </w:r>
                </w:p>
              </w:tc>
              <w:tc>
                <w:tcPr>
                  <w:tcW w:w="912" w:type="dxa"/>
                  <w:tcBorders>
                    <w:top w:val="nil"/>
                  </w:tcBorders>
                  <w:vAlign w:val="center"/>
                </w:tcPr>
                <w:p>
                  <w:pPr>
                    <w:pStyle w:val="Compact"/>
                    <w:spacing w:before="36" w:after="36"/>
                    <w:jc w:val="center"/>
                    <w:rPr/>
                  </w:pPr>
                  <w:r>
                    <w:rPr/>
                    <w:t>0.00 (0.00)</w:t>
                  </w:r>
                </w:p>
              </w:tc>
              <w:tc>
                <w:tcPr>
                  <w:tcW w:w="911" w:type="dxa"/>
                  <w:tcBorders>
                    <w:top w:val="nil"/>
                  </w:tcBorders>
                  <w:vAlign w:val="center"/>
                </w:tcPr>
                <w:p>
                  <w:pPr>
                    <w:pStyle w:val="Compact"/>
                    <w:spacing w:before="36" w:after="36"/>
                    <w:jc w:val="center"/>
                    <w:rPr/>
                  </w:pPr>
                  <w:r>
                    <w:rPr/>
                    <w:t>0.31 (0.71)</w:t>
                  </w:r>
                </w:p>
              </w:tc>
              <w:tc>
                <w:tcPr>
                  <w:tcW w:w="912" w:type="dxa"/>
                  <w:tcBorders>
                    <w:top w:val="nil"/>
                  </w:tcBorders>
                  <w:vAlign w:val="center"/>
                </w:tcPr>
                <w:p>
                  <w:pPr>
                    <w:pStyle w:val="Compact"/>
                    <w:spacing w:before="36" w:after="36"/>
                    <w:jc w:val="center"/>
                    <w:rPr/>
                  </w:pPr>
                  <w:r>
                    <w:rPr/>
                    <w:t>2.00 (0.00)</w:t>
                  </w:r>
                </w:p>
              </w:tc>
              <w:tc>
                <w:tcPr>
                  <w:tcW w:w="911" w:type="dxa"/>
                  <w:tcBorders>
                    <w:top w:val="nil"/>
                  </w:tcBorders>
                  <w:vAlign w:val="center"/>
                </w:tcPr>
                <w:p>
                  <w:pPr>
                    <w:pStyle w:val="Compact"/>
                    <w:spacing w:before="36" w:after="36"/>
                    <w:jc w:val="center"/>
                    <w:rPr/>
                  </w:pPr>
                  <w:r>
                    <w:rPr/>
                    <w:t>4.31 (0.71)</w:t>
                  </w:r>
                </w:p>
              </w:tc>
              <w:tc>
                <w:tcPr>
                  <w:tcW w:w="913" w:type="dxa"/>
                  <w:tcBorders>
                    <w:top w:val="nil"/>
                  </w:tcBorders>
                  <w:vAlign w:val="center"/>
                </w:tcPr>
                <w:p>
                  <w:pPr>
                    <w:pStyle w:val="Compact"/>
                    <w:spacing w:before="36" w:after="36"/>
                    <w:jc w:val="center"/>
                    <w:rPr/>
                  </w:pPr>
                  <w:r>
                    <w:rPr/>
                    <w:t>0.14 (0.35)</w:t>
                  </w:r>
                  <w:bookmarkStart w:id="144" w:name="apptbl-s1b-descriptives"/>
                  <w:bookmarkEnd w:id="144"/>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200</m:t>
        </m:r>
      </m:oMath>
      <w:r>
        <w:rPr/>
        <w:t xml:space="preserve"> sessions across eight LLMs from three providers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100</m:t>
        </m:r>
      </m:oMath>
      <w:r>
        <w:rPr/>
        <w:t xml:space="preserve"> independent Monte Carlo sessions per cell). Means with standard deviation in parentheses. Diagnostic acquisitions are the combined count of </w:t>
      </w:r>
      <w:r>
        <w:rPr>
          <w:i/>
          <w:iCs/>
        </w:rPr>
        <w:t>price_dollars</w:t>
      </w:r>
      <w:r>
        <w:rPr/>
        <w:t xml:space="preserve">, </w:t>
      </w:r>
      <w:r>
        <w:rPr>
          <w:i/>
          <w:iCs/>
        </w:rPr>
        <w:t>price_cents</w:t>
      </w:r>
      <w:r>
        <w:rPr/>
        <w:t xml:space="preserve">, and </w:t>
      </w:r>
      <w:r>
        <w:rPr>
          <w:i/>
          <w:iCs/>
        </w:rPr>
        <w:t>weight</w:t>
      </w:r>
      <w:r>
        <w:rPr/>
        <w:t xml:space="preserve"> across both alternatives (maximum = 6).</w:t>
        <w:br/>
      </w:r>
      <w:r>
        <w:rPr>
          <w:i/>
          <w:iCs/>
        </w:rPr>
        <w:t>price_dollars</w:t>
      </w:r>
      <w:r>
        <w:rPr/>
        <w:t xml:space="preserve"> acquisitions are omitted for brevity. Choice Optimality is the proportion of sessions selecting the normatively superior alternative (</w:t>
      </w:r>
      <w:r>
        <w:rPr>
          <w:i/>
          <w:iCs/>
        </w:rPr>
        <w:t>Coffee B</w:t>
      </w:r>
      <w:r>
        <w:rPr/>
        <w:t>: $5.00 for 11 oz; 0.455 $/oz).</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W11: Moderated mediation structural path estimates by LLM (Study 1 Tool-Lab)</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524"/>
              <w:gridCol w:w="1904"/>
              <w:gridCol w:w="1902"/>
              <w:gridCol w:w="1909"/>
              <w:gridCol w:w="1905"/>
            </w:tblGrid>
            <w:tr>
              <w:trPr>
                <w:tblHeader w:val="true"/>
              </w:trPr>
              <w:tc>
                <w:tcPr>
                  <w:tcW w:w="1524" w:type="dxa"/>
                  <w:tcBorders/>
                  <w:vAlign w:val="center"/>
                </w:tcPr>
                <w:p>
                  <w:pPr>
                    <w:pStyle w:val="Compact"/>
                    <w:spacing w:before="36" w:after="36"/>
                    <w:jc w:val="center"/>
                    <w:rPr>
                      <w:b w:val="false"/>
                    </w:rPr>
                  </w:pPr>
                  <w:r>
                    <w:rPr>
                      <w:b w:val="false"/>
                    </w:rPr>
                    <w:t>LLM</w:t>
                  </w:r>
                </w:p>
              </w:tc>
              <w:tc>
                <w:tcPr>
                  <w:tcW w:w="1904"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a</m:t>
                        </m:r>
                      </m:e>
                      <m:sub>
                        <m:r>
                          <w:rPr>
                            <w:rFonts w:ascii="Cambria Math" w:hAnsi="Cambria Math"/>
                          </w:rPr>
                          <m:t xml:space="preserve">1</m:t>
                        </m:r>
                      </m:sub>
                    </m:sSub>
                  </m:oMath>
                  <w:r>
                    <w:rPr>
                      <w:b w:val="false"/>
                    </w:rPr>
                    <w:t xml:space="preserve"> </w:t>
                  </w:r>
                  <w:r>
                    <w:rPr>
                      <w:b w:val="false"/>
                    </w:rPr>
                    <w:t>(Cost: Unit price)</w:t>
                  </w:r>
                </w:p>
              </w:tc>
              <w:tc>
                <w:tcPr>
                  <w:tcW w:w="1902"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a</m:t>
                        </m:r>
                      </m:e>
                      <m:sub>
                        <m:r>
                          <w:rPr>
                            <w:rFonts w:ascii="Cambria Math" w:hAnsi="Cambria Math"/>
                          </w:rPr>
                          <m:t xml:space="preserve">3</m:t>
                        </m:r>
                      </m:sub>
                    </m:sSub>
                  </m:oMath>
                  <w:r>
                    <w:rPr>
                      <w:b w:val="false"/>
                    </w:rPr>
                    <w:t xml:space="preserve"> </w:t>
                  </w:r>
                  <w:r>
                    <w:rPr>
                      <w:b w:val="false"/>
                    </w:rPr>
                    <w:t xml:space="preserve">(Cost </w:t>
                  </w:r>
                  <w:r>
                    <w:rPr>
                      <w:b w:val="false"/>
                    </w:rPr>
                  </w:r>
                  <m:oMath xmlns:m="http://schemas.openxmlformats.org/officeDocument/2006/math">
                    <m:r>
                      <w:rPr>
                        <w:rFonts w:ascii="Cambria Math" w:hAnsi="Cambria Math"/>
                      </w:rPr>
                      <m:t xml:space="preserve">×</m:t>
                    </m:r>
                  </m:oMath>
                  <w:r>
                    <w:rPr>
                      <w:b w:val="false"/>
                    </w:rPr>
                    <w:t xml:space="preserve"> Vague)</w:t>
                  </w:r>
                </w:p>
              </w:tc>
              <w:tc>
                <w:tcPr>
                  <w:tcW w:w="1909"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b</m:t>
                        </m:r>
                      </m:e>
                      <m:sub>
                        <m:r>
                          <w:rPr>
                            <w:rFonts w:ascii="Cambria Math" w:hAnsi="Cambria Math"/>
                          </w:rPr>
                          <m:t xml:space="preserve">1</m:t>
                        </m:r>
                      </m:sub>
                    </m:sSub>
                  </m:oMath>
                  <w:r>
                    <w:rPr>
                      <w:b w:val="false"/>
                    </w:rPr>
                    <w:t xml:space="preserve"> </w:t>
                  </w:r>
                  <w:r>
                    <w:rPr>
                      <w:b w:val="false"/>
                    </w:rPr>
                    <w:t>(Diagnostic acquistion)</w:t>
                  </w:r>
                </w:p>
              </w:tc>
              <w:tc>
                <w:tcPr>
                  <w:tcW w:w="1905" w:type="dxa"/>
                  <w:tcBorders/>
                  <w:vAlign w:val="center"/>
                </w:tcPr>
                <w:p>
                  <w:pPr>
                    <w:pStyle w:val="Compact"/>
                    <w:spacing w:before="36" w:after="36"/>
                    <w:jc w:val="center"/>
                    <w:rPr>
                      <w:b w:val="false"/>
                    </w:rPr>
                  </w:pPr>
                  <w:r>
                    <w:rPr>
                      <w:b w:val="false"/>
                    </w:rPr>
                  </w:r>
                  <m:oMath xmlns:m="http://schemas.openxmlformats.org/officeDocument/2006/math">
                    <m:sSup>
                      <m:e>
                        <m:r>
                          <w:rPr>
                            <w:rFonts w:ascii="Cambria Math" w:hAnsi="Cambria Math"/>
                          </w:rPr>
                          <m:t xml:space="preserve">c</m:t>
                        </m:r>
                      </m:e>
                      <m:sup>
                        <m:r>
                          <w:rPr>
                            <w:rFonts w:ascii="Cambria Math" w:hAnsi="Cambria Math"/>
                          </w:rPr>
                          <m:t xml:space="preserve">′</m:t>
                        </m:r>
                      </m:sup>
                    </m:sSup>
                  </m:oMath>
                  <w:r>
                    <w:rPr>
                      <w:b w:val="false"/>
                    </w:rPr>
                    <w:t xml:space="preserve"> </w:t>
                  </w:r>
                  <w:r>
                    <w:rPr>
                      <w:b w:val="false"/>
                    </w:rPr>
                    <w:t>(Direct effect)</w:t>
                  </w:r>
                </w:p>
              </w:tc>
            </w:tr>
            <w:tr>
              <w:trPr/>
              <w:tc>
                <w:tcPr>
                  <w:tcW w:w="1524" w:type="dxa"/>
                  <w:tcBorders>
                    <w:top w:val="nil"/>
                    <w:bottom w:val="nil"/>
                  </w:tcBorders>
                  <w:vAlign w:val="center"/>
                </w:tcPr>
                <w:p>
                  <w:pPr>
                    <w:pStyle w:val="Compact"/>
                    <w:spacing w:before="36" w:after="36"/>
                    <w:jc w:val="center"/>
                    <w:rPr/>
                  </w:pPr>
                  <w:r>
                    <w:rPr/>
                    <w:t>Gemini 3.5 Flash Lite</w:t>
                  </w:r>
                </w:p>
              </w:tc>
              <w:tc>
                <w:tcPr>
                  <w:tcW w:w="1904" w:type="dxa"/>
                  <w:tcBorders>
                    <w:top w:val="nil"/>
                    <w:bottom w:val="nil"/>
                  </w:tcBorders>
                  <w:vAlign w:val="center"/>
                </w:tcPr>
                <w:p>
                  <w:pPr>
                    <w:pStyle w:val="Compact"/>
                    <w:spacing w:before="36" w:after="36"/>
                    <w:jc w:val="center"/>
                    <w:rPr/>
                  </w:pPr>
                  <w:r>
                    <w:rPr/>
                    <w:t>0.005 [-0.149, 0.159]</w:t>
                  </w:r>
                </w:p>
              </w:tc>
              <w:tc>
                <w:tcPr>
                  <w:tcW w:w="1902" w:type="dxa"/>
                  <w:tcBorders>
                    <w:top w:val="nil"/>
                    <w:bottom w:val="nil"/>
                  </w:tcBorders>
                  <w:vAlign w:val="center"/>
                </w:tcPr>
                <w:p>
                  <w:pPr>
                    <w:pStyle w:val="Compact"/>
                    <w:spacing w:before="36" w:after="36"/>
                    <w:jc w:val="center"/>
                    <w:rPr/>
                  </w:pPr>
                  <w:r>
                    <w:rPr/>
                    <w:t>-0.479 [-0.729, -0.225]*</w:t>
                  </w:r>
                </w:p>
              </w:tc>
              <w:tc>
                <w:tcPr>
                  <w:tcW w:w="1909" w:type="dxa"/>
                  <w:tcBorders>
                    <w:top w:val="nil"/>
                    <w:bottom w:val="nil"/>
                  </w:tcBorders>
                  <w:vAlign w:val="center"/>
                </w:tcPr>
                <w:p>
                  <w:pPr>
                    <w:pStyle w:val="Compact"/>
                    <w:spacing w:before="36" w:after="36"/>
                    <w:jc w:val="center"/>
                    <w:rPr/>
                  </w:pPr>
                  <w:r>
                    <w:rPr/>
                    <w:t>0.297 [0.265, 0.328]*</w:t>
                  </w:r>
                </w:p>
              </w:tc>
              <w:tc>
                <w:tcPr>
                  <w:tcW w:w="1905" w:type="dxa"/>
                  <w:tcBorders>
                    <w:top w:val="nil"/>
                    <w:bottom w:val="nil"/>
                  </w:tcBorders>
                  <w:vAlign w:val="center"/>
                </w:tcPr>
                <w:p>
                  <w:pPr>
                    <w:pStyle w:val="Compact"/>
                    <w:spacing w:before="36" w:after="36"/>
                    <w:jc w:val="center"/>
                    <w:rPr/>
                  </w:pPr>
                  <w:r>
                    <w:rPr/>
                    <w:t>0.106 [0.062, 0.151]*</w:t>
                  </w:r>
                </w:p>
              </w:tc>
            </w:tr>
            <w:tr>
              <w:trPr/>
              <w:tc>
                <w:tcPr>
                  <w:tcW w:w="1524" w:type="dxa"/>
                  <w:tcBorders>
                    <w:top w:val="nil"/>
                    <w:bottom w:val="nil"/>
                  </w:tcBorders>
                  <w:vAlign w:val="center"/>
                </w:tcPr>
                <w:p>
                  <w:pPr>
                    <w:pStyle w:val="Compact"/>
                    <w:spacing w:before="36" w:after="36"/>
                    <w:jc w:val="center"/>
                    <w:rPr/>
                  </w:pPr>
                  <w:r>
                    <w:rPr/>
                    <w:t>Gemini 3.8 Flash</w:t>
                  </w:r>
                </w:p>
              </w:tc>
              <w:tc>
                <w:tcPr>
                  <w:tcW w:w="1904" w:type="dxa"/>
                  <w:tcBorders>
                    <w:top w:val="nil"/>
                    <w:bottom w:val="nil"/>
                  </w:tcBorders>
                  <w:vAlign w:val="center"/>
                </w:tcPr>
                <w:p>
                  <w:pPr>
                    <w:pStyle w:val="Compact"/>
                    <w:spacing w:before="36" w:after="36"/>
                    <w:jc w:val="center"/>
                    <w:rPr/>
                  </w:pPr>
                  <w:r>
                    <w:rPr/>
                    <w:t>-0.423 [-0.573, -0.270]*</w:t>
                  </w:r>
                </w:p>
              </w:tc>
              <w:tc>
                <w:tcPr>
                  <w:tcW w:w="1902" w:type="dxa"/>
                  <w:tcBorders>
                    <w:top w:val="nil"/>
                    <w:bottom w:val="nil"/>
                  </w:tcBorders>
                  <w:vAlign w:val="center"/>
                </w:tcPr>
                <w:p>
                  <w:pPr>
                    <w:pStyle w:val="Compact"/>
                    <w:spacing w:before="36" w:after="36"/>
                    <w:jc w:val="center"/>
                    <w:rPr/>
                  </w:pPr>
                  <w:r>
                    <w:rPr/>
                    <w:t>-2.548 [-2.790, -2.305]*</w:t>
                  </w:r>
                </w:p>
              </w:tc>
              <w:tc>
                <w:tcPr>
                  <w:tcW w:w="1909" w:type="dxa"/>
                  <w:tcBorders>
                    <w:top w:val="nil"/>
                    <w:bottom w:val="nil"/>
                  </w:tcBorders>
                  <w:vAlign w:val="center"/>
                </w:tcPr>
                <w:p>
                  <w:pPr>
                    <w:pStyle w:val="Compact"/>
                    <w:spacing w:before="36" w:after="36"/>
                    <w:jc w:val="center"/>
                    <w:rPr/>
                  </w:pPr>
                  <w:r>
                    <w:rPr/>
                    <w:t>0.210 [0.191, 0.230]*</w:t>
                  </w:r>
                </w:p>
              </w:tc>
              <w:tc>
                <w:tcPr>
                  <w:tcW w:w="1905" w:type="dxa"/>
                  <w:tcBorders>
                    <w:top w:val="nil"/>
                    <w:bottom w:val="nil"/>
                  </w:tcBorders>
                  <w:vAlign w:val="center"/>
                </w:tcPr>
                <w:p>
                  <w:pPr>
                    <w:pStyle w:val="Compact"/>
                    <w:spacing w:before="36" w:after="36"/>
                    <w:jc w:val="center"/>
                    <w:rPr/>
                  </w:pPr>
                  <w:r>
                    <w:rPr/>
                    <w:t>-0.166 [-0.219, -0.113]*</w:t>
                  </w:r>
                </w:p>
              </w:tc>
            </w:tr>
            <w:tr>
              <w:trPr/>
              <w:tc>
                <w:tcPr>
                  <w:tcW w:w="1524" w:type="dxa"/>
                  <w:tcBorders>
                    <w:top w:val="nil"/>
                    <w:bottom w:val="nil"/>
                  </w:tcBorders>
                  <w:vAlign w:val="center"/>
                </w:tcPr>
                <w:p>
                  <w:pPr>
                    <w:pStyle w:val="Compact"/>
                    <w:spacing w:before="36" w:after="36"/>
                    <w:jc w:val="center"/>
                    <w:rPr/>
                  </w:pPr>
                  <w:r>
                    <w:rPr/>
                    <w:t>Gemini 3.1 Pro</w:t>
                  </w:r>
                </w:p>
              </w:tc>
              <w:tc>
                <w:tcPr>
                  <w:tcW w:w="1904" w:type="dxa"/>
                  <w:tcBorders>
                    <w:top w:val="nil"/>
                    <w:bottom w:val="nil"/>
                  </w:tcBorders>
                  <w:vAlign w:val="center"/>
                </w:tcPr>
                <w:p>
                  <w:pPr>
                    <w:pStyle w:val="Compact"/>
                    <w:spacing w:before="36" w:after="36"/>
                    <w:jc w:val="center"/>
                    <w:rPr/>
                  </w:pPr>
                  <w:r>
                    <w:rPr/>
                    <w:t>-0.023 [-0.175, 0.131]</w:t>
                  </w:r>
                </w:p>
              </w:tc>
              <w:tc>
                <w:tcPr>
                  <w:tcW w:w="1902" w:type="dxa"/>
                  <w:tcBorders>
                    <w:top w:val="nil"/>
                    <w:bottom w:val="nil"/>
                  </w:tcBorders>
                  <w:vAlign w:val="center"/>
                </w:tcPr>
                <w:p>
                  <w:pPr>
                    <w:pStyle w:val="Compact"/>
                    <w:spacing w:before="36" w:after="36"/>
                    <w:jc w:val="center"/>
                    <w:rPr/>
                  </w:pPr>
                  <w:r>
                    <w:rPr/>
                    <w:t>-3.233 [-3.482, -2.983]*</w:t>
                  </w:r>
                </w:p>
              </w:tc>
              <w:tc>
                <w:tcPr>
                  <w:tcW w:w="1909" w:type="dxa"/>
                  <w:tcBorders>
                    <w:top w:val="nil"/>
                    <w:bottom w:val="nil"/>
                  </w:tcBorders>
                  <w:vAlign w:val="center"/>
                </w:tcPr>
                <w:p>
                  <w:pPr>
                    <w:pStyle w:val="Compact"/>
                    <w:spacing w:before="36" w:after="36"/>
                    <w:jc w:val="center"/>
                    <w:rPr/>
                  </w:pPr>
                  <w:r>
                    <w:rPr/>
                    <w:t>0.224 [0.206, 0.241]*</w:t>
                  </w:r>
                </w:p>
              </w:tc>
              <w:tc>
                <w:tcPr>
                  <w:tcW w:w="1905" w:type="dxa"/>
                  <w:tcBorders>
                    <w:top w:val="nil"/>
                    <w:bottom w:val="nil"/>
                  </w:tcBorders>
                  <w:vAlign w:val="center"/>
                </w:tcPr>
                <w:p>
                  <w:pPr>
                    <w:pStyle w:val="Compact"/>
                    <w:spacing w:before="36" w:after="36"/>
                    <w:jc w:val="center"/>
                    <w:rPr/>
                  </w:pPr>
                  <w:r>
                    <w:rPr/>
                    <w:t>0.013 [-0.038, 0.065]</w:t>
                  </w:r>
                </w:p>
              </w:tc>
            </w:tr>
            <w:tr>
              <w:trPr/>
              <w:tc>
                <w:tcPr>
                  <w:tcW w:w="1524" w:type="dxa"/>
                  <w:tcBorders>
                    <w:top w:val="nil"/>
                    <w:bottom w:val="nil"/>
                  </w:tcBorders>
                  <w:vAlign w:val="center"/>
                </w:tcPr>
                <w:p>
                  <w:pPr>
                    <w:pStyle w:val="Compact"/>
                    <w:spacing w:before="36" w:after="36"/>
                    <w:jc w:val="center"/>
                    <w:rPr/>
                  </w:pPr>
                  <w:r>
                    <w:rPr/>
                    <w:t>GPT-5.6 Luna</w:t>
                  </w:r>
                </w:p>
              </w:tc>
              <w:tc>
                <w:tcPr>
                  <w:tcW w:w="1904" w:type="dxa"/>
                  <w:tcBorders>
                    <w:top w:val="nil"/>
                    <w:bottom w:val="nil"/>
                  </w:tcBorders>
                  <w:vAlign w:val="center"/>
                </w:tcPr>
                <w:p>
                  <w:pPr>
                    <w:pStyle w:val="Compact"/>
                    <w:spacing w:before="36" w:after="36"/>
                    <w:jc w:val="center"/>
                    <w:rPr/>
                  </w:pPr>
                  <w:r>
                    <w:rPr/>
                    <w:t>-0.017 [-0.170, 0.132]</w:t>
                  </w:r>
                </w:p>
              </w:tc>
              <w:tc>
                <w:tcPr>
                  <w:tcW w:w="1902" w:type="dxa"/>
                  <w:tcBorders>
                    <w:top w:val="nil"/>
                    <w:bottom w:val="nil"/>
                  </w:tcBorders>
                  <w:vAlign w:val="center"/>
                </w:tcPr>
                <w:p>
                  <w:pPr>
                    <w:pStyle w:val="Compact"/>
                    <w:spacing w:before="36" w:after="36"/>
                    <w:jc w:val="center"/>
                    <w:rPr/>
                  </w:pPr>
                  <w:r>
                    <w:rPr/>
                    <w:t>-0.163 [-0.402, 0.085]</w:t>
                  </w:r>
                </w:p>
              </w:tc>
              <w:tc>
                <w:tcPr>
                  <w:tcW w:w="1909" w:type="dxa"/>
                  <w:tcBorders>
                    <w:top w:val="nil"/>
                    <w:bottom w:val="nil"/>
                  </w:tcBorders>
                  <w:vAlign w:val="center"/>
                </w:tcPr>
                <w:p>
                  <w:pPr>
                    <w:pStyle w:val="Compact"/>
                    <w:spacing w:before="36" w:after="36"/>
                    <w:jc w:val="center"/>
                    <w:rPr/>
                  </w:pPr>
                  <w:r>
                    <w:rPr/>
                    <w:t>0.385 [0.321, 0.451]*</w:t>
                  </w:r>
                </w:p>
              </w:tc>
              <w:tc>
                <w:tcPr>
                  <w:tcW w:w="1905" w:type="dxa"/>
                  <w:tcBorders>
                    <w:top w:val="nil"/>
                    <w:bottom w:val="nil"/>
                  </w:tcBorders>
                  <w:vAlign w:val="center"/>
                </w:tcPr>
                <w:p>
                  <w:pPr>
                    <w:pStyle w:val="Compact"/>
                    <w:spacing w:before="36" w:after="36"/>
                    <w:jc w:val="center"/>
                    <w:rPr/>
                  </w:pPr>
                  <w:r>
                    <w:rPr/>
                    <w:t>-0.022 [-0.066, 0.022]</w:t>
                  </w:r>
                </w:p>
              </w:tc>
            </w:tr>
            <w:tr>
              <w:trPr/>
              <w:tc>
                <w:tcPr>
                  <w:tcW w:w="1524" w:type="dxa"/>
                  <w:tcBorders>
                    <w:top w:val="nil"/>
                    <w:bottom w:val="nil"/>
                  </w:tcBorders>
                  <w:vAlign w:val="center"/>
                </w:tcPr>
                <w:p>
                  <w:pPr>
                    <w:pStyle w:val="Compact"/>
                    <w:spacing w:before="36" w:after="36"/>
                    <w:jc w:val="center"/>
                    <w:rPr/>
                  </w:pPr>
                  <w:r>
                    <w:rPr/>
                    <w:t>GPT-5.6 Sol</w:t>
                  </w:r>
                </w:p>
              </w:tc>
              <w:tc>
                <w:tcPr>
                  <w:tcW w:w="1904" w:type="dxa"/>
                  <w:tcBorders>
                    <w:top w:val="nil"/>
                    <w:bottom w:val="nil"/>
                  </w:tcBorders>
                  <w:vAlign w:val="center"/>
                </w:tcPr>
                <w:p>
                  <w:pPr>
                    <w:pStyle w:val="Compact"/>
                    <w:spacing w:before="36" w:after="36"/>
                    <w:jc w:val="center"/>
                    <w:rPr/>
                  </w:pPr>
                  <w:r>
                    <w:rPr/>
                    <w:t>-0.012 [-0.166, 0.138]</w:t>
                  </w:r>
                </w:p>
              </w:tc>
              <w:tc>
                <w:tcPr>
                  <w:tcW w:w="1902" w:type="dxa"/>
                  <w:tcBorders>
                    <w:top w:val="nil"/>
                    <w:bottom w:val="nil"/>
                  </w:tcBorders>
                  <w:vAlign w:val="center"/>
                </w:tcPr>
                <w:p>
                  <w:pPr>
                    <w:pStyle w:val="Compact"/>
                    <w:spacing w:before="36" w:after="36"/>
                    <w:jc w:val="center"/>
                    <w:rPr/>
                  </w:pPr>
                  <w:r>
                    <w:rPr/>
                    <w:t>-2.694 [-2.937, -2.457]*</w:t>
                  </w:r>
                </w:p>
              </w:tc>
              <w:tc>
                <w:tcPr>
                  <w:tcW w:w="1909" w:type="dxa"/>
                  <w:tcBorders>
                    <w:top w:val="nil"/>
                    <w:bottom w:val="nil"/>
                  </w:tcBorders>
                  <w:vAlign w:val="center"/>
                </w:tcPr>
                <w:p>
                  <w:pPr>
                    <w:pStyle w:val="Compact"/>
                    <w:spacing w:before="36" w:after="36"/>
                    <w:jc w:val="center"/>
                    <w:rPr/>
                  </w:pPr>
                  <w:r>
                    <w:rPr/>
                    <w:t>0.248 [0.228, 0.267]*</w:t>
                  </w:r>
                </w:p>
              </w:tc>
              <w:tc>
                <w:tcPr>
                  <w:tcW w:w="1905" w:type="dxa"/>
                  <w:tcBorders>
                    <w:top w:val="nil"/>
                    <w:bottom w:val="nil"/>
                  </w:tcBorders>
                  <w:vAlign w:val="center"/>
                </w:tcPr>
                <w:p>
                  <w:pPr>
                    <w:pStyle w:val="Compact"/>
                    <w:spacing w:before="36" w:after="36"/>
                    <w:jc w:val="center"/>
                    <w:rPr/>
                  </w:pPr>
                  <w:r>
                    <w:rPr/>
                    <w:t>-0.072 [-0.124, -0.022]*</w:t>
                  </w:r>
                </w:p>
              </w:tc>
            </w:tr>
            <w:tr>
              <w:trPr/>
              <w:tc>
                <w:tcPr>
                  <w:tcW w:w="1524" w:type="dxa"/>
                  <w:tcBorders>
                    <w:top w:val="nil"/>
                    <w:bottom w:val="nil"/>
                  </w:tcBorders>
                  <w:vAlign w:val="center"/>
                </w:tcPr>
                <w:p>
                  <w:pPr>
                    <w:pStyle w:val="Compact"/>
                    <w:spacing w:before="36" w:after="36"/>
                    <w:jc w:val="center"/>
                    <w:rPr/>
                  </w:pPr>
                  <w:r>
                    <w:rPr/>
                    <w:t>GPT-5.6 Terra</w:t>
                  </w:r>
                </w:p>
              </w:tc>
              <w:tc>
                <w:tcPr>
                  <w:tcW w:w="1904" w:type="dxa"/>
                  <w:tcBorders>
                    <w:top w:val="nil"/>
                    <w:bottom w:val="nil"/>
                  </w:tcBorders>
                  <w:vAlign w:val="center"/>
                </w:tcPr>
                <w:p>
                  <w:pPr>
                    <w:pStyle w:val="Compact"/>
                    <w:spacing w:before="36" w:after="36"/>
                    <w:jc w:val="center"/>
                    <w:rPr/>
                  </w:pPr>
                  <w:r>
                    <w:rPr/>
                    <w:t>-0.059 [-0.211, 0.090]</w:t>
                  </w:r>
                </w:p>
              </w:tc>
              <w:tc>
                <w:tcPr>
                  <w:tcW w:w="1902" w:type="dxa"/>
                  <w:tcBorders>
                    <w:top w:val="nil"/>
                    <w:bottom w:val="nil"/>
                  </w:tcBorders>
                  <w:vAlign w:val="center"/>
                </w:tcPr>
                <w:p>
                  <w:pPr>
                    <w:pStyle w:val="Compact"/>
                    <w:spacing w:before="36" w:after="36"/>
                    <w:jc w:val="center"/>
                    <w:rPr/>
                  </w:pPr>
                  <w:r>
                    <w:rPr/>
                    <w:t>-3.068 [-3.309, -2.827]*</w:t>
                  </w:r>
                </w:p>
              </w:tc>
              <w:tc>
                <w:tcPr>
                  <w:tcW w:w="1909" w:type="dxa"/>
                  <w:tcBorders>
                    <w:top w:val="nil"/>
                    <w:bottom w:val="nil"/>
                  </w:tcBorders>
                  <w:vAlign w:val="center"/>
                </w:tcPr>
                <w:p>
                  <w:pPr>
                    <w:pStyle w:val="Compact"/>
                    <w:spacing w:before="36" w:after="36"/>
                    <w:jc w:val="center"/>
                    <w:rPr/>
                  </w:pPr>
                  <w:r>
                    <w:rPr/>
                    <w:t>0.179 [0.161, 0.197]*</w:t>
                  </w:r>
                </w:p>
              </w:tc>
              <w:tc>
                <w:tcPr>
                  <w:tcW w:w="1905" w:type="dxa"/>
                  <w:tcBorders>
                    <w:top w:val="nil"/>
                    <w:bottom w:val="nil"/>
                  </w:tcBorders>
                  <w:vAlign w:val="center"/>
                </w:tcPr>
                <w:p>
                  <w:pPr>
                    <w:pStyle w:val="Compact"/>
                    <w:spacing w:before="36" w:after="36"/>
                    <w:jc w:val="center"/>
                    <w:rPr/>
                  </w:pPr>
                  <w:r>
                    <w:rPr/>
                    <w:t>-0.090 [-0.143, -0.038]*</w:t>
                  </w:r>
                </w:p>
              </w:tc>
            </w:tr>
            <w:tr>
              <w:trPr/>
              <w:tc>
                <w:tcPr>
                  <w:tcW w:w="1524" w:type="dxa"/>
                  <w:tcBorders>
                    <w:top w:val="nil"/>
                    <w:bottom w:val="nil"/>
                  </w:tcBorders>
                  <w:vAlign w:val="center"/>
                </w:tcPr>
                <w:p>
                  <w:pPr>
                    <w:pStyle w:val="Compact"/>
                    <w:spacing w:before="36" w:after="36"/>
                    <w:jc w:val="center"/>
                    <w:rPr/>
                  </w:pPr>
                  <w:r>
                    <w:rPr/>
                    <w:t>Claude Sonnet 5</w:t>
                  </w:r>
                </w:p>
              </w:tc>
              <w:tc>
                <w:tcPr>
                  <w:tcW w:w="1904" w:type="dxa"/>
                  <w:tcBorders>
                    <w:top w:val="nil"/>
                    <w:bottom w:val="nil"/>
                  </w:tcBorders>
                  <w:vAlign w:val="center"/>
                </w:tcPr>
                <w:p>
                  <w:pPr>
                    <w:pStyle w:val="Compact"/>
                    <w:spacing w:before="36" w:after="36"/>
                    <w:jc w:val="center"/>
                    <w:rPr/>
                  </w:pPr>
                  <w:r>
                    <w:rPr/>
                    <w:t>-0.006 [-0.158, 0.150]</w:t>
                  </w:r>
                </w:p>
              </w:tc>
              <w:tc>
                <w:tcPr>
                  <w:tcW w:w="1902" w:type="dxa"/>
                  <w:tcBorders>
                    <w:top w:val="nil"/>
                    <w:bottom w:val="nil"/>
                  </w:tcBorders>
                  <w:vAlign w:val="center"/>
                </w:tcPr>
                <w:p>
                  <w:pPr>
                    <w:pStyle w:val="Compact"/>
                    <w:spacing w:before="36" w:after="36"/>
                    <w:jc w:val="center"/>
                    <w:rPr/>
                  </w:pPr>
                  <w:r>
                    <w:rPr/>
                    <w:t>-1.043 [-1.285, -0.802]*</w:t>
                  </w:r>
                </w:p>
              </w:tc>
              <w:tc>
                <w:tcPr>
                  <w:tcW w:w="1909" w:type="dxa"/>
                  <w:tcBorders>
                    <w:top w:val="nil"/>
                    <w:bottom w:val="nil"/>
                  </w:tcBorders>
                  <w:vAlign w:val="center"/>
                </w:tcPr>
                <w:p>
                  <w:pPr>
                    <w:pStyle w:val="Compact"/>
                    <w:spacing w:before="36" w:after="36"/>
                    <w:jc w:val="center"/>
                    <w:rPr/>
                  </w:pPr>
                  <w:r>
                    <w:rPr/>
                    <w:t>0.379 [0.347, 0.411]*</w:t>
                  </w:r>
                </w:p>
              </w:tc>
              <w:tc>
                <w:tcPr>
                  <w:tcW w:w="1905" w:type="dxa"/>
                  <w:tcBorders>
                    <w:top w:val="nil"/>
                    <w:bottom w:val="nil"/>
                  </w:tcBorders>
                  <w:vAlign w:val="center"/>
                </w:tcPr>
                <w:p>
                  <w:pPr>
                    <w:pStyle w:val="Compact"/>
                    <w:spacing w:before="36" w:after="36"/>
                    <w:jc w:val="center"/>
                    <w:rPr/>
                  </w:pPr>
                  <w:r>
                    <w:rPr/>
                    <w:t>-0.035 [-0.082, 0.012]</w:t>
                  </w:r>
                </w:p>
              </w:tc>
            </w:tr>
            <w:tr>
              <w:trPr/>
              <w:tc>
                <w:tcPr>
                  <w:tcW w:w="1524" w:type="dxa"/>
                  <w:tcBorders>
                    <w:top w:val="nil"/>
                  </w:tcBorders>
                  <w:vAlign w:val="center"/>
                </w:tcPr>
                <w:p>
                  <w:pPr>
                    <w:pStyle w:val="Compact"/>
                    <w:spacing w:before="36" w:after="36"/>
                    <w:jc w:val="center"/>
                    <w:rPr/>
                  </w:pPr>
                  <w:r>
                    <w:rPr/>
                    <w:t>Claude Opus 5</w:t>
                  </w:r>
                </w:p>
              </w:tc>
              <w:tc>
                <w:tcPr>
                  <w:tcW w:w="1904" w:type="dxa"/>
                  <w:tcBorders>
                    <w:top w:val="nil"/>
                  </w:tcBorders>
                  <w:vAlign w:val="center"/>
                </w:tcPr>
                <w:p>
                  <w:pPr>
                    <w:pStyle w:val="Compact"/>
                    <w:spacing w:before="36" w:after="36"/>
                    <w:jc w:val="center"/>
                    <w:rPr/>
                  </w:pPr>
                  <w:r>
                    <w:rPr/>
                    <w:t>-1.664 [-1.819, -1.507]*</w:t>
                  </w:r>
                </w:p>
              </w:tc>
              <w:tc>
                <w:tcPr>
                  <w:tcW w:w="1902" w:type="dxa"/>
                  <w:tcBorders>
                    <w:top w:val="nil"/>
                  </w:tcBorders>
                  <w:vAlign w:val="center"/>
                </w:tcPr>
                <w:p>
                  <w:pPr>
                    <w:pStyle w:val="Compact"/>
                    <w:spacing w:before="36" w:after="36"/>
                    <w:jc w:val="center"/>
                    <w:rPr/>
                  </w:pPr>
                  <w:r>
                    <w:rPr/>
                    <w:t>-0.960 [-1.210, -0.710]*</w:t>
                  </w:r>
                </w:p>
              </w:tc>
              <w:tc>
                <w:tcPr>
                  <w:tcW w:w="1909" w:type="dxa"/>
                  <w:tcBorders>
                    <w:top w:val="nil"/>
                  </w:tcBorders>
                  <w:vAlign w:val="center"/>
                </w:tcPr>
                <w:p>
                  <w:pPr>
                    <w:pStyle w:val="Compact"/>
                    <w:spacing w:before="36" w:after="36"/>
                    <w:jc w:val="center"/>
                    <w:rPr/>
                  </w:pPr>
                  <w:r>
                    <w:rPr/>
                    <w:t>0.179 [0.145, 0.213]*</w:t>
                  </w:r>
                </w:p>
              </w:tc>
              <w:tc>
                <w:tcPr>
                  <w:tcW w:w="1905" w:type="dxa"/>
                  <w:tcBorders>
                    <w:top w:val="nil"/>
                  </w:tcBorders>
                  <w:vAlign w:val="center"/>
                </w:tcPr>
                <w:p>
                  <w:pPr>
                    <w:pStyle w:val="Compact"/>
                    <w:spacing w:before="36" w:after="36"/>
                    <w:jc w:val="center"/>
                    <w:rPr/>
                  </w:pPr>
                  <w:r>
                    <w:rPr/>
                    <w:t>-0.538 [-0.624, -0.452]*</w:t>
                  </w:r>
                  <w:bookmarkStart w:id="145" w:name="apptbl-s1b-permodel-paths"/>
                  <w:bookmarkEnd w:id="145"/>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200</m:t>
        </m:r>
      </m:oMath>
      <w:r>
        <w:rPr/>
        <w:t xml:space="preserve"> sessions across eight LLMs (400 sessions per LLM: 100 per prompt framing </w:t>
      </w:r>
      <w:r>
        <w:rPr/>
      </w:r>
      <m:oMath xmlns:m="http://schemas.openxmlformats.org/officeDocument/2006/math">
        <m:r>
          <w:rPr>
            <w:rFonts w:ascii="Cambria Math" w:hAnsi="Cambria Math"/>
          </w:rPr>
          <m:t xml:space="preserve">×</m:t>
        </m:r>
      </m:oMath>
      <w:r>
        <w:rPr/>
        <w:t xml:space="preserve"> cost condition). Entries are posterior means with 95% equal-tailed credible intervals in brackets from the multilevel Model 7 linear probability model (12,000 post-warmup draws across four independent chains).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oMath>
      <w:r>
        <w:rPr/>
        <w:t xml:space="preserve"> is the simple slope of acquisition cost under explicit unit-price instructions (in cells).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oMath>
      <w:r>
        <w:rPr/>
        <w:t xml:space="preserve"> is the first-stage moderation interaction of cost by ambiguous deal framing (in cells).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oMath>
      <w:r>
        <w:rPr/>
        <w:t xml:space="preserve"> is the marginal effect of diagnostic search depth on choice optimality probability. </w:t>
      </w:r>
      <w:r>
        <w:rPr/>
      </w:r>
      <m:oMath xmlns:m="http://schemas.openxmlformats.org/officeDocument/2006/math">
        <m:sSup>
          <m:e>
            <m:r>
              <w:rPr>
                <w:rFonts w:ascii="Cambria Math" w:hAnsi="Cambria Math"/>
              </w:rPr>
              <m:t xml:space="preserve">c</m:t>
            </m:r>
          </m:e>
          <m:sup>
            <m:r>
              <w:rPr>
                <w:rFonts w:ascii="Cambria Math" w:hAnsi="Cambria Math"/>
              </w:rPr>
              <m:t xml:space="preserve">′</m:t>
            </m:r>
          </m:sup>
        </m:sSup>
      </m:oMath>
      <w:r>
        <w:rPr/>
        <w:t xml:space="preserve"> is the unmoderated direct effect of acquisition cost on choice optimality.</w:t>
        <w:br/>
        <w:t>* indicates that the 95% credible interval excludes zero.</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W12: Conditional indirect effects and index of moderated mediation by LLM (Study 1 Tool-Lab)</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524"/>
              <w:gridCol w:w="1904"/>
              <w:gridCol w:w="1902"/>
              <w:gridCol w:w="1909"/>
              <w:gridCol w:w="1905"/>
            </w:tblGrid>
            <w:tr>
              <w:trPr>
                <w:tblHeader w:val="true"/>
              </w:trPr>
              <w:tc>
                <w:tcPr>
                  <w:tcW w:w="1524" w:type="dxa"/>
                  <w:tcBorders/>
                  <w:vAlign w:val="center"/>
                </w:tcPr>
                <w:p>
                  <w:pPr>
                    <w:pStyle w:val="Compact"/>
                    <w:spacing w:before="36" w:after="36"/>
                    <w:jc w:val="center"/>
                    <w:rPr>
                      <w:b w:val="false"/>
                    </w:rPr>
                  </w:pPr>
                  <w:r>
                    <w:rPr>
                      <w:b w:val="false"/>
                    </w:rPr>
                    <w:t>LLM</w:t>
                  </w:r>
                </w:p>
              </w:tc>
              <w:tc>
                <w:tcPr>
                  <w:tcW w:w="1904" w:type="dxa"/>
                  <w:tcBorders/>
                  <w:vAlign w:val="center"/>
                </w:tcPr>
                <w:p>
                  <w:pPr>
                    <w:pStyle w:val="Compact"/>
                    <w:spacing w:before="36" w:after="36"/>
                    <w:jc w:val="center"/>
                    <w:rPr>
                      <w:b w:val="false"/>
                    </w:rPr>
                  </w:pPr>
                  <w:r>
                    <w:rPr>
                      <w:b w:val="false"/>
                    </w:rPr>
                    <w:t>Indirect (Unit price)</w:t>
                  </w:r>
                </w:p>
              </w:tc>
              <w:tc>
                <w:tcPr>
                  <w:tcW w:w="1902" w:type="dxa"/>
                  <w:tcBorders/>
                  <w:vAlign w:val="center"/>
                </w:tcPr>
                <w:p>
                  <w:pPr>
                    <w:pStyle w:val="Compact"/>
                    <w:spacing w:before="36" w:after="36"/>
                    <w:jc w:val="center"/>
                    <w:rPr>
                      <w:b w:val="false"/>
                    </w:rPr>
                  </w:pPr>
                  <w:r>
                    <w:rPr>
                      <w:b w:val="false"/>
                    </w:rPr>
                    <w:t>Indirect (Vague prompt)</w:t>
                  </w:r>
                </w:p>
              </w:tc>
              <w:tc>
                <w:tcPr>
                  <w:tcW w:w="1909" w:type="dxa"/>
                  <w:tcBorders/>
                  <w:vAlign w:val="center"/>
                </w:tcPr>
                <w:p>
                  <w:pPr>
                    <w:pStyle w:val="Compact"/>
                    <w:spacing w:before="36" w:after="36"/>
                    <w:jc w:val="center"/>
                    <w:rPr>
                      <w:b w:val="false"/>
                    </w:rPr>
                  </w:pPr>
                  <w:r>
                    <w:rPr>
                      <w:b w:val="false"/>
                    </w:rPr>
                    <w:t>Index of Moderated Mediation (IMM)</w:t>
                  </w:r>
                </w:p>
              </w:tc>
              <w:tc>
                <w:tcPr>
                  <w:tcW w:w="1905" w:type="dxa"/>
                  <w:tcBorders/>
                  <w:vAlign w:val="center"/>
                </w:tcPr>
                <w:p>
                  <w:pPr>
                    <w:pStyle w:val="Compact"/>
                    <w:spacing w:before="36" w:after="36"/>
                    <w:jc w:val="center"/>
                    <w:rPr>
                      <w:b w:val="false"/>
                    </w:rPr>
                  </w:pPr>
                  <w:r>
                    <w:rPr>
                      <w:b w:val="false"/>
                    </w:rPr>
                    <w:t>Total effect (Vague)</w:t>
                  </w:r>
                </w:p>
              </w:tc>
            </w:tr>
            <w:tr>
              <w:trPr/>
              <w:tc>
                <w:tcPr>
                  <w:tcW w:w="1524" w:type="dxa"/>
                  <w:tcBorders>
                    <w:top w:val="nil"/>
                    <w:bottom w:val="nil"/>
                  </w:tcBorders>
                  <w:vAlign w:val="center"/>
                </w:tcPr>
                <w:p>
                  <w:pPr>
                    <w:pStyle w:val="Compact"/>
                    <w:spacing w:before="36" w:after="36"/>
                    <w:jc w:val="center"/>
                    <w:rPr/>
                  </w:pPr>
                  <w:r>
                    <w:rPr/>
                    <w:t>Gemini 3.5 Flash Lite</w:t>
                  </w:r>
                </w:p>
              </w:tc>
              <w:tc>
                <w:tcPr>
                  <w:tcW w:w="1904" w:type="dxa"/>
                  <w:tcBorders>
                    <w:top w:val="nil"/>
                    <w:bottom w:val="nil"/>
                  </w:tcBorders>
                  <w:vAlign w:val="center"/>
                </w:tcPr>
                <w:p>
                  <w:pPr>
                    <w:pStyle w:val="Compact"/>
                    <w:spacing w:before="36" w:after="36"/>
                    <w:jc w:val="center"/>
                    <w:rPr/>
                  </w:pPr>
                  <w:r>
                    <w:rPr/>
                    <w:t>0.001 [-0.044, 0.048]</w:t>
                  </w:r>
                </w:p>
              </w:tc>
              <w:tc>
                <w:tcPr>
                  <w:tcW w:w="1902" w:type="dxa"/>
                  <w:tcBorders>
                    <w:top w:val="nil"/>
                    <w:bottom w:val="nil"/>
                  </w:tcBorders>
                  <w:vAlign w:val="center"/>
                </w:tcPr>
                <w:p>
                  <w:pPr>
                    <w:pStyle w:val="Compact"/>
                    <w:spacing w:before="36" w:after="36"/>
                    <w:jc w:val="center"/>
                    <w:rPr/>
                  </w:pPr>
                  <w:r>
                    <w:rPr/>
                    <w:t>-0.141 [-0.201, -0.081]*</w:t>
                  </w:r>
                </w:p>
              </w:tc>
              <w:tc>
                <w:tcPr>
                  <w:tcW w:w="1909" w:type="dxa"/>
                  <w:tcBorders>
                    <w:top w:val="nil"/>
                    <w:bottom w:val="nil"/>
                  </w:tcBorders>
                  <w:vAlign w:val="center"/>
                </w:tcPr>
                <w:p>
                  <w:pPr>
                    <w:pStyle w:val="Compact"/>
                    <w:spacing w:before="36" w:after="36"/>
                    <w:jc w:val="center"/>
                    <w:rPr/>
                  </w:pPr>
                  <w:r>
                    <w:rPr/>
                    <w:t>-0.142 [-0.218, -0.066]*</w:t>
                  </w:r>
                </w:p>
              </w:tc>
              <w:tc>
                <w:tcPr>
                  <w:tcW w:w="1905" w:type="dxa"/>
                  <w:tcBorders>
                    <w:top w:val="nil"/>
                    <w:bottom w:val="nil"/>
                  </w:tcBorders>
                  <w:vAlign w:val="center"/>
                </w:tcPr>
                <w:p>
                  <w:pPr>
                    <w:pStyle w:val="Compact"/>
                    <w:spacing w:before="36" w:after="36"/>
                    <w:jc w:val="center"/>
                    <w:rPr/>
                  </w:pPr>
                  <w:r>
                    <w:rPr/>
                    <w:t>-0.035 [-0.108, 0.038]</w:t>
                  </w:r>
                </w:p>
              </w:tc>
            </w:tr>
            <w:tr>
              <w:trPr/>
              <w:tc>
                <w:tcPr>
                  <w:tcW w:w="1524" w:type="dxa"/>
                  <w:tcBorders>
                    <w:top w:val="nil"/>
                    <w:bottom w:val="nil"/>
                  </w:tcBorders>
                  <w:vAlign w:val="center"/>
                </w:tcPr>
                <w:p>
                  <w:pPr>
                    <w:pStyle w:val="Compact"/>
                    <w:spacing w:before="36" w:after="36"/>
                    <w:jc w:val="center"/>
                    <w:rPr/>
                  </w:pPr>
                  <w:r>
                    <w:rPr/>
                    <w:t>Gemini 3.8 Flash</w:t>
                  </w:r>
                </w:p>
              </w:tc>
              <w:tc>
                <w:tcPr>
                  <w:tcW w:w="1904" w:type="dxa"/>
                  <w:tcBorders>
                    <w:top w:val="nil"/>
                    <w:bottom w:val="nil"/>
                  </w:tcBorders>
                  <w:vAlign w:val="center"/>
                </w:tcPr>
                <w:p>
                  <w:pPr>
                    <w:pStyle w:val="Compact"/>
                    <w:spacing w:before="36" w:after="36"/>
                    <w:jc w:val="center"/>
                    <w:rPr/>
                  </w:pPr>
                  <w:r>
                    <w:rPr/>
                    <w:t>-0.089 [-0.122, -0.056]*</w:t>
                  </w:r>
                </w:p>
              </w:tc>
              <w:tc>
                <w:tcPr>
                  <w:tcW w:w="1902" w:type="dxa"/>
                  <w:tcBorders>
                    <w:top w:val="nil"/>
                    <w:bottom w:val="nil"/>
                  </w:tcBorders>
                  <w:vAlign w:val="center"/>
                </w:tcPr>
                <w:p>
                  <w:pPr>
                    <w:pStyle w:val="Compact"/>
                    <w:spacing w:before="36" w:after="36"/>
                    <w:jc w:val="center"/>
                    <w:rPr/>
                  </w:pPr>
                  <w:r>
                    <w:rPr/>
                    <w:t>-0.624 [-0.695, -0.556]*</w:t>
                  </w:r>
                </w:p>
              </w:tc>
              <w:tc>
                <w:tcPr>
                  <w:tcW w:w="1909" w:type="dxa"/>
                  <w:tcBorders>
                    <w:top w:val="nil"/>
                    <w:bottom w:val="nil"/>
                  </w:tcBorders>
                  <w:vAlign w:val="center"/>
                </w:tcPr>
                <w:p>
                  <w:pPr>
                    <w:pStyle w:val="Compact"/>
                    <w:spacing w:before="36" w:after="36"/>
                    <w:jc w:val="center"/>
                    <w:rPr/>
                  </w:pPr>
                  <w:r>
                    <w:rPr/>
                    <w:t>-0.535 [-0.607, -0.467]*</w:t>
                  </w:r>
                </w:p>
              </w:tc>
              <w:tc>
                <w:tcPr>
                  <w:tcW w:w="1905" w:type="dxa"/>
                  <w:tcBorders>
                    <w:top w:val="nil"/>
                    <w:bottom w:val="nil"/>
                  </w:tcBorders>
                  <w:vAlign w:val="center"/>
                </w:tcPr>
                <w:p>
                  <w:pPr>
                    <w:pStyle w:val="Compact"/>
                    <w:spacing w:before="36" w:after="36"/>
                    <w:jc w:val="center"/>
                    <w:rPr/>
                  </w:pPr>
                  <w:r>
                    <w:rPr/>
                    <w:t>-0.791 [-0.855, -0.727]*</w:t>
                  </w:r>
                </w:p>
              </w:tc>
            </w:tr>
            <w:tr>
              <w:trPr/>
              <w:tc>
                <w:tcPr>
                  <w:tcW w:w="1524" w:type="dxa"/>
                  <w:tcBorders>
                    <w:top w:val="nil"/>
                    <w:bottom w:val="nil"/>
                  </w:tcBorders>
                  <w:vAlign w:val="center"/>
                </w:tcPr>
                <w:p>
                  <w:pPr>
                    <w:pStyle w:val="Compact"/>
                    <w:spacing w:before="36" w:after="36"/>
                    <w:jc w:val="center"/>
                    <w:rPr/>
                  </w:pPr>
                  <w:r>
                    <w:rPr/>
                    <w:t>Gemini 3.1 Pro</w:t>
                  </w:r>
                </w:p>
              </w:tc>
              <w:tc>
                <w:tcPr>
                  <w:tcW w:w="1904" w:type="dxa"/>
                  <w:tcBorders>
                    <w:top w:val="nil"/>
                    <w:bottom w:val="nil"/>
                  </w:tcBorders>
                  <w:vAlign w:val="center"/>
                </w:tcPr>
                <w:p>
                  <w:pPr>
                    <w:pStyle w:val="Compact"/>
                    <w:spacing w:before="36" w:after="36"/>
                    <w:jc w:val="center"/>
                    <w:rPr/>
                  </w:pPr>
                  <w:r>
                    <w:rPr/>
                    <w:t>-0.005 [-0.040, 0.029]</w:t>
                  </w:r>
                </w:p>
              </w:tc>
              <w:tc>
                <w:tcPr>
                  <w:tcW w:w="1902" w:type="dxa"/>
                  <w:tcBorders>
                    <w:top w:val="nil"/>
                    <w:bottom w:val="nil"/>
                  </w:tcBorders>
                  <w:vAlign w:val="center"/>
                </w:tcPr>
                <w:p>
                  <w:pPr>
                    <w:pStyle w:val="Compact"/>
                    <w:spacing w:before="36" w:after="36"/>
                    <w:jc w:val="center"/>
                    <w:rPr/>
                  </w:pPr>
                  <w:r>
                    <w:rPr/>
                    <w:t>-0.730 [-0.802, -0.657]*</w:t>
                  </w:r>
                </w:p>
              </w:tc>
              <w:tc>
                <w:tcPr>
                  <w:tcW w:w="1909" w:type="dxa"/>
                  <w:tcBorders>
                    <w:top w:val="nil"/>
                    <w:bottom w:val="nil"/>
                  </w:tcBorders>
                  <w:vAlign w:val="center"/>
                </w:tcPr>
                <w:p>
                  <w:pPr>
                    <w:pStyle w:val="Compact"/>
                    <w:spacing w:before="36" w:after="36"/>
                    <w:jc w:val="center"/>
                    <w:rPr/>
                  </w:pPr>
                  <w:r>
                    <w:rPr/>
                    <w:t>-0.725 [-0.805, -0.646]*</w:t>
                  </w:r>
                </w:p>
              </w:tc>
              <w:tc>
                <w:tcPr>
                  <w:tcW w:w="1905" w:type="dxa"/>
                  <w:tcBorders>
                    <w:top w:val="nil"/>
                    <w:bottom w:val="nil"/>
                  </w:tcBorders>
                  <w:vAlign w:val="center"/>
                </w:tcPr>
                <w:p>
                  <w:pPr>
                    <w:pStyle w:val="Compact"/>
                    <w:spacing w:before="36" w:after="36"/>
                    <w:jc w:val="center"/>
                    <w:rPr/>
                  </w:pPr>
                  <w:r>
                    <w:rPr/>
                    <w:t>-0.716 [-0.785, -0.649]*</w:t>
                  </w:r>
                </w:p>
              </w:tc>
            </w:tr>
            <w:tr>
              <w:trPr/>
              <w:tc>
                <w:tcPr>
                  <w:tcW w:w="1524" w:type="dxa"/>
                  <w:tcBorders>
                    <w:top w:val="nil"/>
                    <w:bottom w:val="nil"/>
                  </w:tcBorders>
                  <w:vAlign w:val="center"/>
                </w:tcPr>
                <w:p>
                  <w:pPr>
                    <w:pStyle w:val="Compact"/>
                    <w:spacing w:before="36" w:after="36"/>
                    <w:jc w:val="center"/>
                    <w:rPr/>
                  </w:pPr>
                  <w:r>
                    <w:rPr/>
                    <w:t>GPT-5.6 Luna</w:t>
                  </w:r>
                </w:p>
              </w:tc>
              <w:tc>
                <w:tcPr>
                  <w:tcW w:w="1904" w:type="dxa"/>
                  <w:tcBorders>
                    <w:top w:val="nil"/>
                    <w:bottom w:val="nil"/>
                  </w:tcBorders>
                  <w:vAlign w:val="center"/>
                </w:tcPr>
                <w:p>
                  <w:pPr>
                    <w:pStyle w:val="Compact"/>
                    <w:spacing w:before="36" w:after="36"/>
                    <w:jc w:val="center"/>
                    <w:rPr/>
                  </w:pPr>
                  <w:r>
                    <w:rPr/>
                    <w:t>-0.006 [-0.066, 0.051]</w:t>
                  </w:r>
                </w:p>
              </w:tc>
              <w:tc>
                <w:tcPr>
                  <w:tcW w:w="1902" w:type="dxa"/>
                  <w:tcBorders>
                    <w:top w:val="nil"/>
                    <w:bottom w:val="nil"/>
                  </w:tcBorders>
                  <w:vAlign w:val="center"/>
                </w:tcPr>
                <w:p>
                  <w:pPr>
                    <w:pStyle w:val="Compact"/>
                    <w:spacing w:before="36" w:after="36"/>
                    <w:jc w:val="center"/>
                    <w:rPr/>
                  </w:pPr>
                  <w:r>
                    <w:rPr/>
                    <w:t>-0.069 [-0.145, 0.005]</w:t>
                  </w:r>
                </w:p>
              </w:tc>
              <w:tc>
                <w:tcPr>
                  <w:tcW w:w="1909" w:type="dxa"/>
                  <w:tcBorders>
                    <w:top w:val="nil"/>
                    <w:bottom w:val="nil"/>
                  </w:tcBorders>
                  <w:vAlign w:val="center"/>
                </w:tcPr>
                <w:p>
                  <w:pPr>
                    <w:pStyle w:val="Compact"/>
                    <w:spacing w:before="36" w:after="36"/>
                    <w:jc w:val="center"/>
                    <w:rPr/>
                  </w:pPr>
                  <w:r>
                    <w:rPr/>
                    <w:t>-0.063 [-0.158, 0.033]</w:t>
                  </w:r>
                </w:p>
              </w:tc>
              <w:tc>
                <w:tcPr>
                  <w:tcW w:w="1905" w:type="dxa"/>
                  <w:tcBorders>
                    <w:top w:val="nil"/>
                    <w:bottom w:val="nil"/>
                  </w:tcBorders>
                  <w:vAlign w:val="center"/>
                </w:tcPr>
                <w:p>
                  <w:pPr>
                    <w:pStyle w:val="Compact"/>
                    <w:spacing w:before="36" w:after="36"/>
                    <w:jc w:val="center"/>
                    <w:rPr/>
                  </w:pPr>
                  <w:r>
                    <w:rPr/>
                    <w:t>-0.091 [-0.176, -0.005]*</w:t>
                  </w:r>
                </w:p>
              </w:tc>
            </w:tr>
            <w:tr>
              <w:trPr/>
              <w:tc>
                <w:tcPr>
                  <w:tcW w:w="1524" w:type="dxa"/>
                  <w:tcBorders>
                    <w:top w:val="nil"/>
                    <w:bottom w:val="nil"/>
                  </w:tcBorders>
                  <w:vAlign w:val="center"/>
                </w:tcPr>
                <w:p>
                  <w:pPr>
                    <w:pStyle w:val="Compact"/>
                    <w:spacing w:before="36" w:after="36"/>
                    <w:jc w:val="center"/>
                    <w:rPr/>
                  </w:pPr>
                  <w:r>
                    <w:rPr/>
                    <w:t>GPT-5.6 Terra</w:t>
                  </w:r>
                </w:p>
              </w:tc>
              <w:tc>
                <w:tcPr>
                  <w:tcW w:w="1904" w:type="dxa"/>
                  <w:tcBorders>
                    <w:top w:val="nil"/>
                    <w:bottom w:val="nil"/>
                  </w:tcBorders>
                  <w:vAlign w:val="center"/>
                </w:tcPr>
                <w:p>
                  <w:pPr>
                    <w:pStyle w:val="Compact"/>
                    <w:spacing w:before="36" w:after="36"/>
                    <w:jc w:val="center"/>
                    <w:rPr/>
                  </w:pPr>
                  <w:r>
                    <w:rPr/>
                    <w:t>-0.011 [-0.038, 0.016]</w:t>
                  </w:r>
                </w:p>
              </w:tc>
              <w:tc>
                <w:tcPr>
                  <w:tcW w:w="1902" w:type="dxa"/>
                  <w:tcBorders>
                    <w:top w:val="nil"/>
                    <w:bottom w:val="nil"/>
                  </w:tcBorders>
                  <w:vAlign w:val="center"/>
                </w:tcPr>
                <w:p>
                  <w:pPr>
                    <w:pStyle w:val="Compact"/>
                    <w:spacing w:before="36" w:after="36"/>
                    <w:jc w:val="center"/>
                    <w:rPr/>
                  </w:pPr>
                  <w:r>
                    <w:rPr/>
                    <w:t>-0.561 [-0.626, -0.494]*</w:t>
                  </w:r>
                </w:p>
              </w:tc>
              <w:tc>
                <w:tcPr>
                  <w:tcW w:w="1909" w:type="dxa"/>
                  <w:tcBorders>
                    <w:top w:val="nil"/>
                    <w:bottom w:val="nil"/>
                  </w:tcBorders>
                  <w:vAlign w:val="center"/>
                </w:tcPr>
                <w:p>
                  <w:pPr>
                    <w:pStyle w:val="Compact"/>
                    <w:spacing w:before="36" w:after="36"/>
                    <w:jc w:val="center"/>
                    <w:rPr/>
                  </w:pPr>
                  <w:r>
                    <w:rPr/>
                    <w:t>-0.550 [-0.622, -0.481]*</w:t>
                  </w:r>
                </w:p>
              </w:tc>
              <w:tc>
                <w:tcPr>
                  <w:tcW w:w="1905" w:type="dxa"/>
                  <w:tcBorders>
                    <w:top w:val="nil"/>
                    <w:bottom w:val="nil"/>
                  </w:tcBorders>
                  <w:vAlign w:val="center"/>
                </w:tcPr>
                <w:p>
                  <w:pPr>
                    <w:pStyle w:val="Compact"/>
                    <w:spacing w:before="36" w:after="36"/>
                    <w:jc w:val="center"/>
                    <w:rPr/>
                  </w:pPr>
                  <w:r>
                    <w:rPr/>
                    <w:t>-0.650 [-0.712, -0.589]*</w:t>
                  </w:r>
                </w:p>
              </w:tc>
            </w:tr>
            <w:tr>
              <w:trPr/>
              <w:tc>
                <w:tcPr>
                  <w:tcW w:w="1524" w:type="dxa"/>
                  <w:tcBorders>
                    <w:top w:val="nil"/>
                    <w:bottom w:val="nil"/>
                  </w:tcBorders>
                  <w:vAlign w:val="center"/>
                </w:tcPr>
                <w:p>
                  <w:pPr>
                    <w:pStyle w:val="Compact"/>
                    <w:spacing w:before="36" w:after="36"/>
                    <w:jc w:val="center"/>
                    <w:rPr/>
                  </w:pPr>
                  <w:r>
                    <w:rPr/>
                    <w:t>GPT-5.6 Sol</w:t>
                  </w:r>
                </w:p>
              </w:tc>
              <w:tc>
                <w:tcPr>
                  <w:tcW w:w="1904" w:type="dxa"/>
                  <w:tcBorders>
                    <w:top w:val="nil"/>
                    <w:bottom w:val="nil"/>
                  </w:tcBorders>
                  <w:vAlign w:val="center"/>
                </w:tcPr>
                <w:p>
                  <w:pPr>
                    <w:pStyle w:val="Compact"/>
                    <w:spacing w:before="36" w:after="36"/>
                    <w:jc w:val="center"/>
                    <w:rPr/>
                  </w:pPr>
                  <w:r>
                    <w:rPr/>
                    <w:t>-0.003 [-0.041, 0.035]</w:t>
                  </w:r>
                </w:p>
              </w:tc>
              <w:tc>
                <w:tcPr>
                  <w:tcW w:w="1902" w:type="dxa"/>
                  <w:tcBorders>
                    <w:top w:val="nil"/>
                    <w:bottom w:val="nil"/>
                  </w:tcBorders>
                  <w:vAlign w:val="center"/>
                </w:tcPr>
                <w:p>
                  <w:pPr>
                    <w:pStyle w:val="Compact"/>
                    <w:spacing w:before="36" w:after="36"/>
                    <w:jc w:val="center"/>
                    <w:rPr/>
                  </w:pPr>
                  <w:r>
                    <w:rPr/>
                    <w:t>-0.671 [-0.743, -0.601]*</w:t>
                  </w:r>
                </w:p>
              </w:tc>
              <w:tc>
                <w:tcPr>
                  <w:tcW w:w="1909" w:type="dxa"/>
                  <w:tcBorders>
                    <w:top w:val="nil"/>
                    <w:bottom w:val="nil"/>
                  </w:tcBorders>
                  <w:vAlign w:val="center"/>
                </w:tcPr>
                <w:p>
                  <w:pPr>
                    <w:pStyle w:val="Compact"/>
                    <w:spacing w:before="36" w:after="36"/>
                    <w:jc w:val="center"/>
                    <w:rPr/>
                  </w:pPr>
                  <w:r>
                    <w:rPr/>
                    <w:t>-0.668 [-0.750, -0.590]*</w:t>
                  </w:r>
                </w:p>
              </w:tc>
              <w:tc>
                <w:tcPr>
                  <w:tcW w:w="1905" w:type="dxa"/>
                  <w:tcBorders>
                    <w:top w:val="nil"/>
                    <w:bottom w:val="nil"/>
                  </w:tcBorders>
                  <w:vAlign w:val="center"/>
                </w:tcPr>
                <w:p>
                  <w:pPr>
                    <w:pStyle w:val="Compact"/>
                    <w:spacing w:before="36" w:after="36"/>
                    <w:jc w:val="center"/>
                    <w:rPr/>
                  </w:pPr>
                  <w:r>
                    <w:rPr/>
                    <w:t>-0.742 [-0.813, -0.674]*</w:t>
                  </w:r>
                </w:p>
              </w:tc>
            </w:tr>
            <w:tr>
              <w:trPr/>
              <w:tc>
                <w:tcPr>
                  <w:tcW w:w="1524" w:type="dxa"/>
                  <w:tcBorders>
                    <w:top w:val="nil"/>
                    <w:bottom w:val="nil"/>
                  </w:tcBorders>
                  <w:vAlign w:val="center"/>
                </w:tcPr>
                <w:p>
                  <w:pPr>
                    <w:pStyle w:val="Compact"/>
                    <w:spacing w:before="36" w:after="36"/>
                    <w:jc w:val="center"/>
                    <w:rPr/>
                  </w:pPr>
                  <w:r>
                    <w:rPr/>
                    <w:t>Claude Sonnet 5</w:t>
                  </w:r>
                </w:p>
              </w:tc>
              <w:tc>
                <w:tcPr>
                  <w:tcW w:w="1904" w:type="dxa"/>
                  <w:tcBorders>
                    <w:top w:val="nil"/>
                    <w:bottom w:val="nil"/>
                  </w:tcBorders>
                  <w:vAlign w:val="center"/>
                </w:tcPr>
                <w:p>
                  <w:pPr>
                    <w:pStyle w:val="Compact"/>
                    <w:spacing w:before="36" w:after="36"/>
                    <w:jc w:val="center"/>
                    <w:rPr/>
                  </w:pPr>
                  <w:r>
                    <w:rPr/>
                    <w:t>-0.002 [-0.060, 0.057]</w:t>
                  </w:r>
                </w:p>
              </w:tc>
              <w:tc>
                <w:tcPr>
                  <w:tcW w:w="1902" w:type="dxa"/>
                  <w:tcBorders>
                    <w:top w:val="nil"/>
                    <w:bottom w:val="nil"/>
                  </w:tcBorders>
                  <w:vAlign w:val="center"/>
                </w:tcPr>
                <w:p>
                  <w:pPr>
                    <w:pStyle w:val="Compact"/>
                    <w:spacing w:before="36" w:after="36"/>
                    <w:jc w:val="center"/>
                    <w:rPr/>
                  </w:pPr>
                  <w:r>
                    <w:rPr/>
                    <w:t>-0.397 [-0.481, -0.320]*</w:t>
                  </w:r>
                </w:p>
              </w:tc>
              <w:tc>
                <w:tcPr>
                  <w:tcW w:w="1909" w:type="dxa"/>
                  <w:tcBorders>
                    <w:top w:val="nil"/>
                    <w:bottom w:val="nil"/>
                  </w:tcBorders>
                  <w:vAlign w:val="center"/>
                </w:tcPr>
                <w:p>
                  <w:pPr>
                    <w:pStyle w:val="Compact"/>
                    <w:spacing w:before="36" w:after="36"/>
                    <w:jc w:val="center"/>
                    <w:rPr/>
                  </w:pPr>
                  <w:r>
                    <w:rPr/>
                    <w:t>-0.395 [-0.496, -0.300]*</w:t>
                  </w:r>
                </w:p>
              </w:tc>
              <w:tc>
                <w:tcPr>
                  <w:tcW w:w="1905" w:type="dxa"/>
                  <w:tcBorders>
                    <w:top w:val="nil"/>
                    <w:bottom w:val="nil"/>
                  </w:tcBorders>
                  <w:vAlign w:val="center"/>
                </w:tcPr>
                <w:p>
                  <w:pPr>
                    <w:pStyle w:val="Compact"/>
                    <w:spacing w:before="36" w:after="36"/>
                    <w:jc w:val="center"/>
                    <w:rPr/>
                  </w:pPr>
                  <w:r>
                    <w:rPr/>
                    <w:t>-0.432 [-0.520, -0.348]*</w:t>
                  </w:r>
                </w:p>
              </w:tc>
            </w:tr>
            <w:tr>
              <w:trPr/>
              <w:tc>
                <w:tcPr>
                  <w:tcW w:w="1524" w:type="dxa"/>
                  <w:tcBorders>
                    <w:top w:val="nil"/>
                  </w:tcBorders>
                  <w:vAlign w:val="center"/>
                </w:tcPr>
                <w:p>
                  <w:pPr>
                    <w:pStyle w:val="Compact"/>
                    <w:spacing w:before="36" w:after="36"/>
                    <w:jc w:val="center"/>
                    <w:rPr/>
                  </w:pPr>
                  <w:r>
                    <w:rPr/>
                    <w:t>Claude Opus 5</w:t>
                  </w:r>
                </w:p>
              </w:tc>
              <w:tc>
                <w:tcPr>
                  <w:tcW w:w="1904" w:type="dxa"/>
                  <w:tcBorders>
                    <w:top w:val="nil"/>
                  </w:tcBorders>
                  <w:vAlign w:val="center"/>
                </w:tcPr>
                <w:p>
                  <w:pPr>
                    <w:pStyle w:val="Compact"/>
                    <w:spacing w:before="36" w:after="36"/>
                    <w:jc w:val="center"/>
                    <w:rPr/>
                  </w:pPr>
                  <w:r>
                    <w:rPr/>
                    <w:t>-0.298 [-0.363, -0.236]*</w:t>
                  </w:r>
                </w:p>
              </w:tc>
              <w:tc>
                <w:tcPr>
                  <w:tcW w:w="1902" w:type="dxa"/>
                  <w:tcBorders>
                    <w:top w:val="nil"/>
                  </w:tcBorders>
                  <w:vAlign w:val="center"/>
                </w:tcPr>
                <w:p>
                  <w:pPr>
                    <w:pStyle w:val="Compact"/>
                    <w:spacing w:before="36" w:after="36"/>
                    <w:jc w:val="center"/>
                    <w:rPr/>
                  </w:pPr>
                  <w:r>
                    <w:rPr/>
                    <w:t>-0.470 [-0.568, -0.374]*</w:t>
                  </w:r>
                </w:p>
              </w:tc>
              <w:tc>
                <w:tcPr>
                  <w:tcW w:w="1909" w:type="dxa"/>
                  <w:tcBorders>
                    <w:top w:val="nil"/>
                  </w:tcBorders>
                  <w:vAlign w:val="center"/>
                </w:tcPr>
                <w:p>
                  <w:pPr>
                    <w:pStyle w:val="Compact"/>
                    <w:spacing w:before="36" w:after="36"/>
                    <w:jc w:val="center"/>
                    <w:rPr/>
                  </w:pPr>
                  <w:r>
                    <w:rPr/>
                    <w:t>-0.172 [-0.230, -0.119]*</w:t>
                  </w:r>
                </w:p>
              </w:tc>
              <w:tc>
                <w:tcPr>
                  <w:tcW w:w="1905" w:type="dxa"/>
                  <w:tcBorders>
                    <w:top w:val="nil"/>
                  </w:tcBorders>
                  <w:vAlign w:val="center"/>
                </w:tcPr>
                <w:p>
                  <w:pPr>
                    <w:pStyle w:val="Compact"/>
                    <w:spacing w:before="36" w:after="36"/>
                    <w:jc w:val="center"/>
                    <w:rPr/>
                  </w:pPr>
                  <w:r>
                    <w:rPr/>
                    <w:t>-1.008 [-1.067, -0.952]*</w:t>
                  </w:r>
                  <w:bookmarkStart w:id="146" w:name="apptbl-s1b-permodel-indirect"/>
                  <w:bookmarkEnd w:id="146"/>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200</m:t>
        </m:r>
      </m:oMath>
      <w:r>
        <w:rPr/>
        <w:t xml:space="preserve"> sessions across eight LLMs (400 sessions per LLM). Entries are posterior means with 95% equal-tailed credible intervals in brackets. All values are expressed in probability units. Indirect (Unit Price) is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 xml:space="preserve">. Indirect (Deal Prompt) is </w:t>
      </w:r>
      <w:r>
        <w:rPr/>
      </w:r>
      <m:oMath xmlns:m="http://schemas.openxmlformats.org/officeDocument/2006/math">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 The Index of Moderated Mediation (IMM) is the difference in indirect effects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 xml:space="preserve">), quantifying the amplification of the search-mediated penalty under ambiguous framing. Total Effect (Deal) is </w:t>
      </w:r>
      <w:r>
        <w:rPr/>
      </w:r>
      <m:oMath xmlns:m="http://schemas.openxmlformats.org/officeDocument/2006/math">
        <m:sSup>
          <m:e>
            <m:r>
              <w:rPr>
                <w:rFonts w:ascii="Cambria Math" w:hAnsi="Cambria Math"/>
              </w:rPr>
              <m:t xml:space="preserve">c</m:t>
            </m:r>
          </m:e>
          <m:sup>
            <m:r>
              <w:rPr>
                <w:rFonts w:ascii="Cambria Math" w:hAnsi="Cambria Math"/>
              </w:rPr>
              <m:t xml:space="preserve">′</m:t>
            </m:r>
          </m:sup>
        </m:sSup>
        <m: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w:t>
        <w:br/>
        <w:t>* indicates that the 95% credible interval excludes zero.</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W13: Prompts used in the prompt variation study (Study 1 Tool-Lab)</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4571"/>
              <w:gridCol w:w="4573"/>
            </w:tblGrid>
            <w:tr>
              <w:trPr>
                <w:tblHeader w:val="true"/>
              </w:trPr>
              <w:tc>
                <w:tcPr>
                  <w:tcW w:w="4571" w:type="dxa"/>
                  <w:tcBorders/>
                  <w:vAlign w:val="center"/>
                </w:tcPr>
                <w:p>
                  <w:pPr>
                    <w:pStyle w:val="Compact"/>
                    <w:spacing w:before="36" w:after="36"/>
                    <w:jc w:val="center"/>
                    <w:rPr>
                      <w:b w:val="false"/>
                    </w:rPr>
                  </w:pPr>
                  <w:r>
                    <w:rPr>
                      <w:b w:val="false"/>
                    </w:rPr>
                    <w:t>Variant</w:t>
                  </w:r>
                </w:p>
              </w:tc>
              <w:tc>
                <w:tcPr>
                  <w:tcW w:w="4573" w:type="dxa"/>
                  <w:tcBorders/>
                  <w:vAlign w:val="center"/>
                </w:tcPr>
                <w:p>
                  <w:pPr>
                    <w:pStyle w:val="Compact"/>
                    <w:spacing w:before="36" w:after="36"/>
                    <w:jc w:val="center"/>
                    <w:rPr>
                      <w:b w:val="false"/>
                    </w:rPr>
                  </w:pPr>
                  <w:r>
                    <w:rPr>
                      <w:b w:val="false"/>
                    </w:rPr>
                    <w:t>Prompt text</w:t>
                  </w:r>
                </w:p>
              </w:tc>
            </w:tr>
            <w:tr>
              <w:trPr/>
              <w:tc>
                <w:tcPr>
                  <w:tcW w:w="4571" w:type="dxa"/>
                  <w:tcBorders>
                    <w:top w:val="nil"/>
                    <w:bottom w:val="nil"/>
                  </w:tcBorders>
                  <w:vAlign w:val="center"/>
                </w:tcPr>
                <w:p>
                  <w:pPr>
                    <w:pStyle w:val="Compact"/>
                    <w:spacing w:before="36" w:after="36"/>
                    <w:jc w:val="center"/>
                    <w:rPr/>
                  </w:pPr>
                  <w:r>
                    <w:rPr/>
                    <w:t>Original</w:t>
                  </w:r>
                </w:p>
              </w:tc>
              <w:tc>
                <w:tcPr>
                  <w:tcW w:w="4573" w:type="dxa"/>
                  <w:tcBorders>
                    <w:top w:val="nil"/>
                    <w:bottom w:val="nil"/>
                  </w:tcBorders>
                  <w:vAlign w:val="center"/>
                </w:tcPr>
                <w:p>
                  <w:pPr>
                    <w:pStyle w:val="Compact"/>
                    <w:spacing w:before="36" w:after="36"/>
                    <w:jc w:val="center"/>
                    <w:rPr/>
                  </w:pPr>
                  <w:r>
                    <w:rPr/>
                    <w:t xml:space="preserve">You have been delegated by a consumer to make purchase decision. Your goal is to choose an instant coffee for the user.  After you choose a coffee, the user would purchase 5 bags of your chosen coffee.  You can open the cells to get information about the product using the </w:t>
                  </w:r>
                  <w:r>
                    <w:rPr>
                      <w:i/>
                      <w:iCs/>
                    </w:rPr>
                    <w:t>inspect_cell</w:t>
                  </w:r>
                  <w:r>
                    <w:rPr/>
                    <w:t xml:space="preserve"> tool, or you can stop searching and submit your choice with the </w:t>
                  </w:r>
                  <w:r>
                    <w:rPr>
                      <w:i/>
                      <w:iCs/>
                    </w:rPr>
                    <w:t>submit_choice</w:t>
                  </w:r>
                  <w:r>
                    <w:rPr/>
                    <w:t xml:space="preserve"> tool.  Every time you use the </w:t>
                  </w:r>
                  <w:r>
                    <w:rPr>
                      <w:i/>
                      <w:iCs/>
                    </w:rPr>
                    <w:t>inspect_cell</w:t>
                  </w:r>
                  <w:r>
                    <w:rPr/>
                    <w:t xml:space="preserve"> tool, the user loses {inspect_tool_cost}. </w:t>
                  </w:r>
                  <w:r>
                    <w:rPr>
                      <w:i/>
                      <w:iCs/>
                    </w:rPr>
                    <w:t>submit_choice</w:t>
                  </w:r>
                  <w:r>
                    <w:rPr/>
                    <w:t xml:space="preserve"> has no cost.  </w:t>
                  </w:r>
                  <w:r>
                    <w:rPr>
                      <w:b/>
                      <w:bCs/>
                    </w:rPr>
                    <w:t>{goal_prompt}</w:t>
                  </w:r>
                  <w:r>
                    <w:rPr/>
                    <w:t xml:space="preserve">  Which coffee would you choose for the user?</w:t>
                  </w:r>
                </w:p>
              </w:tc>
            </w:tr>
            <w:tr>
              <w:trPr/>
              <w:tc>
                <w:tcPr>
                  <w:tcW w:w="4571" w:type="dxa"/>
                  <w:tcBorders>
                    <w:top w:val="nil"/>
                    <w:bottom w:val="nil"/>
                  </w:tcBorders>
                  <w:vAlign w:val="center"/>
                </w:tcPr>
                <w:p>
                  <w:pPr>
                    <w:pStyle w:val="Compact"/>
                    <w:spacing w:before="36" w:after="36"/>
                    <w:jc w:val="center"/>
                    <w:rPr/>
                  </w:pPr>
                  <w:r>
                    <w:rPr/>
                    <w:t>Sentence reorder</w:t>
                  </w:r>
                </w:p>
              </w:tc>
              <w:tc>
                <w:tcPr>
                  <w:tcW w:w="4573" w:type="dxa"/>
                  <w:tcBorders>
                    <w:top w:val="nil"/>
                    <w:bottom w:val="nil"/>
                  </w:tcBorders>
                  <w:vAlign w:val="center"/>
                </w:tcPr>
                <w:p>
                  <w:pPr>
                    <w:pStyle w:val="Compact"/>
                    <w:spacing w:before="36" w:after="36"/>
                    <w:jc w:val="center"/>
                    <w:rPr/>
                  </w:pPr>
                  <w:r>
                    <w:rPr/>
                    <w:t xml:space="preserve">You have been delegated by a consumer to make purchase decision. Your goal is to choose an instant coffee for the user.  </w:t>
                  </w:r>
                  <w:r>
                    <w:rPr>
                      <w:b/>
                      <w:bCs/>
                    </w:rPr>
                    <w:t>{goal_prompt}</w:t>
                  </w:r>
                  <w:r>
                    <w:rPr/>
                    <w:t xml:space="preserve">  After you choose a coffee, the user would purchase 5 bags of your chosen coffee.  You can open the cells to get information about the product using the </w:t>
                  </w:r>
                  <w:r>
                    <w:rPr>
                      <w:i/>
                      <w:iCs/>
                    </w:rPr>
                    <w:t>inspect_cell</w:t>
                  </w:r>
                  <w:r>
                    <w:rPr/>
                    <w:t xml:space="preserve"> tool, or you can stop searching and submit your choice with the </w:t>
                  </w:r>
                  <w:r>
                    <w:rPr>
                      <w:i/>
                      <w:iCs/>
                    </w:rPr>
                    <w:t>submit_choice</w:t>
                  </w:r>
                  <w:r>
                    <w:rPr/>
                    <w:t xml:space="preserve"> tool.  Every time you use the </w:t>
                  </w:r>
                  <w:r>
                    <w:rPr>
                      <w:i/>
                      <w:iCs/>
                    </w:rPr>
                    <w:t>inspect_cell</w:t>
                  </w:r>
                  <w:r>
                    <w:rPr/>
                    <w:t xml:space="preserve"> tool, the user loses {inspect_tool_cost}. </w:t>
                  </w:r>
                  <w:r>
                    <w:rPr>
                      <w:i/>
                      <w:iCs/>
                    </w:rPr>
                    <w:t>submit_choice</w:t>
                  </w:r>
                  <w:r>
                    <w:rPr/>
                    <w:t xml:space="preserve"> has no cost.  Which coffee would you choose for the user?</w:t>
                  </w:r>
                </w:p>
              </w:tc>
            </w:tr>
            <w:tr>
              <w:trPr/>
              <w:tc>
                <w:tcPr>
                  <w:tcW w:w="4571" w:type="dxa"/>
                  <w:tcBorders>
                    <w:top w:val="nil"/>
                  </w:tcBorders>
                  <w:vAlign w:val="center"/>
                </w:tcPr>
                <w:p>
                  <w:pPr>
                    <w:pStyle w:val="Compact"/>
                    <w:spacing w:before="36" w:after="36"/>
                    <w:jc w:val="center"/>
                    <w:rPr/>
                  </w:pPr>
                  <w:r>
                    <w:rPr/>
                    <w:t>Cost paraphrase</w:t>
                  </w:r>
                </w:p>
              </w:tc>
              <w:tc>
                <w:tcPr>
                  <w:tcW w:w="4573" w:type="dxa"/>
                  <w:tcBorders>
                    <w:top w:val="nil"/>
                  </w:tcBorders>
                  <w:vAlign w:val="center"/>
                </w:tcPr>
                <w:p>
                  <w:pPr>
                    <w:pStyle w:val="Compact"/>
                    <w:spacing w:before="36" w:after="36"/>
                    <w:jc w:val="center"/>
                    <w:rPr/>
                  </w:pPr>
                  <w:r>
                    <w:rPr/>
                    <w:t xml:space="preserve">You have been delegated by a consumer to make purchase decision. Your goal is to choose an instant coffee for the user.  After you choose a coffee, the user would purchase 5 bags of your chosen coffee.  You can open the cells to get information about the product using the </w:t>
                  </w:r>
                  <w:r>
                    <w:rPr>
                      <w:i/>
                      <w:iCs/>
                    </w:rPr>
                    <w:t>inspect_cell</w:t>
                  </w:r>
                  <w:r>
                    <w:rPr/>
                    <w:t xml:space="preserve"> tool, or you can stop searching and submit your choice with the </w:t>
                  </w:r>
                  <w:r>
                    <w:rPr>
                      <w:i/>
                      <w:iCs/>
                    </w:rPr>
                    <w:t>submit_choice</w:t>
                  </w:r>
                  <w:r>
                    <w:rPr/>
                    <w:t xml:space="preserve"> tool.  </w:t>
                  </w:r>
                  <w:r>
                    <w:rPr>
                      <w:b/>
                      <w:bCs/>
                    </w:rPr>
                    <w:t xml:space="preserve">Each </w:t>
                  </w:r>
                  <w:r>
                    <w:rPr>
                      <w:b/>
                      <w:bCs/>
                      <w:i/>
                      <w:iCs/>
                    </w:rPr>
                    <w:t>inspect_cell</w:t>
                  </w:r>
                  <w:r>
                    <w:rPr>
                      <w:b/>
                      <w:bCs/>
                    </w:rPr>
                    <w:t xml:space="preserve"> costs the user {inspect_tool_cost}.</w:t>
                  </w:r>
                  <w:r>
                    <w:rPr/>
                    <w:t xml:space="preserve"> </w:t>
                  </w:r>
                  <w:r>
                    <w:rPr>
                      <w:i/>
                      <w:iCs/>
                    </w:rPr>
                    <w:t>submit_choice</w:t>
                  </w:r>
                  <w:r>
                    <w:rPr/>
                    <w:t xml:space="preserve"> has no cost.  {goal_prompt}  Which coffee would you choose for the user?</w:t>
                  </w:r>
                  <w:bookmarkStart w:id="147" w:name="apptbl-s1b-prompt-variants"/>
                  <w:bookmarkEnd w:id="147"/>
                </w:p>
              </w:tc>
            </w:tr>
          </w:tbl>
          <w:p>
            <w:pPr>
              <w:pStyle w:val="Normal"/>
              <w:spacing w:before="0" w:after="200"/>
              <w:jc w:val="left"/>
              <w:rPr>
                <w:sz w:val="24"/>
              </w:rPr>
            </w:pPr>
            <w:r>
              <w:rPr>
                <w:sz w:val="24"/>
              </w:rPr>
            </w:r>
          </w:p>
        </w:tc>
      </w:tr>
    </w:tbl>
    <w:p>
      <w:pPr>
        <w:pStyle w:val="BodyText"/>
        <w:rPr/>
      </w:pPr>
      <w:r>
        <w:rPr>
          <w:i/>
          <w:iCs/>
        </w:rPr>
        <w:t>Note.</w:t>
      </w:r>
      <w:r>
        <w:rPr/>
        <w:t xml:space="preserve"> Bold text highlights the manipulated structural components.</w:t>
        <w:br/>
        <w:t>The parameter {goal_prompt} was assigned based on the prompt specificity condition.</w:t>
        <w:br/>
        <w:t>Vague goal prompt: “You need to find the best deal on instant coffee.”</w:t>
        <w:br/>
        <w:t>Specific goal prompt: “You need to find the coffee with the lowest price per ounce.”</w:t>
        <w:br/>
        <w:t>{inspect_tool_cost} is replaced by $0.00 or $10.00 according to condition.</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W14: Disaggregated moderated mediation path estimates across prompt variations (Study 1 Tool-Lab)</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302"/>
              <w:gridCol w:w="1310"/>
              <w:gridCol w:w="1630"/>
              <w:gridCol w:w="1632"/>
              <w:gridCol w:w="1635"/>
              <w:gridCol w:w="1635"/>
            </w:tblGrid>
            <w:tr>
              <w:trPr>
                <w:tblHeader w:val="true"/>
              </w:trPr>
              <w:tc>
                <w:tcPr>
                  <w:tcW w:w="1302" w:type="dxa"/>
                  <w:tcBorders/>
                  <w:vAlign w:val="center"/>
                </w:tcPr>
                <w:p>
                  <w:pPr>
                    <w:pStyle w:val="Compact"/>
                    <w:spacing w:before="36" w:after="36"/>
                    <w:jc w:val="center"/>
                    <w:rPr>
                      <w:b w:val="false"/>
                    </w:rPr>
                  </w:pPr>
                  <w:r>
                    <w:rPr>
                      <w:b w:val="false"/>
                    </w:rPr>
                    <w:t>LLM</w:t>
                  </w:r>
                </w:p>
              </w:tc>
              <w:tc>
                <w:tcPr>
                  <w:tcW w:w="1310" w:type="dxa"/>
                  <w:tcBorders/>
                  <w:vAlign w:val="center"/>
                </w:tcPr>
                <w:p>
                  <w:pPr>
                    <w:pStyle w:val="Compact"/>
                    <w:spacing w:before="36" w:after="36"/>
                    <w:jc w:val="center"/>
                    <w:rPr>
                      <w:b w:val="false"/>
                    </w:rPr>
                  </w:pPr>
                  <w:r>
                    <w:rPr>
                      <w:b w:val="false"/>
                    </w:rPr>
                    <w:t>Prompt variation</w:t>
                  </w:r>
                </w:p>
              </w:tc>
              <w:tc>
                <w:tcPr>
                  <w:tcW w:w="1630"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a</m:t>
                        </m:r>
                      </m:e>
                      <m:sub>
                        <m:r>
                          <w:rPr>
                            <w:rFonts w:ascii="Cambria Math" w:hAnsi="Cambria Math"/>
                          </w:rPr>
                          <m:t xml:space="preserve">3</m:t>
                        </m:r>
                      </m:sub>
                    </m:sSub>
                  </m:oMath>
                  <w:r>
                    <w:rPr>
                      <w:b w:val="false"/>
                    </w:rPr>
                    <w:t xml:space="preserve"> </w:t>
                  </w:r>
                  <w:r>
                    <w:rPr>
                      <w:b w:val="false"/>
                    </w:rPr>
                  </w:r>
                  <m:oMath xmlns:m="http://schemas.openxmlformats.org/officeDocument/2006/math">
                    <m:sSup>
                      <m:e/>
                      <m:sup>
                        <m:r>
                          <w:rPr>
                            <w:rFonts w:ascii="Cambria Math" w:hAnsi="Cambria Math"/>
                          </w:rPr>
                          <m:t xml:space="preserve">a</m:t>
                        </m:r>
                      </m:sup>
                    </m:sSup>
                  </m:oMath>
                </w:p>
              </w:tc>
              <w:tc>
                <w:tcPr>
                  <w:tcW w:w="1632"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a</m:t>
                        </m:r>
                      </m:e>
                      <m:sub>
                        <m:r>
                          <m:rPr>
                            <m:lit/>
                            <m:nor/>
                          </m:rPr>
                          <w:rPr>
                            <w:rFonts w:ascii="Cambria Math" w:hAnsi="Cambria Math"/>
                          </w:rPr>
                          <m:t xml:space="preserve">Vague</m:t>
                        </m:r>
                      </m:sub>
                    </m:sSub>
                  </m:oMath>
                  <w:r>
                    <w:rPr>
                      <w:b w:val="false"/>
                    </w:rPr>
                    <w:t xml:space="preserve"> </w:t>
                  </w:r>
                  <w:r>
                    <w:rPr>
                      <w:b w:val="false"/>
                    </w:rPr>
                  </w:r>
                  <m:oMath xmlns:m="http://schemas.openxmlformats.org/officeDocument/2006/math">
                    <m:sSup>
                      <m:e/>
                      <m:sup>
                        <m:r>
                          <w:rPr>
                            <w:rFonts w:ascii="Cambria Math" w:hAnsi="Cambria Math"/>
                          </w:rPr>
                          <m:t xml:space="preserve">b</m:t>
                        </m:r>
                      </m:sup>
                    </m:sSup>
                  </m:oMath>
                </w:p>
              </w:tc>
              <w:tc>
                <w:tcPr>
                  <w:tcW w:w="1635"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b</m:t>
                        </m:r>
                      </m:e>
                      <m:sub>
                        <m:r>
                          <w:rPr>
                            <w:rFonts w:ascii="Cambria Math" w:hAnsi="Cambria Math"/>
                          </w:rPr>
                          <m:t xml:space="preserve">1</m:t>
                        </m:r>
                      </m:sub>
                    </m:sSub>
                  </m:oMath>
                  <w:r>
                    <w:rPr>
                      <w:b w:val="false"/>
                    </w:rPr>
                    <w:t xml:space="preserve"> </w:t>
                  </w:r>
                  <w:r>
                    <w:rPr>
                      <w:b w:val="false"/>
                    </w:rPr>
                  </w:r>
                  <m:oMath xmlns:m="http://schemas.openxmlformats.org/officeDocument/2006/math">
                    <m:sSup>
                      <m:e/>
                      <m:sup>
                        <m:r>
                          <w:rPr>
                            <w:rFonts w:ascii="Cambria Math" w:hAnsi="Cambria Math"/>
                          </w:rPr>
                          <m:t xml:space="preserve">c</m:t>
                        </m:r>
                      </m:sup>
                    </m:sSup>
                  </m:oMath>
                </w:p>
              </w:tc>
              <w:tc>
                <w:tcPr>
                  <w:tcW w:w="1635" w:type="dxa"/>
                  <w:tcBorders/>
                  <w:vAlign w:val="center"/>
                </w:tcPr>
                <w:p>
                  <w:pPr>
                    <w:pStyle w:val="Compact"/>
                    <w:spacing w:before="36" w:after="36"/>
                    <w:jc w:val="center"/>
                    <w:rPr>
                      <w:b w:val="false"/>
                    </w:rPr>
                  </w:pPr>
                  <w:r>
                    <w:rPr>
                      <w:b w:val="false"/>
                    </w:rPr>
                  </w:r>
                  <m:oMath xmlns:m="http://schemas.openxmlformats.org/officeDocument/2006/math">
                    <m:r>
                      <m:rPr>
                        <m:lit/>
                        <m:nor/>
                      </m:rPr>
                      <w:rPr>
                        <w:rFonts w:ascii="Cambria Math" w:hAnsi="Cambria Math"/>
                      </w:rPr>
                      <m:t xml:space="preserve">IMM</m:t>
                    </m:r>
                  </m:oMath>
                  <w:r>
                    <w:rPr>
                      <w:b w:val="false"/>
                    </w:rPr>
                    <w:t xml:space="preserve"> </w:t>
                  </w:r>
                  <w:r>
                    <w:rPr>
                      <w:b w:val="false"/>
                    </w:rPr>
                  </w:r>
                  <m:oMath xmlns:m="http://schemas.openxmlformats.org/officeDocument/2006/math">
                    <m:sSup>
                      <m:e/>
                      <m:sup>
                        <m:r>
                          <w:rPr>
                            <w:rFonts w:ascii="Cambria Math" w:hAnsi="Cambria Math"/>
                          </w:rPr>
                          <m:t xml:space="preserve">d</m:t>
                        </m:r>
                      </m:sup>
                    </m:sSup>
                  </m:oMath>
                </w:p>
              </w:tc>
            </w:tr>
            <w:tr>
              <w:trPr/>
              <w:tc>
                <w:tcPr>
                  <w:tcW w:w="1302" w:type="dxa"/>
                  <w:tcBorders>
                    <w:top w:val="nil"/>
                    <w:bottom w:val="nil"/>
                  </w:tcBorders>
                  <w:vAlign w:val="center"/>
                </w:tcPr>
                <w:p>
                  <w:pPr>
                    <w:pStyle w:val="Compact"/>
                    <w:spacing w:before="36" w:after="36"/>
                    <w:jc w:val="center"/>
                    <w:rPr/>
                  </w:pPr>
                  <w:r>
                    <w:rPr>
                      <w:b/>
                      <w:bCs/>
                    </w:rPr>
                    <w:t>Gemini 3.5 Flash Lite</w:t>
                  </w:r>
                </w:p>
              </w:tc>
              <w:tc>
                <w:tcPr>
                  <w:tcW w:w="1310" w:type="dxa"/>
                  <w:tcBorders>
                    <w:top w:val="nil"/>
                    <w:bottom w:val="nil"/>
                  </w:tcBorders>
                  <w:vAlign w:val="center"/>
                </w:tcPr>
                <w:p>
                  <w:pPr>
                    <w:pStyle w:val="Compact"/>
                    <w:spacing w:before="36" w:after="36"/>
                    <w:jc w:val="center"/>
                    <w:rPr/>
                  </w:pPr>
                  <w:r>
                    <w:rPr/>
                    <w:t>Original</w:t>
                  </w:r>
                </w:p>
              </w:tc>
              <w:tc>
                <w:tcPr>
                  <w:tcW w:w="1630" w:type="dxa"/>
                  <w:tcBorders>
                    <w:top w:val="nil"/>
                    <w:bottom w:val="nil"/>
                  </w:tcBorders>
                  <w:vAlign w:val="center"/>
                </w:tcPr>
                <w:p>
                  <w:pPr>
                    <w:pStyle w:val="Compact"/>
                    <w:spacing w:before="36" w:after="36"/>
                    <w:jc w:val="center"/>
                    <w:rPr/>
                  </w:pPr>
                  <w:r>
                    <w:rPr/>
                    <w:t>-0.441* [-0.698, -0.186]</w:t>
                  </w:r>
                </w:p>
              </w:tc>
              <w:tc>
                <w:tcPr>
                  <w:tcW w:w="1632" w:type="dxa"/>
                  <w:tcBorders>
                    <w:top w:val="nil"/>
                    <w:bottom w:val="nil"/>
                  </w:tcBorders>
                  <w:vAlign w:val="center"/>
                </w:tcPr>
                <w:p>
                  <w:pPr>
                    <w:pStyle w:val="Compact"/>
                    <w:spacing w:before="36" w:after="36"/>
                    <w:jc w:val="center"/>
                    <w:rPr/>
                  </w:pPr>
                  <w:r>
                    <w:rPr/>
                    <w:t>-0.440* [-0.620, -0.256]</w:t>
                  </w:r>
                </w:p>
              </w:tc>
              <w:tc>
                <w:tcPr>
                  <w:tcW w:w="1635" w:type="dxa"/>
                  <w:tcBorders>
                    <w:top w:val="nil"/>
                    <w:bottom w:val="nil"/>
                  </w:tcBorders>
                  <w:vAlign w:val="center"/>
                </w:tcPr>
                <w:p>
                  <w:pPr>
                    <w:pStyle w:val="Compact"/>
                    <w:spacing w:before="36" w:after="36"/>
                    <w:jc w:val="center"/>
                    <w:rPr/>
                  </w:pPr>
                  <w:r>
                    <w:rPr/>
                    <w:t>0.302* [0.236, 0.367]</w:t>
                  </w:r>
                </w:p>
              </w:tc>
              <w:tc>
                <w:tcPr>
                  <w:tcW w:w="1635" w:type="dxa"/>
                  <w:tcBorders>
                    <w:top w:val="nil"/>
                    <w:bottom w:val="nil"/>
                  </w:tcBorders>
                  <w:vAlign w:val="center"/>
                </w:tcPr>
                <w:p>
                  <w:pPr>
                    <w:pStyle w:val="Compact"/>
                    <w:spacing w:before="36" w:after="36"/>
                    <w:jc w:val="center"/>
                    <w:rPr/>
                  </w:pPr>
                  <w:r>
                    <w:rPr/>
                    <w:t>-0.133* [-0.219, -0.054]</w:t>
                  </w:r>
                </w:p>
              </w:tc>
            </w:tr>
            <w:tr>
              <w:trPr/>
              <w:tc>
                <w:tcPr>
                  <w:tcW w:w="1302" w:type="dxa"/>
                  <w:tcBorders>
                    <w:top w:val="nil"/>
                    <w:bottom w:val="nil"/>
                  </w:tcBorders>
                  <w:vAlign w:val="center"/>
                </w:tcPr>
                <w:p>
                  <w:pPr>
                    <w:pStyle w:val="Compact"/>
                    <w:spacing w:lineRule="auto" w:line="240" w:before="36" w:after="36"/>
                    <w:ind w:hanging="0"/>
                    <w:jc w:val="left"/>
                    <w:rPr/>
                  </w:pPr>
                  <w:r>
                    <w:rPr/>
                  </w:r>
                </w:p>
              </w:tc>
              <w:tc>
                <w:tcPr>
                  <w:tcW w:w="1310" w:type="dxa"/>
                  <w:tcBorders>
                    <w:top w:val="nil"/>
                    <w:bottom w:val="nil"/>
                  </w:tcBorders>
                  <w:vAlign w:val="center"/>
                </w:tcPr>
                <w:p>
                  <w:pPr>
                    <w:pStyle w:val="Compact"/>
                    <w:spacing w:before="36" w:after="36"/>
                    <w:jc w:val="center"/>
                    <w:rPr/>
                  </w:pPr>
                  <w:r>
                    <w:rPr/>
                    <w:t>Sentence reorder</w:t>
                  </w:r>
                </w:p>
              </w:tc>
              <w:tc>
                <w:tcPr>
                  <w:tcW w:w="1630" w:type="dxa"/>
                  <w:tcBorders>
                    <w:top w:val="nil"/>
                    <w:bottom w:val="nil"/>
                  </w:tcBorders>
                  <w:vAlign w:val="center"/>
                </w:tcPr>
                <w:p>
                  <w:pPr>
                    <w:pStyle w:val="Compact"/>
                    <w:spacing w:before="36" w:after="36"/>
                    <w:jc w:val="center"/>
                    <w:rPr/>
                  </w:pPr>
                  <w:r>
                    <w:rPr/>
                    <w:t>-0.120 [-0.375, 0.140]</w:t>
                  </w:r>
                </w:p>
              </w:tc>
              <w:tc>
                <w:tcPr>
                  <w:tcW w:w="1632" w:type="dxa"/>
                  <w:tcBorders>
                    <w:top w:val="nil"/>
                    <w:bottom w:val="nil"/>
                  </w:tcBorders>
                  <w:vAlign w:val="center"/>
                </w:tcPr>
                <w:p>
                  <w:pPr>
                    <w:pStyle w:val="Compact"/>
                    <w:spacing w:before="36" w:after="36"/>
                    <w:jc w:val="center"/>
                    <w:rPr/>
                  </w:pPr>
                  <w:r>
                    <w:rPr/>
                    <w:t>-0.120 [-0.302, 0.066]</w:t>
                  </w:r>
                </w:p>
              </w:tc>
              <w:tc>
                <w:tcPr>
                  <w:tcW w:w="1635" w:type="dxa"/>
                  <w:tcBorders>
                    <w:top w:val="nil"/>
                    <w:bottom w:val="nil"/>
                  </w:tcBorders>
                  <w:vAlign w:val="center"/>
                </w:tcPr>
                <w:p>
                  <w:pPr>
                    <w:pStyle w:val="Compact"/>
                    <w:spacing w:before="36" w:after="36"/>
                    <w:jc w:val="center"/>
                    <w:rPr/>
                  </w:pPr>
                  <w:r>
                    <w:rPr/>
                    <w:t>0.241* [0.181, 0.299]</w:t>
                  </w:r>
                </w:p>
              </w:tc>
              <w:tc>
                <w:tcPr>
                  <w:tcW w:w="1635" w:type="dxa"/>
                  <w:tcBorders>
                    <w:top w:val="nil"/>
                    <w:bottom w:val="nil"/>
                  </w:tcBorders>
                  <w:vAlign w:val="center"/>
                </w:tcPr>
                <w:p>
                  <w:pPr>
                    <w:pStyle w:val="Compact"/>
                    <w:spacing w:before="36" w:after="36"/>
                    <w:jc w:val="center"/>
                    <w:rPr/>
                  </w:pPr>
                  <w:r>
                    <w:rPr/>
                    <w:t>-0.029 [-0.093, 0.034]</w:t>
                  </w:r>
                </w:p>
              </w:tc>
            </w:tr>
            <w:tr>
              <w:trPr/>
              <w:tc>
                <w:tcPr>
                  <w:tcW w:w="1302" w:type="dxa"/>
                  <w:tcBorders>
                    <w:top w:val="nil"/>
                    <w:bottom w:val="nil"/>
                  </w:tcBorders>
                  <w:vAlign w:val="center"/>
                </w:tcPr>
                <w:p>
                  <w:pPr>
                    <w:pStyle w:val="Compact"/>
                    <w:spacing w:lineRule="auto" w:line="240" w:before="36" w:after="36"/>
                    <w:ind w:hanging="0"/>
                    <w:jc w:val="left"/>
                    <w:rPr/>
                  </w:pPr>
                  <w:r>
                    <w:rPr/>
                  </w:r>
                </w:p>
              </w:tc>
              <w:tc>
                <w:tcPr>
                  <w:tcW w:w="1310" w:type="dxa"/>
                  <w:tcBorders>
                    <w:top w:val="nil"/>
                    <w:bottom w:val="nil"/>
                  </w:tcBorders>
                  <w:vAlign w:val="center"/>
                </w:tcPr>
                <w:p>
                  <w:pPr>
                    <w:pStyle w:val="Compact"/>
                    <w:spacing w:before="36" w:after="36"/>
                    <w:jc w:val="center"/>
                    <w:rPr/>
                  </w:pPr>
                  <w:r>
                    <w:rPr/>
                    <w:t>Cost paraphrase</w:t>
                  </w:r>
                </w:p>
              </w:tc>
              <w:tc>
                <w:tcPr>
                  <w:tcW w:w="1630" w:type="dxa"/>
                  <w:tcBorders>
                    <w:top w:val="nil"/>
                    <w:bottom w:val="nil"/>
                  </w:tcBorders>
                  <w:vAlign w:val="center"/>
                </w:tcPr>
                <w:p>
                  <w:pPr>
                    <w:pStyle w:val="Compact"/>
                    <w:spacing w:before="36" w:after="36"/>
                    <w:jc w:val="center"/>
                    <w:rPr/>
                  </w:pPr>
                  <w:r>
                    <w:rPr/>
                    <w:t>-0.519* [-0.750, -0.289]</w:t>
                  </w:r>
                </w:p>
              </w:tc>
              <w:tc>
                <w:tcPr>
                  <w:tcW w:w="1632" w:type="dxa"/>
                  <w:tcBorders>
                    <w:top w:val="nil"/>
                    <w:bottom w:val="nil"/>
                  </w:tcBorders>
                  <w:vAlign w:val="center"/>
                </w:tcPr>
                <w:p>
                  <w:pPr>
                    <w:pStyle w:val="Compact"/>
                    <w:spacing w:before="36" w:after="36"/>
                    <w:jc w:val="center"/>
                    <w:rPr/>
                  </w:pPr>
                  <w:r>
                    <w:rPr/>
                    <w:t>-0.519* [-0.683, -0.359]</w:t>
                  </w:r>
                </w:p>
              </w:tc>
              <w:tc>
                <w:tcPr>
                  <w:tcW w:w="1635" w:type="dxa"/>
                  <w:tcBorders>
                    <w:top w:val="nil"/>
                    <w:bottom w:val="nil"/>
                  </w:tcBorders>
                  <w:vAlign w:val="center"/>
                </w:tcPr>
                <w:p>
                  <w:pPr>
                    <w:pStyle w:val="Compact"/>
                    <w:spacing w:before="36" w:after="36"/>
                    <w:jc w:val="center"/>
                    <w:rPr/>
                  </w:pPr>
                  <w:r>
                    <w:rPr/>
                    <w:t>0.269* [0.197, 0.343]</w:t>
                  </w:r>
                </w:p>
              </w:tc>
              <w:tc>
                <w:tcPr>
                  <w:tcW w:w="1635" w:type="dxa"/>
                  <w:tcBorders>
                    <w:top w:val="nil"/>
                    <w:bottom w:val="nil"/>
                  </w:tcBorders>
                  <w:vAlign w:val="center"/>
                </w:tcPr>
                <w:p>
                  <w:pPr>
                    <w:pStyle w:val="Compact"/>
                    <w:spacing w:before="36" w:after="36"/>
                    <w:jc w:val="center"/>
                    <w:rPr/>
                  </w:pPr>
                  <w:r>
                    <w:rPr/>
                    <w:t>-0.140* [-0.218, -0.072]</w:t>
                  </w:r>
                </w:p>
              </w:tc>
            </w:tr>
            <w:tr>
              <w:trPr/>
              <w:tc>
                <w:tcPr>
                  <w:tcW w:w="1302" w:type="dxa"/>
                  <w:tcBorders>
                    <w:top w:val="nil"/>
                    <w:bottom w:val="nil"/>
                  </w:tcBorders>
                  <w:vAlign w:val="center"/>
                </w:tcPr>
                <w:p>
                  <w:pPr>
                    <w:pStyle w:val="Compact"/>
                    <w:spacing w:before="36" w:after="36"/>
                    <w:jc w:val="center"/>
                    <w:rPr/>
                  </w:pPr>
                  <w:r>
                    <w:rPr>
                      <w:b/>
                      <w:bCs/>
                    </w:rPr>
                    <w:t>Gemini 3.8 Flash</w:t>
                  </w:r>
                </w:p>
              </w:tc>
              <w:tc>
                <w:tcPr>
                  <w:tcW w:w="1310" w:type="dxa"/>
                  <w:tcBorders>
                    <w:top w:val="nil"/>
                    <w:bottom w:val="nil"/>
                  </w:tcBorders>
                  <w:vAlign w:val="center"/>
                </w:tcPr>
                <w:p>
                  <w:pPr>
                    <w:pStyle w:val="Compact"/>
                    <w:spacing w:before="36" w:after="36"/>
                    <w:jc w:val="center"/>
                    <w:rPr/>
                  </w:pPr>
                  <w:r>
                    <w:rPr/>
                    <w:t>Original</w:t>
                  </w:r>
                </w:p>
              </w:tc>
              <w:tc>
                <w:tcPr>
                  <w:tcW w:w="1630" w:type="dxa"/>
                  <w:tcBorders>
                    <w:top w:val="nil"/>
                    <w:bottom w:val="nil"/>
                  </w:tcBorders>
                  <w:vAlign w:val="center"/>
                </w:tcPr>
                <w:p>
                  <w:pPr>
                    <w:pStyle w:val="Compact"/>
                    <w:spacing w:before="36" w:after="36"/>
                    <w:jc w:val="center"/>
                    <w:rPr/>
                  </w:pPr>
                  <w:r>
                    <w:rPr/>
                    <w:t>-2.56* [-2.89, -2.24]</w:t>
                  </w:r>
                </w:p>
              </w:tc>
              <w:tc>
                <w:tcPr>
                  <w:tcW w:w="1632" w:type="dxa"/>
                  <w:tcBorders>
                    <w:top w:val="nil"/>
                    <w:bottom w:val="nil"/>
                  </w:tcBorders>
                  <w:vAlign w:val="center"/>
                </w:tcPr>
                <w:p>
                  <w:pPr>
                    <w:pStyle w:val="Compact"/>
                    <w:spacing w:before="36" w:after="36"/>
                    <w:jc w:val="center"/>
                    <w:rPr/>
                  </w:pPr>
                  <w:r>
                    <w:rPr/>
                    <w:t>-2.99* [-3.22, -2.75]</w:t>
                  </w:r>
                </w:p>
              </w:tc>
              <w:tc>
                <w:tcPr>
                  <w:tcW w:w="1635" w:type="dxa"/>
                  <w:tcBorders>
                    <w:top w:val="nil"/>
                    <w:bottom w:val="nil"/>
                  </w:tcBorders>
                  <w:vAlign w:val="center"/>
                </w:tcPr>
                <w:p>
                  <w:pPr>
                    <w:pStyle w:val="Compact"/>
                    <w:spacing w:before="36" w:after="36"/>
                    <w:jc w:val="center"/>
                    <w:rPr/>
                  </w:pPr>
                  <w:r>
                    <w:rPr/>
                    <w:t>0.210* [0.189, 0.232]</w:t>
                  </w:r>
                </w:p>
              </w:tc>
              <w:tc>
                <w:tcPr>
                  <w:tcW w:w="1635" w:type="dxa"/>
                  <w:tcBorders>
                    <w:top w:val="nil"/>
                    <w:bottom w:val="nil"/>
                  </w:tcBorders>
                  <w:vAlign w:val="center"/>
                </w:tcPr>
                <w:p>
                  <w:pPr>
                    <w:pStyle w:val="Compact"/>
                    <w:spacing w:before="36" w:after="36"/>
                    <w:jc w:val="center"/>
                    <w:rPr/>
                  </w:pPr>
                  <w:r>
                    <w:rPr/>
                    <w:t>-0.538* [-0.630, -0.452]</w:t>
                  </w:r>
                </w:p>
              </w:tc>
            </w:tr>
            <w:tr>
              <w:trPr/>
              <w:tc>
                <w:tcPr>
                  <w:tcW w:w="1302" w:type="dxa"/>
                  <w:tcBorders>
                    <w:top w:val="nil"/>
                    <w:bottom w:val="nil"/>
                  </w:tcBorders>
                  <w:vAlign w:val="center"/>
                </w:tcPr>
                <w:p>
                  <w:pPr>
                    <w:pStyle w:val="Compact"/>
                    <w:spacing w:lineRule="auto" w:line="240" w:before="36" w:after="36"/>
                    <w:ind w:hanging="0"/>
                    <w:jc w:val="left"/>
                    <w:rPr/>
                  </w:pPr>
                  <w:r>
                    <w:rPr/>
                  </w:r>
                </w:p>
              </w:tc>
              <w:tc>
                <w:tcPr>
                  <w:tcW w:w="1310" w:type="dxa"/>
                  <w:tcBorders>
                    <w:top w:val="nil"/>
                    <w:bottom w:val="nil"/>
                  </w:tcBorders>
                  <w:vAlign w:val="center"/>
                </w:tcPr>
                <w:p>
                  <w:pPr>
                    <w:pStyle w:val="Compact"/>
                    <w:spacing w:before="36" w:after="36"/>
                    <w:jc w:val="center"/>
                    <w:rPr/>
                  </w:pPr>
                  <w:r>
                    <w:rPr/>
                    <w:t>Sentence reorder</w:t>
                  </w:r>
                </w:p>
              </w:tc>
              <w:tc>
                <w:tcPr>
                  <w:tcW w:w="1630" w:type="dxa"/>
                  <w:tcBorders>
                    <w:top w:val="nil"/>
                    <w:bottom w:val="nil"/>
                  </w:tcBorders>
                  <w:vAlign w:val="center"/>
                </w:tcPr>
                <w:p>
                  <w:pPr>
                    <w:pStyle w:val="Compact"/>
                    <w:spacing w:before="36" w:after="36"/>
                    <w:jc w:val="center"/>
                    <w:rPr/>
                  </w:pPr>
                  <w:r>
                    <w:rPr/>
                    <w:t>-2.39* [-2.76, -2.00]</w:t>
                  </w:r>
                </w:p>
              </w:tc>
              <w:tc>
                <w:tcPr>
                  <w:tcW w:w="1632" w:type="dxa"/>
                  <w:tcBorders>
                    <w:top w:val="nil"/>
                    <w:bottom w:val="nil"/>
                  </w:tcBorders>
                  <w:vAlign w:val="center"/>
                </w:tcPr>
                <w:p>
                  <w:pPr>
                    <w:pStyle w:val="Compact"/>
                    <w:spacing w:before="36" w:after="36"/>
                    <w:jc w:val="center"/>
                    <w:rPr/>
                  </w:pPr>
                  <w:r>
                    <w:rPr/>
                    <w:t>-2.97* [-3.24, -2.70]</w:t>
                  </w:r>
                </w:p>
              </w:tc>
              <w:tc>
                <w:tcPr>
                  <w:tcW w:w="1635" w:type="dxa"/>
                  <w:tcBorders>
                    <w:top w:val="nil"/>
                    <w:bottom w:val="nil"/>
                  </w:tcBorders>
                  <w:vAlign w:val="center"/>
                </w:tcPr>
                <w:p>
                  <w:pPr>
                    <w:pStyle w:val="Compact"/>
                    <w:spacing w:before="36" w:after="36"/>
                    <w:jc w:val="center"/>
                    <w:rPr/>
                  </w:pPr>
                  <w:r>
                    <w:rPr/>
                    <w:t>0.205* [0.185, 0.224]</w:t>
                  </w:r>
                </w:p>
              </w:tc>
              <w:tc>
                <w:tcPr>
                  <w:tcW w:w="1635" w:type="dxa"/>
                  <w:tcBorders>
                    <w:top w:val="nil"/>
                    <w:bottom w:val="nil"/>
                  </w:tcBorders>
                  <w:vAlign w:val="center"/>
                </w:tcPr>
                <w:p>
                  <w:pPr>
                    <w:pStyle w:val="Compact"/>
                    <w:spacing w:before="36" w:after="36"/>
                    <w:jc w:val="center"/>
                    <w:rPr/>
                  </w:pPr>
                  <w:r>
                    <w:rPr/>
                    <w:t>-0.488* [-0.582, -0.399]</w:t>
                  </w:r>
                </w:p>
              </w:tc>
            </w:tr>
            <w:tr>
              <w:trPr/>
              <w:tc>
                <w:tcPr>
                  <w:tcW w:w="1302" w:type="dxa"/>
                  <w:tcBorders>
                    <w:top w:val="nil"/>
                    <w:bottom w:val="nil"/>
                  </w:tcBorders>
                  <w:vAlign w:val="center"/>
                </w:tcPr>
                <w:p>
                  <w:pPr>
                    <w:pStyle w:val="Compact"/>
                    <w:spacing w:lineRule="auto" w:line="240" w:before="36" w:after="36"/>
                    <w:ind w:hanging="0"/>
                    <w:jc w:val="left"/>
                    <w:rPr/>
                  </w:pPr>
                  <w:r>
                    <w:rPr/>
                  </w:r>
                </w:p>
              </w:tc>
              <w:tc>
                <w:tcPr>
                  <w:tcW w:w="1310" w:type="dxa"/>
                  <w:tcBorders>
                    <w:top w:val="nil"/>
                    <w:bottom w:val="nil"/>
                  </w:tcBorders>
                  <w:vAlign w:val="center"/>
                </w:tcPr>
                <w:p>
                  <w:pPr>
                    <w:pStyle w:val="Compact"/>
                    <w:spacing w:before="36" w:after="36"/>
                    <w:jc w:val="center"/>
                    <w:rPr/>
                  </w:pPr>
                  <w:r>
                    <w:rPr/>
                    <w:t>Cost paraphrase</w:t>
                  </w:r>
                </w:p>
              </w:tc>
              <w:tc>
                <w:tcPr>
                  <w:tcW w:w="1630" w:type="dxa"/>
                  <w:tcBorders>
                    <w:top w:val="nil"/>
                    <w:bottom w:val="nil"/>
                  </w:tcBorders>
                  <w:vAlign w:val="center"/>
                </w:tcPr>
                <w:p>
                  <w:pPr>
                    <w:pStyle w:val="Compact"/>
                    <w:spacing w:before="36" w:after="36"/>
                    <w:jc w:val="center"/>
                    <w:rPr/>
                  </w:pPr>
                  <w:r>
                    <w:rPr/>
                    <w:t>-2.06* [-2.34, -1.78]</w:t>
                  </w:r>
                </w:p>
              </w:tc>
              <w:tc>
                <w:tcPr>
                  <w:tcW w:w="1632" w:type="dxa"/>
                  <w:tcBorders>
                    <w:top w:val="nil"/>
                    <w:bottom w:val="nil"/>
                  </w:tcBorders>
                  <w:vAlign w:val="center"/>
                </w:tcPr>
                <w:p>
                  <w:pPr>
                    <w:pStyle w:val="Compact"/>
                    <w:spacing w:before="36" w:after="36"/>
                    <w:jc w:val="center"/>
                    <w:rPr/>
                  </w:pPr>
                  <w:r>
                    <w:rPr/>
                    <w:t>-2.36* [-2.56, -2.16]</w:t>
                  </w:r>
                </w:p>
              </w:tc>
              <w:tc>
                <w:tcPr>
                  <w:tcW w:w="1635" w:type="dxa"/>
                  <w:tcBorders>
                    <w:top w:val="nil"/>
                    <w:bottom w:val="nil"/>
                  </w:tcBorders>
                  <w:vAlign w:val="center"/>
                </w:tcPr>
                <w:p>
                  <w:pPr>
                    <w:pStyle w:val="Compact"/>
                    <w:spacing w:before="36" w:after="36"/>
                    <w:jc w:val="center"/>
                    <w:rPr/>
                  </w:pPr>
                  <w:r>
                    <w:rPr/>
                    <w:t>0.278* [0.257, 0.298]</w:t>
                  </w:r>
                </w:p>
              </w:tc>
              <w:tc>
                <w:tcPr>
                  <w:tcW w:w="1635" w:type="dxa"/>
                  <w:tcBorders>
                    <w:top w:val="nil"/>
                    <w:bottom w:val="nil"/>
                  </w:tcBorders>
                  <w:vAlign w:val="center"/>
                </w:tcPr>
                <w:p>
                  <w:pPr>
                    <w:pStyle w:val="Compact"/>
                    <w:spacing w:before="36" w:after="36"/>
                    <w:jc w:val="center"/>
                    <w:rPr/>
                  </w:pPr>
                  <w:r>
                    <w:rPr/>
                    <w:t>-0.572* [-0.665, -0.483]</w:t>
                  </w:r>
                </w:p>
              </w:tc>
            </w:tr>
            <w:tr>
              <w:trPr/>
              <w:tc>
                <w:tcPr>
                  <w:tcW w:w="1302" w:type="dxa"/>
                  <w:tcBorders>
                    <w:top w:val="nil"/>
                    <w:bottom w:val="nil"/>
                  </w:tcBorders>
                  <w:vAlign w:val="center"/>
                </w:tcPr>
                <w:p>
                  <w:pPr>
                    <w:pStyle w:val="Compact"/>
                    <w:spacing w:before="36" w:after="36"/>
                    <w:jc w:val="center"/>
                    <w:rPr/>
                  </w:pPr>
                  <w:r>
                    <w:rPr>
                      <w:b/>
                      <w:bCs/>
                    </w:rPr>
                    <w:t>Gemini 3.1 Pro</w:t>
                  </w:r>
                </w:p>
              </w:tc>
              <w:tc>
                <w:tcPr>
                  <w:tcW w:w="1310" w:type="dxa"/>
                  <w:tcBorders>
                    <w:top w:val="nil"/>
                    <w:bottom w:val="nil"/>
                  </w:tcBorders>
                  <w:vAlign w:val="center"/>
                </w:tcPr>
                <w:p>
                  <w:pPr>
                    <w:pStyle w:val="Compact"/>
                    <w:spacing w:before="36" w:after="36"/>
                    <w:jc w:val="center"/>
                    <w:rPr/>
                  </w:pPr>
                  <w:r>
                    <w:rPr/>
                    <w:t>Original</w:t>
                  </w:r>
                </w:p>
              </w:tc>
              <w:tc>
                <w:tcPr>
                  <w:tcW w:w="1630" w:type="dxa"/>
                  <w:tcBorders>
                    <w:top w:val="nil"/>
                    <w:bottom w:val="nil"/>
                  </w:tcBorders>
                  <w:vAlign w:val="center"/>
                </w:tcPr>
                <w:p>
                  <w:pPr>
                    <w:pStyle w:val="Compact"/>
                    <w:spacing w:before="36" w:after="36"/>
                    <w:jc w:val="center"/>
                    <w:rPr/>
                  </w:pPr>
                  <w:r>
                    <w:rPr/>
                    <w:t>-3.20* [-3.53, -2.87]</w:t>
                  </w:r>
                </w:p>
              </w:tc>
              <w:tc>
                <w:tcPr>
                  <w:tcW w:w="1632" w:type="dxa"/>
                  <w:tcBorders>
                    <w:top w:val="nil"/>
                    <w:bottom w:val="nil"/>
                  </w:tcBorders>
                  <w:vAlign w:val="center"/>
                </w:tcPr>
                <w:p>
                  <w:pPr>
                    <w:pStyle w:val="Compact"/>
                    <w:spacing w:before="36" w:after="36"/>
                    <w:jc w:val="center"/>
                    <w:rPr/>
                  </w:pPr>
                  <w:r>
                    <w:rPr/>
                    <w:t>-3.22* [-3.46, -2.99]</w:t>
                  </w:r>
                </w:p>
              </w:tc>
              <w:tc>
                <w:tcPr>
                  <w:tcW w:w="1635" w:type="dxa"/>
                  <w:tcBorders>
                    <w:top w:val="nil"/>
                    <w:bottom w:val="nil"/>
                  </w:tcBorders>
                  <w:vAlign w:val="center"/>
                </w:tcPr>
                <w:p>
                  <w:pPr>
                    <w:pStyle w:val="Compact"/>
                    <w:spacing w:before="36" w:after="36"/>
                    <w:jc w:val="center"/>
                    <w:rPr/>
                  </w:pPr>
                  <w:r>
                    <w:rPr/>
                    <w:t>0.221* [0.206, 0.235]</w:t>
                  </w:r>
                </w:p>
              </w:tc>
              <w:tc>
                <w:tcPr>
                  <w:tcW w:w="1635" w:type="dxa"/>
                  <w:tcBorders>
                    <w:top w:val="nil"/>
                    <w:bottom w:val="nil"/>
                  </w:tcBorders>
                  <w:vAlign w:val="center"/>
                </w:tcPr>
                <w:p>
                  <w:pPr>
                    <w:pStyle w:val="Compact"/>
                    <w:spacing w:before="36" w:after="36"/>
                    <w:jc w:val="center"/>
                    <w:rPr/>
                  </w:pPr>
                  <w:r>
                    <w:rPr/>
                    <w:t>-0.706* [-0.792, -0.621]</w:t>
                  </w:r>
                </w:p>
              </w:tc>
            </w:tr>
            <w:tr>
              <w:trPr/>
              <w:tc>
                <w:tcPr>
                  <w:tcW w:w="1302" w:type="dxa"/>
                  <w:tcBorders>
                    <w:top w:val="nil"/>
                    <w:bottom w:val="nil"/>
                  </w:tcBorders>
                  <w:vAlign w:val="center"/>
                </w:tcPr>
                <w:p>
                  <w:pPr>
                    <w:pStyle w:val="Compact"/>
                    <w:spacing w:lineRule="auto" w:line="240" w:before="36" w:after="36"/>
                    <w:ind w:hanging="0"/>
                    <w:jc w:val="left"/>
                    <w:rPr/>
                  </w:pPr>
                  <w:r>
                    <w:rPr/>
                  </w:r>
                </w:p>
              </w:tc>
              <w:tc>
                <w:tcPr>
                  <w:tcW w:w="1310" w:type="dxa"/>
                  <w:tcBorders>
                    <w:top w:val="nil"/>
                    <w:bottom w:val="nil"/>
                  </w:tcBorders>
                  <w:vAlign w:val="center"/>
                </w:tcPr>
                <w:p>
                  <w:pPr>
                    <w:pStyle w:val="Compact"/>
                    <w:spacing w:before="36" w:after="36"/>
                    <w:jc w:val="center"/>
                    <w:rPr/>
                  </w:pPr>
                  <w:r>
                    <w:rPr/>
                    <w:t>Sentence reorder</w:t>
                  </w:r>
                </w:p>
              </w:tc>
              <w:tc>
                <w:tcPr>
                  <w:tcW w:w="1630" w:type="dxa"/>
                  <w:tcBorders>
                    <w:top w:val="nil"/>
                    <w:bottom w:val="nil"/>
                  </w:tcBorders>
                  <w:vAlign w:val="center"/>
                </w:tcPr>
                <w:p>
                  <w:pPr>
                    <w:pStyle w:val="Compact"/>
                    <w:spacing w:before="36" w:after="36"/>
                    <w:jc w:val="center"/>
                    <w:rPr/>
                  </w:pPr>
                  <w:r>
                    <w:rPr/>
                    <w:t>-2.63* [-2.99, -2.27]</w:t>
                  </w:r>
                </w:p>
              </w:tc>
              <w:tc>
                <w:tcPr>
                  <w:tcW w:w="1632" w:type="dxa"/>
                  <w:tcBorders>
                    <w:top w:val="nil"/>
                    <w:bottom w:val="nil"/>
                  </w:tcBorders>
                  <w:vAlign w:val="center"/>
                </w:tcPr>
                <w:p>
                  <w:pPr>
                    <w:pStyle w:val="Compact"/>
                    <w:spacing w:before="36" w:after="36"/>
                    <w:jc w:val="center"/>
                    <w:rPr/>
                  </w:pPr>
                  <w:r>
                    <w:rPr/>
                    <w:t>-2.85* [-3.10, -2.59]</w:t>
                  </w:r>
                </w:p>
              </w:tc>
              <w:tc>
                <w:tcPr>
                  <w:tcW w:w="1635" w:type="dxa"/>
                  <w:tcBorders>
                    <w:top w:val="nil"/>
                    <w:bottom w:val="nil"/>
                  </w:tcBorders>
                  <w:vAlign w:val="center"/>
                </w:tcPr>
                <w:p>
                  <w:pPr>
                    <w:pStyle w:val="Compact"/>
                    <w:spacing w:before="36" w:after="36"/>
                    <w:jc w:val="center"/>
                    <w:rPr/>
                  </w:pPr>
                  <w:r>
                    <w:rPr/>
                    <w:t>0.180* [0.159, 0.201]</w:t>
                  </w:r>
                </w:p>
              </w:tc>
              <w:tc>
                <w:tcPr>
                  <w:tcW w:w="1635" w:type="dxa"/>
                  <w:tcBorders>
                    <w:top w:val="nil"/>
                    <w:bottom w:val="nil"/>
                  </w:tcBorders>
                  <w:vAlign w:val="center"/>
                </w:tcPr>
                <w:p>
                  <w:pPr>
                    <w:pStyle w:val="Compact"/>
                    <w:spacing w:before="36" w:after="36"/>
                    <w:jc w:val="center"/>
                    <w:rPr/>
                  </w:pPr>
                  <w:r>
                    <w:rPr/>
                    <w:t>-0.474* [-0.561, -0.390]</w:t>
                  </w:r>
                </w:p>
              </w:tc>
            </w:tr>
            <w:tr>
              <w:trPr/>
              <w:tc>
                <w:tcPr>
                  <w:tcW w:w="1302" w:type="dxa"/>
                  <w:tcBorders>
                    <w:top w:val="nil"/>
                  </w:tcBorders>
                  <w:vAlign w:val="center"/>
                </w:tcPr>
                <w:p>
                  <w:pPr>
                    <w:pStyle w:val="Compact"/>
                    <w:spacing w:lineRule="auto" w:line="240" w:before="36" w:after="36"/>
                    <w:ind w:hanging="0"/>
                    <w:jc w:val="left"/>
                    <w:rPr/>
                  </w:pPr>
                  <w:r>
                    <w:rPr/>
                  </w:r>
                </w:p>
              </w:tc>
              <w:tc>
                <w:tcPr>
                  <w:tcW w:w="1310" w:type="dxa"/>
                  <w:tcBorders>
                    <w:top w:val="nil"/>
                  </w:tcBorders>
                  <w:vAlign w:val="center"/>
                </w:tcPr>
                <w:p>
                  <w:pPr>
                    <w:pStyle w:val="Compact"/>
                    <w:spacing w:before="36" w:after="36"/>
                    <w:jc w:val="center"/>
                    <w:rPr/>
                  </w:pPr>
                  <w:r>
                    <w:rPr/>
                    <w:t>Cost paraphrase</w:t>
                  </w:r>
                </w:p>
              </w:tc>
              <w:tc>
                <w:tcPr>
                  <w:tcW w:w="1630" w:type="dxa"/>
                  <w:tcBorders>
                    <w:top w:val="nil"/>
                  </w:tcBorders>
                  <w:vAlign w:val="center"/>
                </w:tcPr>
                <w:p>
                  <w:pPr>
                    <w:pStyle w:val="Compact"/>
                    <w:spacing w:before="36" w:after="36"/>
                    <w:jc w:val="center"/>
                    <w:rPr/>
                  </w:pPr>
                  <w:r>
                    <w:rPr/>
                    <w:t>-2.96* [-3.31, -2.61]</w:t>
                  </w:r>
                </w:p>
              </w:tc>
              <w:tc>
                <w:tcPr>
                  <w:tcW w:w="1632" w:type="dxa"/>
                  <w:tcBorders>
                    <w:top w:val="nil"/>
                  </w:tcBorders>
                  <w:vAlign w:val="center"/>
                </w:tcPr>
                <w:p>
                  <w:pPr>
                    <w:pStyle w:val="Compact"/>
                    <w:spacing w:before="36" w:after="36"/>
                    <w:jc w:val="center"/>
                    <w:rPr/>
                  </w:pPr>
                  <w:r>
                    <w:rPr/>
                    <w:t>-2.96* [-3.22, -2.71]</w:t>
                  </w:r>
                </w:p>
              </w:tc>
              <w:tc>
                <w:tcPr>
                  <w:tcW w:w="1635" w:type="dxa"/>
                  <w:tcBorders>
                    <w:top w:val="nil"/>
                  </w:tcBorders>
                  <w:vAlign w:val="center"/>
                </w:tcPr>
                <w:p>
                  <w:pPr>
                    <w:pStyle w:val="Compact"/>
                    <w:spacing w:before="36" w:after="36"/>
                    <w:jc w:val="center"/>
                    <w:rPr/>
                  </w:pPr>
                  <w:r>
                    <w:rPr/>
                    <w:t>0.208* [0.193, 0.224]</w:t>
                  </w:r>
                </w:p>
              </w:tc>
              <w:tc>
                <w:tcPr>
                  <w:tcW w:w="1635" w:type="dxa"/>
                  <w:tcBorders>
                    <w:top w:val="nil"/>
                  </w:tcBorders>
                  <w:vAlign w:val="center"/>
                </w:tcPr>
                <w:p>
                  <w:pPr>
                    <w:pStyle w:val="Compact"/>
                    <w:spacing w:before="36" w:after="36"/>
                    <w:jc w:val="center"/>
                    <w:rPr/>
                  </w:pPr>
                  <w:r>
                    <w:rPr/>
                    <w:t>-0.616* [-0.704, -0.531]</w:t>
                  </w:r>
                  <w:bookmarkStart w:id="148" w:name="apptbl-s1b-robust-results"/>
                  <w:bookmarkEnd w:id="148"/>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600</m:t>
        </m:r>
      </m:oMath>
      <w:r>
        <w:rPr/>
        <w:t xml:space="preserve"> total sessions across nine independent subsets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400</m:t>
        </m:r>
      </m:oMath>
      <w:r>
        <w:rPr/>
        <w:t xml:space="preserve"> independent Monte Carlo sessions per LLM </w:t>
      </w:r>
      <w:r>
        <w:rPr/>
      </w:r>
      <m:oMath xmlns:m="http://schemas.openxmlformats.org/officeDocument/2006/math">
        <m:r>
          <w:rPr>
            <w:rFonts w:ascii="Cambria Math" w:hAnsi="Cambria Math"/>
          </w:rPr>
          <m:t xml:space="preserve">×</m:t>
        </m:r>
      </m:oMath>
      <w:r>
        <w:rPr/>
        <w:t xml:space="preserve"> prompt variation combination). Entries are posterior means with 95% equal-tailed credible intervals in brackets from Hamiltonian Monte Carlo estimation (12,000 post-warmup draws across four independent chains).</w:t>
        <w:br/>
      </w:r>
      <w:r>
        <w:rPr/>
      </w:r>
      <m:oMath xmlns:m="http://schemas.openxmlformats.org/officeDocument/2006/math">
        <m:sSup>
          <m:e/>
          <m:sup>
            <m:r>
              <w:rPr>
                <w:rFonts w:ascii="Cambria Math" w:hAnsi="Cambria Math"/>
              </w:rPr>
              <m:t xml:space="preserve">a</m:t>
            </m:r>
          </m:sup>
        </m:sSup>
      </m:oMath>
      <w:r>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oMath>
      <w:r>
        <w:rPr/>
        <w:t xml:space="preserve"> is the first-stage interaction parameter testing the moderation of acquisition cost by prompt specificity (in cell counts; H1).</w:t>
        <w:br/>
      </w:r>
      <w:r>
        <w:rPr/>
      </w:r>
      <m:oMath xmlns:m="http://schemas.openxmlformats.org/officeDocument/2006/math">
        <m:sSup>
          <m:e/>
          <m:sup>
            <m:r>
              <w:rPr>
                <w:rFonts w:ascii="Cambria Math" w:hAnsi="Cambria Math"/>
              </w:rPr>
              <m:t xml:space="preserve">b</m:t>
            </m:r>
          </m:sup>
        </m:sSup>
      </m:oMath>
      <w:r>
        <w:rPr/>
        <w:t xml:space="preserve"> </w:t>
      </w:r>
      <w:r>
        <w:rPr/>
      </w:r>
      <m:oMath xmlns:m="http://schemas.openxmlformats.org/officeDocument/2006/math">
        <m:sSub>
          <m:e>
            <m:r>
              <w:rPr>
                <w:rFonts w:ascii="Cambria Math" w:hAnsi="Cambria Math"/>
              </w:rPr>
              <m:t xml:space="preserve">a</m:t>
            </m:r>
          </m:e>
          <m:sub>
            <m:r>
              <m:rPr>
                <m:lit/>
                <m:nor/>
              </m:rPr>
              <w:rPr>
                <w:rFonts w:ascii="Cambria Math" w:hAnsi="Cambria Math"/>
              </w:rPr>
              <m:t xml:space="preserve">Vague</m:t>
            </m:r>
          </m:sub>
        </m:sSub>
      </m:oMath>
      <w:r>
        <w:rPr/>
        <w:t xml:space="preserve"> is the simple slope of acquisition cost under the vague goal prompt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oMath>
      <w:r>
        <w:rPr/>
        <w:t>; in cell counts).</w:t>
        <w:br/>
      </w:r>
      <w:r>
        <w:rPr/>
      </w:r>
      <m:oMath xmlns:m="http://schemas.openxmlformats.org/officeDocument/2006/math">
        <m:sSup>
          <m:e/>
          <m:sup>
            <m:r>
              <w:rPr>
                <w:rFonts w:ascii="Cambria Math" w:hAnsi="Cambria Math"/>
              </w:rPr>
              <m:t xml:space="preserve">c</m:t>
            </m:r>
          </m:sup>
        </m:sSup>
      </m:oMath>
      <w:r>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oMath>
      <w:r>
        <w:rPr/>
        <w:t xml:space="preserve"> is the marginal effect of diagnostic acquisition on choice optimality (in probability units; H2).</w:t>
        <w:br/>
      </w:r>
      <w:r>
        <w:rPr/>
      </w:r>
      <m:oMath xmlns:m="http://schemas.openxmlformats.org/officeDocument/2006/math">
        <m:sSup>
          <m:e/>
          <m:sup>
            <m:r>
              <w:rPr>
                <w:rFonts w:ascii="Cambria Math" w:hAnsi="Cambria Math"/>
              </w:rPr>
              <m:t xml:space="preserve">d</m:t>
            </m:r>
          </m:sup>
        </m:sSup>
      </m:oMath>
      <w:r>
        <w:rPr/>
        <w:t xml:space="preserve"> </w:t>
      </w:r>
      <w:r>
        <w:rPr/>
      </w:r>
      <m:oMath xmlns:m="http://schemas.openxmlformats.org/officeDocument/2006/math">
        <m:r>
          <m:rPr>
            <m:lit/>
            <m:nor/>
          </m:rPr>
          <w:rPr>
            <w:rFonts w:ascii="Cambria Math" w:hAnsi="Cambria Math"/>
          </w:rPr>
          <m:t xml:space="preserve">IMM</m:t>
        </m:r>
      </m:oMath>
      <w:r>
        <w:rPr/>
        <w:t xml:space="preserve"> is the Index of Moderated Mediation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 in probability units; H3).</w:t>
        <w:br/>
        <w:t>* 95% credible interval strictly excludes zero.</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W15: Difference in metric between $10 and $0 cost (Study 1, Price partitioning)</w:t>
            </w:r>
          </w:p>
          <w:tbl>
            <w:tblPr>
              <w:tblStyle w:val="APATable"/>
              <w:tblW w:w="465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514"/>
              <w:gridCol w:w="932"/>
              <w:gridCol w:w="1046"/>
              <w:gridCol w:w="1517"/>
              <w:gridCol w:w="932"/>
              <w:gridCol w:w="1044"/>
              <w:gridCol w:w="1518"/>
            </w:tblGrid>
            <w:tr>
              <w:trPr>
                <w:tblHeader w:val="true"/>
              </w:trPr>
              <w:tc>
                <w:tcPr>
                  <w:tcW w:w="1514" w:type="dxa"/>
                  <w:tcBorders/>
                  <w:vAlign w:val="center"/>
                </w:tcPr>
                <w:p>
                  <w:pPr>
                    <w:pStyle w:val="Compact"/>
                    <w:spacing w:before="36" w:after="36"/>
                    <w:jc w:val="center"/>
                    <w:rPr>
                      <w:b w:val="false"/>
                    </w:rPr>
                  </w:pPr>
                  <w:r>
                    <w:rPr>
                      <w:b w:val="false"/>
                    </w:rPr>
                    <w:t>LLM</w:t>
                  </w:r>
                </w:p>
              </w:tc>
              <w:tc>
                <w:tcPr>
                  <w:tcW w:w="3495" w:type="dxa"/>
                  <w:gridSpan w:val="3"/>
                  <w:tcBorders/>
                  <w:vAlign w:val="center"/>
                </w:tcPr>
                <w:p>
                  <w:pPr>
                    <w:pStyle w:val="Compact"/>
                    <w:spacing w:before="36" w:after="36"/>
                    <w:jc w:val="center"/>
                    <w:rPr>
                      <w:b w:val="false"/>
                    </w:rPr>
                  </w:pPr>
                  <w:r>
                    <w:rPr>
                      <w:b w:val="false"/>
                    </w:rPr>
                    <w:t>Specific</w:t>
                  </w:r>
                </w:p>
              </w:tc>
              <w:tc>
                <w:tcPr>
                  <w:tcW w:w="3494" w:type="dxa"/>
                  <w:gridSpan w:val="3"/>
                  <w:tcBorders/>
                  <w:vAlign w:val="center"/>
                </w:tcPr>
                <w:p>
                  <w:pPr>
                    <w:pStyle w:val="Compact"/>
                    <w:spacing w:before="36" w:after="36"/>
                    <w:jc w:val="center"/>
                    <w:rPr>
                      <w:b w:val="false"/>
                    </w:rPr>
                  </w:pPr>
                  <w:r>
                    <w:rPr>
                      <w:b w:val="false"/>
                    </w:rPr>
                    <w:t>Vague</w:t>
                  </w:r>
                </w:p>
              </w:tc>
            </w:tr>
            <w:tr>
              <w:trPr>
                <w:tblHeader w:val="true"/>
              </w:trPr>
              <w:tc>
                <w:tcPr>
                  <w:tcW w:w="1514" w:type="dxa"/>
                  <w:tcBorders/>
                  <w:vAlign w:val="center"/>
                </w:tcPr>
                <w:p>
                  <w:pPr>
                    <w:pStyle w:val="Compact"/>
                    <w:spacing w:before="36" w:after="36"/>
                    <w:rPr>
                      <w:b w:val="false"/>
                    </w:rPr>
                  </w:pPr>
                  <w:r>
                    <w:rPr>
                      <w:b w:val="false"/>
                    </w:rPr>
                  </w:r>
                </w:p>
              </w:tc>
              <w:tc>
                <w:tcPr>
                  <w:tcW w:w="932" w:type="dxa"/>
                  <w:tcBorders/>
                  <w:vAlign w:val="center"/>
                </w:tcPr>
                <w:p>
                  <w:pPr>
                    <w:pStyle w:val="Compact"/>
                    <w:spacing w:before="36" w:after="36"/>
                    <w:jc w:val="center"/>
                    <w:rPr>
                      <w:b w:val="false"/>
                    </w:rPr>
                  </w:pPr>
                  <w:r>
                    <w:rPr>
                      <w:b w:val="false"/>
                    </w:rPr>
                    <w:t>Price</w:t>
                  </w:r>
                </w:p>
              </w:tc>
              <w:tc>
                <w:tcPr>
                  <w:tcW w:w="1046" w:type="dxa"/>
                  <w:tcBorders/>
                  <w:vAlign w:val="center"/>
                </w:tcPr>
                <w:p>
                  <w:pPr>
                    <w:pStyle w:val="Compact"/>
                    <w:spacing w:before="36" w:after="36"/>
                    <w:jc w:val="center"/>
                    <w:rPr>
                      <w:b w:val="false"/>
                    </w:rPr>
                  </w:pPr>
                  <w:r>
                    <w:rPr>
                      <w:b w:val="false"/>
                    </w:rPr>
                    <w:t>Weight</w:t>
                  </w:r>
                </w:p>
              </w:tc>
              <w:tc>
                <w:tcPr>
                  <w:tcW w:w="1517" w:type="dxa"/>
                  <w:tcBorders/>
                  <w:vAlign w:val="center"/>
                </w:tcPr>
                <w:p>
                  <w:pPr>
                    <w:pStyle w:val="Compact"/>
                    <w:spacing w:before="36" w:after="36"/>
                    <w:jc w:val="center"/>
                    <w:rPr>
                      <w:b w:val="false"/>
                    </w:rPr>
                  </w:pPr>
                  <w:r>
                    <w:rPr>
                      <w:b w:val="false"/>
                    </w:rPr>
                    <w:t>Optimality</w:t>
                  </w:r>
                </w:p>
              </w:tc>
              <w:tc>
                <w:tcPr>
                  <w:tcW w:w="932" w:type="dxa"/>
                  <w:tcBorders/>
                  <w:vAlign w:val="center"/>
                </w:tcPr>
                <w:p>
                  <w:pPr>
                    <w:pStyle w:val="Compact"/>
                    <w:spacing w:before="36" w:after="36"/>
                    <w:jc w:val="center"/>
                    <w:rPr>
                      <w:b w:val="false"/>
                    </w:rPr>
                  </w:pPr>
                  <w:r>
                    <w:rPr>
                      <w:b w:val="false"/>
                    </w:rPr>
                    <w:t>Price</w:t>
                  </w:r>
                </w:p>
              </w:tc>
              <w:tc>
                <w:tcPr>
                  <w:tcW w:w="1044" w:type="dxa"/>
                  <w:tcBorders/>
                  <w:vAlign w:val="center"/>
                </w:tcPr>
                <w:p>
                  <w:pPr>
                    <w:pStyle w:val="Compact"/>
                    <w:spacing w:before="36" w:after="36"/>
                    <w:jc w:val="center"/>
                    <w:rPr>
                      <w:b w:val="false"/>
                    </w:rPr>
                  </w:pPr>
                  <w:r>
                    <w:rPr>
                      <w:b w:val="false"/>
                    </w:rPr>
                    <w:t>Weight</w:t>
                  </w:r>
                </w:p>
              </w:tc>
              <w:tc>
                <w:tcPr>
                  <w:tcW w:w="1518" w:type="dxa"/>
                  <w:tcBorders/>
                  <w:vAlign w:val="center"/>
                </w:tcPr>
                <w:p>
                  <w:pPr>
                    <w:pStyle w:val="Compact"/>
                    <w:spacing w:before="36" w:after="36"/>
                    <w:jc w:val="center"/>
                    <w:rPr>
                      <w:b w:val="false"/>
                    </w:rPr>
                  </w:pPr>
                  <w:r>
                    <w:rPr>
                      <w:b w:val="false"/>
                    </w:rPr>
                    <w:t>Optimality</w:t>
                  </w:r>
                </w:p>
              </w:tc>
            </w:tr>
            <w:tr>
              <w:trPr/>
              <w:tc>
                <w:tcPr>
                  <w:tcW w:w="1514" w:type="dxa"/>
                  <w:tcBorders>
                    <w:top w:val="nil"/>
                    <w:bottom w:val="nil"/>
                  </w:tcBorders>
                  <w:vAlign w:val="center"/>
                </w:tcPr>
                <w:p>
                  <w:pPr>
                    <w:pStyle w:val="Compact"/>
                    <w:spacing w:before="36" w:after="36"/>
                    <w:jc w:val="center"/>
                    <w:rPr/>
                  </w:pPr>
                  <w:r>
                    <w:rPr/>
                    <w:t>Flash Lite</w:t>
                  </w:r>
                </w:p>
              </w:tc>
              <w:tc>
                <w:tcPr>
                  <w:tcW w:w="932" w:type="dxa"/>
                  <w:tcBorders>
                    <w:top w:val="nil"/>
                    <w:bottom w:val="nil"/>
                  </w:tcBorders>
                  <w:vAlign w:val="center"/>
                </w:tcPr>
                <w:p>
                  <w:pPr>
                    <w:pStyle w:val="Compact"/>
                    <w:spacing w:before="36" w:after="36"/>
                    <w:jc w:val="center"/>
                    <w:rPr/>
                  </w:pPr>
                  <w:r>
                    <w:rPr/>
                    <w:t>0.00</w:t>
                  </w:r>
                </w:p>
              </w:tc>
              <w:tc>
                <w:tcPr>
                  <w:tcW w:w="1046" w:type="dxa"/>
                  <w:tcBorders>
                    <w:top w:val="nil"/>
                    <w:bottom w:val="nil"/>
                  </w:tcBorders>
                  <w:vAlign w:val="center"/>
                </w:tcPr>
                <w:p>
                  <w:pPr>
                    <w:pStyle w:val="Compact"/>
                    <w:spacing w:before="36" w:after="36"/>
                    <w:jc w:val="center"/>
                    <w:rPr/>
                  </w:pPr>
                  <w:r>
                    <w:rPr/>
                    <w:t>0.00</w:t>
                  </w:r>
                </w:p>
              </w:tc>
              <w:tc>
                <w:tcPr>
                  <w:tcW w:w="1517" w:type="dxa"/>
                  <w:tcBorders>
                    <w:top w:val="nil"/>
                    <w:bottom w:val="nil"/>
                  </w:tcBorders>
                  <w:vAlign w:val="center"/>
                </w:tcPr>
                <w:p>
                  <w:pPr>
                    <w:pStyle w:val="Compact"/>
                    <w:spacing w:before="36" w:after="36"/>
                    <w:jc w:val="center"/>
                    <w:rPr/>
                  </w:pPr>
                  <w:r>
                    <w:rPr/>
                    <w:t>0.00</w:t>
                  </w:r>
                </w:p>
              </w:tc>
              <w:tc>
                <w:tcPr>
                  <w:tcW w:w="932" w:type="dxa"/>
                  <w:tcBorders>
                    <w:top w:val="nil"/>
                    <w:bottom w:val="nil"/>
                  </w:tcBorders>
                  <w:vAlign w:val="center"/>
                </w:tcPr>
                <w:p>
                  <w:pPr>
                    <w:pStyle w:val="Compact"/>
                    <w:spacing w:before="36" w:after="36"/>
                    <w:jc w:val="center"/>
                    <w:rPr/>
                  </w:pPr>
                  <w:r>
                    <w:rPr/>
                    <w:t>0.00</w:t>
                  </w:r>
                </w:p>
              </w:tc>
              <w:tc>
                <w:tcPr>
                  <w:tcW w:w="1044" w:type="dxa"/>
                  <w:tcBorders>
                    <w:top w:val="nil"/>
                    <w:bottom w:val="nil"/>
                  </w:tcBorders>
                  <w:vAlign w:val="center"/>
                </w:tcPr>
                <w:p>
                  <w:pPr>
                    <w:pStyle w:val="Compact"/>
                    <w:spacing w:before="36" w:after="36"/>
                    <w:jc w:val="center"/>
                    <w:rPr/>
                  </w:pPr>
                  <w:r>
                    <w:rPr/>
                    <w:t>-0.72</w:t>
                  </w:r>
                </w:p>
              </w:tc>
              <w:tc>
                <w:tcPr>
                  <w:tcW w:w="1518" w:type="dxa"/>
                  <w:tcBorders>
                    <w:top w:val="nil"/>
                    <w:bottom w:val="nil"/>
                  </w:tcBorders>
                  <w:vAlign w:val="center"/>
                </w:tcPr>
                <w:p>
                  <w:pPr>
                    <w:pStyle w:val="Compact"/>
                    <w:spacing w:before="36" w:after="36"/>
                    <w:jc w:val="center"/>
                    <w:rPr/>
                  </w:pPr>
                  <w:r>
                    <w:rPr/>
                    <w:t>-0.35</w:t>
                  </w:r>
                </w:p>
              </w:tc>
            </w:tr>
            <w:tr>
              <w:trPr/>
              <w:tc>
                <w:tcPr>
                  <w:tcW w:w="1514" w:type="dxa"/>
                  <w:tcBorders>
                    <w:top w:val="nil"/>
                    <w:bottom w:val="nil"/>
                  </w:tcBorders>
                  <w:vAlign w:val="center"/>
                </w:tcPr>
                <w:p>
                  <w:pPr>
                    <w:pStyle w:val="Compact"/>
                    <w:spacing w:before="36" w:after="36"/>
                    <w:jc w:val="center"/>
                    <w:rPr/>
                  </w:pPr>
                  <w:r>
                    <w:rPr/>
                    <w:t>Flash</w:t>
                  </w:r>
                </w:p>
              </w:tc>
              <w:tc>
                <w:tcPr>
                  <w:tcW w:w="932" w:type="dxa"/>
                  <w:tcBorders>
                    <w:top w:val="nil"/>
                    <w:bottom w:val="nil"/>
                  </w:tcBorders>
                  <w:vAlign w:val="center"/>
                </w:tcPr>
                <w:p>
                  <w:pPr>
                    <w:pStyle w:val="Compact"/>
                    <w:spacing w:before="36" w:after="36"/>
                    <w:jc w:val="center"/>
                    <w:rPr/>
                  </w:pPr>
                  <w:r>
                    <w:rPr/>
                    <w:t>0.00</w:t>
                  </w:r>
                </w:p>
              </w:tc>
              <w:tc>
                <w:tcPr>
                  <w:tcW w:w="1046" w:type="dxa"/>
                  <w:tcBorders>
                    <w:top w:val="nil"/>
                    <w:bottom w:val="nil"/>
                  </w:tcBorders>
                  <w:vAlign w:val="center"/>
                </w:tcPr>
                <w:p>
                  <w:pPr>
                    <w:pStyle w:val="Compact"/>
                    <w:spacing w:before="36" w:after="36"/>
                    <w:jc w:val="center"/>
                    <w:rPr/>
                  </w:pPr>
                  <w:r>
                    <w:rPr/>
                    <w:t>0.00</w:t>
                  </w:r>
                </w:p>
              </w:tc>
              <w:tc>
                <w:tcPr>
                  <w:tcW w:w="1517" w:type="dxa"/>
                  <w:tcBorders>
                    <w:top w:val="nil"/>
                    <w:bottom w:val="nil"/>
                  </w:tcBorders>
                  <w:vAlign w:val="center"/>
                </w:tcPr>
                <w:p>
                  <w:pPr>
                    <w:pStyle w:val="Compact"/>
                    <w:spacing w:before="36" w:after="36"/>
                    <w:jc w:val="center"/>
                    <w:rPr/>
                  </w:pPr>
                  <w:r>
                    <w:rPr/>
                    <w:t>0.00</w:t>
                  </w:r>
                </w:p>
              </w:tc>
              <w:tc>
                <w:tcPr>
                  <w:tcW w:w="932" w:type="dxa"/>
                  <w:tcBorders>
                    <w:top w:val="nil"/>
                    <w:bottom w:val="nil"/>
                  </w:tcBorders>
                  <w:vAlign w:val="center"/>
                </w:tcPr>
                <w:p>
                  <w:pPr>
                    <w:pStyle w:val="Compact"/>
                    <w:spacing w:before="36" w:after="36"/>
                    <w:jc w:val="center"/>
                    <w:rPr/>
                  </w:pPr>
                  <w:r>
                    <w:rPr/>
                    <w:t>-0.04</w:t>
                  </w:r>
                </w:p>
              </w:tc>
              <w:tc>
                <w:tcPr>
                  <w:tcW w:w="1044" w:type="dxa"/>
                  <w:tcBorders>
                    <w:top w:val="nil"/>
                    <w:bottom w:val="nil"/>
                  </w:tcBorders>
                  <w:vAlign w:val="center"/>
                </w:tcPr>
                <w:p>
                  <w:pPr>
                    <w:pStyle w:val="Compact"/>
                    <w:spacing w:before="36" w:after="36"/>
                    <w:jc w:val="center"/>
                    <w:rPr/>
                  </w:pPr>
                  <w:r>
                    <w:rPr/>
                    <w:t>-0.29</w:t>
                  </w:r>
                </w:p>
              </w:tc>
              <w:tc>
                <w:tcPr>
                  <w:tcW w:w="1518" w:type="dxa"/>
                  <w:tcBorders>
                    <w:top w:val="nil"/>
                    <w:bottom w:val="nil"/>
                  </w:tcBorders>
                  <w:vAlign w:val="center"/>
                </w:tcPr>
                <w:p>
                  <w:pPr>
                    <w:pStyle w:val="Compact"/>
                    <w:spacing w:before="36" w:after="36"/>
                    <w:jc w:val="center"/>
                    <w:rPr/>
                  </w:pPr>
                  <w:r>
                    <w:rPr/>
                    <w:t>-0.16</w:t>
                  </w:r>
                </w:p>
              </w:tc>
            </w:tr>
            <w:tr>
              <w:trPr/>
              <w:tc>
                <w:tcPr>
                  <w:tcW w:w="1514" w:type="dxa"/>
                  <w:tcBorders>
                    <w:top w:val="nil"/>
                  </w:tcBorders>
                  <w:vAlign w:val="center"/>
                </w:tcPr>
                <w:p>
                  <w:pPr>
                    <w:pStyle w:val="Compact"/>
                    <w:spacing w:before="36" w:after="36"/>
                    <w:jc w:val="center"/>
                    <w:rPr/>
                  </w:pPr>
                  <w:r>
                    <w:rPr/>
                    <w:t>Pro</w:t>
                  </w:r>
                </w:p>
              </w:tc>
              <w:tc>
                <w:tcPr>
                  <w:tcW w:w="932" w:type="dxa"/>
                  <w:tcBorders>
                    <w:top w:val="nil"/>
                  </w:tcBorders>
                  <w:vAlign w:val="center"/>
                </w:tcPr>
                <w:p>
                  <w:pPr>
                    <w:pStyle w:val="Compact"/>
                    <w:spacing w:before="36" w:after="36"/>
                    <w:jc w:val="center"/>
                    <w:rPr/>
                  </w:pPr>
                  <w:r>
                    <w:rPr/>
                    <w:t>0.00</w:t>
                  </w:r>
                </w:p>
              </w:tc>
              <w:tc>
                <w:tcPr>
                  <w:tcW w:w="1046" w:type="dxa"/>
                  <w:tcBorders>
                    <w:top w:val="nil"/>
                  </w:tcBorders>
                  <w:vAlign w:val="center"/>
                </w:tcPr>
                <w:p>
                  <w:pPr>
                    <w:pStyle w:val="Compact"/>
                    <w:spacing w:before="36" w:after="36"/>
                    <w:jc w:val="center"/>
                    <w:rPr/>
                  </w:pPr>
                  <w:r>
                    <w:rPr/>
                    <w:t>0.00</w:t>
                  </w:r>
                </w:p>
              </w:tc>
              <w:tc>
                <w:tcPr>
                  <w:tcW w:w="1517" w:type="dxa"/>
                  <w:tcBorders>
                    <w:top w:val="nil"/>
                  </w:tcBorders>
                  <w:vAlign w:val="center"/>
                </w:tcPr>
                <w:p>
                  <w:pPr>
                    <w:pStyle w:val="Compact"/>
                    <w:spacing w:before="36" w:after="36"/>
                    <w:jc w:val="center"/>
                    <w:rPr/>
                  </w:pPr>
                  <w:r>
                    <w:rPr/>
                    <w:t>0.00</w:t>
                  </w:r>
                </w:p>
              </w:tc>
              <w:tc>
                <w:tcPr>
                  <w:tcW w:w="932" w:type="dxa"/>
                  <w:tcBorders>
                    <w:top w:val="nil"/>
                  </w:tcBorders>
                  <w:vAlign w:val="center"/>
                </w:tcPr>
                <w:p>
                  <w:pPr>
                    <w:pStyle w:val="Compact"/>
                    <w:spacing w:before="36" w:after="36"/>
                    <w:jc w:val="center"/>
                    <w:rPr/>
                  </w:pPr>
                  <w:r>
                    <w:rPr/>
                    <w:t>-0.02</w:t>
                  </w:r>
                </w:p>
              </w:tc>
              <w:tc>
                <w:tcPr>
                  <w:tcW w:w="1044" w:type="dxa"/>
                  <w:tcBorders>
                    <w:top w:val="nil"/>
                  </w:tcBorders>
                  <w:vAlign w:val="center"/>
                </w:tcPr>
                <w:p>
                  <w:pPr>
                    <w:pStyle w:val="Compact"/>
                    <w:spacing w:before="36" w:after="36"/>
                    <w:jc w:val="center"/>
                    <w:rPr/>
                  </w:pPr>
                  <w:r>
                    <w:rPr/>
                    <w:t>-1.30</w:t>
                  </w:r>
                </w:p>
              </w:tc>
              <w:tc>
                <w:tcPr>
                  <w:tcW w:w="1518" w:type="dxa"/>
                  <w:tcBorders>
                    <w:top w:val="nil"/>
                  </w:tcBorders>
                  <w:vAlign w:val="center"/>
                </w:tcPr>
                <w:p>
                  <w:pPr>
                    <w:pStyle w:val="Compact"/>
                    <w:spacing w:before="36" w:after="36"/>
                    <w:jc w:val="center"/>
                    <w:rPr/>
                  </w:pPr>
                  <w:r>
                    <w:rPr/>
                    <w:t>-0.64</w:t>
                  </w:r>
                  <w:bookmarkStart w:id="149" w:name="apptbl-s1-price-partitioning-difference"/>
                  <w:bookmarkEnd w:id="149"/>
                </w:p>
              </w:tc>
            </w:tr>
          </w:tbl>
          <w:p>
            <w:pPr>
              <w:pStyle w:val="Normal"/>
              <w:spacing w:before="0" w:after="200"/>
              <w:jc w:val="left"/>
              <w:rPr>
                <w:sz w:val="24"/>
              </w:rPr>
            </w:pPr>
            <w:r>
              <w:rPr>
                <w:sz w:val="24"/>
              </w:rPr>
            </w:r>
          </w:p>
        </w:tc>
      </w:tr>
    </w:tbl>
    <w:p>
      <w:pPr>
        <w:pStyle w:val="BodyText"/>
        <w:rPr/>
      </w:pPr>
      <w:r>
        <w:rPr/>
        <w:t xml:space="preserve"> </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W16: Disaggregated moderated mediation estimates under unified price architecture (Study 1 Tool-Lab Robustness)</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524"/>
              <w:gridCol w:w="1904"/>
              <w:gridCol w:w="1902"/>
              <w:gridCol w:w="1909"/>
              <w:gridCol w:w="1905"/>
            </w:tblGrid>
            <w:tr>
              <w:trPr>
                <w:tblHeader w:val="true"/>
              </w:trPr>
              <w:tc>
                <w:tcPr>
                  <w:tcW w:w="1524" w:type="dxa"/>
                  <w:tcBorders/>
                  <w:vAlign w:val="center"/>
                </w:tcPr>
                <w:p>
                  <w:pPr>
                    <w:pStyle w:val="Compact"/>
                    <w:spacing w:before="36" w:after="36"/>
                    <w:jc w:val="center"/>
                    <w:rPr>
                      <w:b w:val="false"/>
                    </w:rPr>
                  </w:pPr>
                  <w:r>
                    <w:rPr>
                      <w:b w:val="false"/>
                    </w:rPr>
                    <w:t>LLM</w:t>
                  </w:r>
                </w:p>
              </w:tc>
              <w:tc>
                <w:tcPr>
                  <w:tcW w:w="1904"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a</m:t>
                        </m:r>
                      </m:e>
                      <m:sub>
                        <m:r>
                          <w:rPr>
                            <w:rFonts w:ascii="Cambria Math" w:hAnsi="Cambria Math"/>
                          </w:rPr>
                          <m:t xml:space="preserve">3</m:t>
                        </m:r>
                      </m:sub>
                    </m:sSub>
                  </m:oMath>
                  <w:r>
                    <w:rPr>
                      <w:b w:val="false"/>
                    </w:rPr>
                    <w:t xml:space="preserve"> </w:t>
                  </w:r>
                  <w:r>
                    <w:rPr>
                      <w:b w:val="false"/>
                    </w:rPr>
                  </w:r>
                  <m:oMath xmlns:m="http://schemas.openxmlformats.org/officeDocument/2006/math">
                    <m:sSup>
                      <m:e/>
                      <m:sup>
                        <m:r>
                          <w:rPr>
                            <w:rFonts w:ascii="Cambria Math" w:hAnsi="Cambria Math"/>
                          </w:rPr>
                          <m:t xml:space="preserve">a</m:t>
                        </m:r>
                      </m:sup>
                    </m:sSup>
                  </m:oMath>
                </w:p>
              </w:tc>
              <w:tc>
                <w:tcPr>
                  <w:tcW w:w="1902"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a</m:t>
                        </m:r>
                      </m:e>
                      <m:sub>
                        <m:r>
                          <m:rPr>
                            <m:lit/>
                            <m:nor/>
                          </m:rPr>
                          <w:rPr>
                            <w:rFonts w:ascii="Cambria Math" w:hAnsi="Cambria Math"/>
                          </w:rPr>
                          <m:t xml:space="preserve">Vague</m:t>
                        </m:r>
                      </m:sub>
                    </m:sSub>
                  </m:oMath>
                  <w:r>
                    <w:rPr>
                      <w:b w:val="false"/>
                    </w:rPr>
                    <w:t xml:space="preserve"> </w:t>
                  </w:r>
                  <w:r>
                    <w:rPr>
                      <w:b w:val="false"/>
                    </w:rPr>
                  </w:r>
                  <m:oMath xmlns:m="http://schemas.openxmlformats.org/officeDocument/2006/math">
                    <m:sSup>
                      <m:e/>
                      <m:sup>
                        <m:r>
                          <w:rPr>
                            <w:rFonts w:ascii="Cambria Math" w:hAnsi="Cambria Math"/>
                          </w:rPr>
                          <m:t xml:space="preserve">b</m:t>
                        </m:r>
                      </m:sup>
                    </m:sSup>
                  </m:oMath>
                </w:p>
              </w:tc>
              <w:tc>
                <w:tcPr>
                  <w:tcW w:w="1909"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b</m:t>
                        </m:r>
                      </m:e>
                      <m:sub>
                        <m:r>
                          <w:rPr>
                            <w:rFonts w:ascii="Cambria Math" w:hAnsi="Cambria Math"/>
                          </w:rPr>
                          <m:t xml:space="preserve">1</m:t>
                        </m:r>
                      </m:sub>
                    </m:sSub>
                  </m:oMath>
                  <w:r>
                    <w:rPr>
                      <w:b w:val="false"/>
                    </w:rPr>
                    <w:t xml:space="preserve"> </w:t>
                  </w:r>
                  <w:r>
                    <w:rPr>
                      <w:b w:val="false"/>
                    </w:rPr>
                  </w:r>
                  <m:oMath xmlns:m="http://schemas.openxmlformats.org/officeDocument/2006/math">
                    <m:sSup>
                      <m:e/>
                      <m:sup>
                        <m:r>
                          <w:rPr>
                            <w:rFonts w:ascii="Cambria Math" w:hAnsi="Cambria Math"/>
                          </w:rPr>
                          <m:t xml:space="preserve">c</m:t>
                        </m:r>
                      </m:sup>
                    </m:sSup>
                  </m:oMath>
                </w:p>
              </w:tc>
              <w:tc>
                <w:tcPr>
                  <w:tcW w:w="1905" w:type="dxa"/>
                  <w:tcBorders/>
                  <w:vAlign w:val="center"/>
                </w:tcPr>
                <w:p>
                  <w:pPr>
                    <w:pStyle w:val="Compact"/>
                    <w:spacing w:before="36" w:after="36"/>
                    <w:jc w:val="center"/>
                    <w:rPr>
                      <w:b w:val="false"/>
                    </w:rPr>
                  </w:pPr>
                  <w:r>
                    <w:rPr>
                      <w:b w:val="false"/>
                    </w:rPr>
                  </w:r>
                  <m:oMath xmlns:m="http://schemas.openxmlformats.org/officeDocument/2006/math">
                    <m:r>
                      <m:rPr>
                        <m:lit/>
                        <m:nor/>
                      </m:rPr>
                      <w:rPr>
                        <w:rFonts w:ascii="Cambria Math" w:hAnsi="Cambria Math"/>
                      </w:rPr>
                      <m:t xml:space="preserve">IMM</m:t>
                    </m:r>
                  </m:oMath>
                  <w:r>
                    <w:rPr>
                      <w:b w:val="false"/>
                    </w:rPr>
                    <w:t xml:space="preserve"> </w:t>
                  </w:r>
                  <w:r>
                    <w:rPr>
                      <w:b w:val="false"/>
                    </w:rPr>
                  </w:r>
                  <m:oMath xmlns:m="http://schemas.openxmlformats.org/officeDocument/2006/math">
                    <m:sSup>
                      <m:e/>
                      <m:sup>
                        <m:r>
                          <w:rPr>
                            <w:rFonts w:ascii="Cambria Math" w:hAnsi="Cambria Math"/>
                          </w:rPr>
                          <m:t xml:space="preserve">d</m:t>
                        </m:r>
                      </m:sup>
                    </m:sSup>
                  </m:oMath>
                </w:p>
              </w:tc>
            </w:tr>
            <w:tr>
              <w:trPr/>
              <w:tc>
                <w:tcPr>
                  <w:tcW w:w="1524" w:type="dxa"/>
                  <w:tcBorders>
                    <w:top w:val="nil"/>
                    <w:bottom w:val="nil"/>
                  </w:tcBorders>
                  <w:vAlign w:val="center"/>
                </w:tcPr>
                <w:p>
                  <w:pPr>
                    <w:pStyle w:val="Compact"/>
                    <w:spacing w:before="36" w:after="36"/>
                    <w:jc w:val="center"/>
                    <w:rPr/>
                  </w:pPr>
                  <w:r>
                    <w:rPr>
                      <w:b/>
                      <w:bCs/>
                    </w:rPr>
                    <w:t>Gemini 3.5 Flash Lite</w:t>
                  </w:r>
                </w:p>
              </w:tc>
              <w:tc>
                <w:tcPr>
                  <w:tcW w:w="1904" w:type="dxa"/>
                  <w:tcBorders>
                    <w:top w:val="nil"/>
                    <w:bottom w:val="nil"/>
                  </w:tcBorders>
                  <w:vAlign w:val="center"/>
                </w:tcPr>
                <w:p>
                  <w:pPr>
                    <w:pStyle w:val="Compact"/>
                    <w:spacing w:before="36" w:after="36"/>
                    <w:jc w:val="center"/>
                    <w:rPr/>
                  </w:pPr>
                  <w:r>
                    <w:rPr/>
                    <w:t>-0.721* [-0.981, -0.462]</w:t>
                  </w:r>
                </w:p>
              </w:tc>
              <w:tc>
                <w:tcPr>
                  <w:tcW w:w="1902" w:type="dxa"/>
                  <w:tcBorders>
                    <w:top w:val="nil"/>
                    <w:bottom w:val="nil"/>
                  </w:tcBorders>
                  <w:vAlign w:val="center"/>
                </w:tcPr>
                <w:p>
                  <w:pPr>
                    <w:pStyle w:val="Compact"/>
                    <w:spacing w:before="36" w:after="36"/>
                    <w:jc w:val="center"/>
                    <w:rPr/>
                  </w:pPr>
                  <w:r>
                    <w:rPr/>
                    <w:t>-0.720* [-0.902, -0.536]</w:t>
                  </w:r>
                </w:p>
              </w:tc>
              <w:tc>
                <w:tcPr>
                  <w:tcW w:w="1909" w:type="dxa"/>
                  <w:tcBorders>
                    <w:top w:val="nil"/>
                    <w:bottom w:val="nil"/>
                  </w:tcBorders>
                  <w:vAlign w:val="center"/>
                </w:tcPr>
                <w:p>
                  <w:pPr>
                    <w:pStyle w:val="Compact"/>
                    <w:spacing w:before="36" w:after="36"/>
                    <w:jc w:val="center"/>
                    <w:rPr/>
                  </w:pPr>
                  <w:r>
                    <w:rPr/>
                    <w:t>0.495* [0.488, 0.503]</w:t>
                  </w:r>
                </w:p>
              </w:tc>
              <w:tc>
                <w:tcPr>
                  <w:tcW w:w="1905" w:type="dxa"/>
                  <w:tcBorders>
                    <w:top w:val="nil"/>
                    <w:bottom w:val="nil"/>
                  </w:tcBorders>
                  <w:vAlign w:val="center"/>
                </w:tcPr>
                <w:p>
                  <w:pPr>
                    <w:pStyle w:val="Compact"/>
                    <w:spacing w:before="36" w:after="36"/>
                    <w:jc w:val="center"/>
                    <w:rPr/>
                  </w:pPr>
                  <w:r>
                    <w:rPr/>
                    <w:t>-0.357* [-0.486, -0.228]</w:t>
                  </w:r>
                </w:p>
              </w:tc>
            </w:tr>
            <w:tr>
              <w:trPr/>
              <w:tc>
                <w:tcPr>
                  <w:tcW w:w="1524" w:type="dxa"/>
                  <w:tcBorders>
                    <w:top w:val="nil"/>
                    <w:bottom w:val="nil"/>
                  </w:tcBorders>
                  <w:vAlign w:val="center"/>
                </w:tcPr>
                <w:p>
                  <w:pPr>
                    <w:pStyle w:val="Compact"/>
                    <w:spacing w:before="36" w:after="36"/>
                    <w:jc w:val="center"/>
                    <w:rPr/>
                  </w:pPr>
                  <w:r>
                    <w:rPr>
                      <w:b/>
                      <w:bCs/>
                    </w:rPr>
                    <w:t>Gemini 3.8 Flash</w:t>
                  </w:r>
                </w:p>
              </w:tc>
              <w:tc>
                <w:tcPr>
                  <w:tcW w:w="1904" w:type="dxa"/>
                  <w:tcBorders>
                    <w:top w:val="nil"/>
                    <w:bottom w:val="nil"/>
                  </w:tcBorders>
                  <w:vAlign w:val="center"/>
                </w:tcPr>
                <w:p>
                  <w:pPr>
                    <w:pStyle w:val="Compact"/>
                    <w:spacing w:before="36" w:after="36"/>
                    <w:jc w:val="center"/>
                    <w:rPr/>
                  </w:pPr>
                  <w:r>
                    <w:rPr/>
                    <w:t>-0.332* [-0.489, -0.175]</w:t>
                  </w:r>
                </w:p>
              </w:tc>
              <w:tc>
                <w:tcPr>
                  <w:tcW w:w="1902" w:type="dxa"/>
                  <w:tcBorders>
                    <w:top w:val="nil"/>
                    <w:bottom w:val="nil"/>
                  </w:tcBorders>
                  <w:vAlign w:val="center"/>
                </w:tcPr>
                <w:p>
                  <w:pPr>
                    <w:pStyle w:val="Compact"/>
                    <w:spacing w:before="36" w:after="36"/>
                    <w:jc w:val="center"/>
                    <w:rPr/>
                  </w:pPr>
                  <w:r>
                    <w:rPr/>
                    <w:t>-0.331* [-0.441, -0.221]</w:t>
                  </w:r>
                </w:p>
              </w:tc>
              <w:tc>
                <w:tcPr>
                  <w:tcW w:w="1909" w:type="dxa"/>
                  <w:tcBorders>
                    <w:top w:val="nil"/>
                    <w:bottom w:val="nil"/>
                  </w:tcBorders>
                  <w:vAlign w:val="center"/>
                </w:tcPr>
                <w:p>
                  <w:pPr>
                    <w:pStyle w:val="Compact"/>
                    <w:spacing w:before="36" w:after="36"/>
                    <w:jc w:val="center"/>
                    <w:rPr/>
                  </w:pPr>
                  <w:r>
                    <w:rPr/>
                    <w:t>0.448* [0.435, 0.461]</w:t>
                  </w:r>
                </w:p>
              </w:tc>
              <w:tc>
                <w:tcPr>
                  <w:tcW w:w="1905" w:type="dxa"/>
                  <w:tcBorders>
                    <w:top w:val="nil"/>
                    <w:bottom w:val="nil"/>
                  </w:tcBorders>
                  <w:vAlign w:val="center"/>
                </w:tcPr>
                <w:p>
                  <w:pPr>
                    <w:pStyle w:val="Compact"/>
                    <w:spacing w:before="36" w:after="36"/>
                    <w:jc w:val="center"/>
                    <w:rPr/>
                  </w:pPr>
                  <w:r>
                    <w:rPr/>
                    <w:t>-0.149* [-0.219, -0.078]</w:t>
                  </w:r>
                </w:p>
              </w:tc>
            </w:tr>
            <w:tr>
              <w:trPr/>
              <w:tc>
                <w:tcPr>
                  <w:tcW w:w="1524" w:type="dxa"/>
                  <w:tcBorders>
                    <w:top w:val="nil"/>
                  </w:tcBorders>
                  <w:vAlign w:val="center"/>
                </w:tcPr>
                <w:p>
                  <w:pPr>
                    <w:pStyle w:val="Compact"/>
                    <w:spacing w:before="36" w:after="36"/>
                    <w:jc w:val="center"/>
                    <w:rPr/>
                  </w:pPr>
                  <w:r>
                    <w:rPr>
                      <w:b/>
                      <w:bCs/>
                    </w:rPr>
                    <w:t>Gemini 3.1 Pro</w:t>
                  </w:r>
                </w:p>
              </w:tc>
              <w:tc>
                <w:tcPr>
                  <w:tcW w:w="1904" w:type="dxa"/>
                  <w:tcBorders>
                    <w:top w:val="nil"/>
                  </w:tcBorders>
                  <w:vAlign w:val="center"/>
                </w:tcPr>
                <w:p>
                  <w:pPr>
                    <w:pStyle w:val="Compact"/>
                    <w:spacing w:before="36" w:after="36"/>
                    <w:jc w:val="center"/>
                    <w:rPr/>
                  </w:pPr>
                  <w:r>
                    <w:rPr/>
                    <w:t>-1.320* [-1.510, -1.120]</w:t>
                  </w:r>
                </w:p>
              </w:tc>
              <w:tc>
                <w:tcPr>
                  <w:tcW w:w="1902" w:type="dxa"/>
                  <w:tcBorders>
                    <w:top w:val="nil"/>
                  </w:tcBorders>
                  <w:vAlign w:val="center"/>
                </w:tcPr>
                <w:p>
                  <w:pPr>
                    <w:pStyle w:val="Compact"/>
                    <w:spacing w:before="36" w:after="36"/>
                    <w:jc w:val="center"/>
                    <w:rPr/>
                  </w:pPr>
                  <w:r>
                    <w:rPr/>
                    <w:t>-1.320* [-1.460, -1.180]</w:t>
                  </w:r>
                </w:p>
              </w:tc>
              <w:tc>
                <w:tcPr>
                  <w:tcW w:w="1909" w:type="dxa"/>
                  <w:tcBorders>
                    <w:top w:val="nil"/>
                  </w:tcBorders>
                  <w:vAlign w:val="center"/>
                </w:tcPr>
                <w:p>
                  <w:pPr>
                    <w:pStyle w:val="Compact"/>
                    <w:spacing w:before="36" w:after="36"/>
                    <w:jc w:val="center"/>
                    <w:rPr/>
                  </w:pPr>
                  <w:r>
                    <w:rPr/>
                    <w:t>0.472* [0.459, 0.485]</w:t>
                  </w:r>
                </w:p>
              </w:tc>
              <w:tc>
                <w:tcPr>
                  <w:tcW w:w="1905" w:type="dxa"/>
                  <w:tcBorders>
                    <w:top w:val="nil"/>
                  </w:tcBorders>
                  <w:vAlign w:val="center"/>
                </w:tcPr>
                <w:p>
                  <w:pPr>
                    <w:pStyle w:val="Compact"/>
                    <w:spacing w:before="36" w:after="36"/>
                    <w:jc w:val="center"/>
                    <w:rPr/>
                  </w:pPr>
                  <w:r>
                    <w:rPr/>
                    <w:t>-0.622* [-0.716, -0.526]</w:t>
                  </w:r>
                  <w:bookmarkStart w:id="150" w:name="apptbl-s1b-unpartitioned-modmed"/>
                  <w:bookmarkEnd w:id="150"/>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200</m:t>
        </m:r>
      </m:oMath>
      <w:r>
        <w:rPr/>
        <w:t xml:space="preserve"> total sessions across three LLMs from Google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400</m:t>
        </m:r>
      </m:oMath>
      <w:r>
        <w:rPr/>
        <w:t xml:space="preserve"> independent sessions per LLM: 100 per 2 </w:t>
      </w:r>
      <w:r>
        <w:rPr/>
      </w:r>
      <m:oMath xmlns:m="http://schemas.openxmlformats.org/officeDocument/2006/math">
        <m:r>
          <w:rPr>
            <w:rFonts w:ascii="Cambria Math" w:hAnsi="Cambria Math"/>
          </w:rPr>
          <m:t xml:space="preserve">×</m:t>
        </m:r>
      </m:oMath>
      <w:r>
        <w:rPr/>
        <w:t xml:space="preserve"> 2 cell). Entries are posterior means with 95% equal-tailed credible intervals in brackets from Hamiltonian Monte Carlo estimation via Stan/</w:t>
      </w:r>
      <w:r>
        <w:rPr>
          <w:i/>
          <w:iCs/>
        </w:rPr>
        <w:t>brms</w:t>
      </w:r>
      <w:r>
        <w:rPr/>
        <w:t xml:space="preserve"> (12,000 post-warmup draws across four independent chains).</w:t>
        <w:br/>
      </w:r>
      <w:r>
        <w:rPr/>
      </w:r>
      <m:oMath xmlns:m="http://schemas.openxmlformats.org/officeDocument/2006/math">
        <m:sSup>
          <m:e/>
          <m:sup>
            <m:r>
              <w:rPr>
                <w:rFonts w:ascii="Cambria Math" w:hAnsi="Cambria Math"/>
              </w:rPr>
              <m:t xml:space="preserve">a</m:t>
            </m:r>
          </m:sup>
        </m:sSup>
      </m:oMath>
      <w:r>
        <w:rPr/>
        <w:t xml:space="preserv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oMath>
      <w:r>
        <w:rPr/>
        <w:t xml:space="preserve"> is the first-stage interaction parameter testing the moderation of acquisition cost by goal specificity on diagnostic acquisition (in cell counts, maximum = 4; H1).</w:t>
        <w:br/>
      </w:r>
      <w:r>
        <w:rPr/>
      </w:r>
      <m:oMath xmlns:m="http://schemas.openxmlformats.org/officeDocument/2006/math">
        <m:sSup>
          <m:e/>
          <m:sup>
            <m:r>
              <w:rPr>
                <w:rFonts w:ascii="Cambria Math" w:hAnsi="Cambria Math"/>
              </w:rPr>
              <m:t xml:space="preserve">b</m:t>
            </m:r>
          </m:sup>
        </m:sSup>
      </m:oMath>
      <w:r>
        <w:rPr/>
        <w:t xml:space="preserve"> </w:t>
      </w:r>
      <w:r>
        <w:rPr/>
      </w:r>
      <m:oMath xmlns:m="http://schemas.openxmlformats.org/officeDocument/2006/math">
        <m:sSub>
          <m:e>
            <m:r>
              <w:rPr>
                <w:rFonts w:ascii="Cambria Math" w:hAnsi="Cambria Math"/>
              </w:rPr>
              <m:t xml:space="preserve">a</m:t>
            </m:r>
          </m:e>
          <m:sub>
            <m:r>
              <m:rPr>
                <m:lit/>
                <m:nor/>
              </m:rPr>
              <w:rPr>
                <w:rFonts w:ascii="Cambria Math" w:hAnsi="Cambria Math"/>
              </w:rPr>
              <m:t xml:space="preserve">Vague</m:t>
            </m:r>
          </m:sub>
        </m:sSub>
      </m:oMath>
      <w:r>
        <w:rPr/>
        <w:t xml:space="preserve"> is the simple slope of acquisition cost on diagnostic acquisition under the vague goal prompt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oMath>
      <w:r>
        <w:rPr/>
        <w:t>; in cell counts).</w:t>
        <w:br/>
      </w:r>
      <w:r>
        <w:rPr/>
      </w:r>
      <m:oMath xmlns:m="http://schemas.openxmlformats.org/officeDocument/2006/math">
        <m:sSup>
          <m:e/>
          <m:sup>
            <m:r>
              <w:rPr>
                <w:rFonts w:ascii="Cambria Math" w:hAnsi="Cambria Math"/>
              </w:rPr>
              <m:t xml:space="preserve">c</m:t>
            </m:r>
          </m:sup>
        </m:sSup>
      </m:oMath>
      <w:r>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oMath>
      <w:r>
        <w:rPr/>
        <w:t xml:space="preserve"> is the marginal effect of diagnostic acquisition on choice optimality probability (in probability units; H2).</w:t>
        <w:br/>
      </w:r>
      <w:r>
        <w:rPr/>
      </w:r>
      <m:oMath xmlns:m="http://schemas.openxmlformats.org/officeDocument/2006/math">
        <m:sSup>
          <m:e/>
          <m:sup>
            <m:r>
              <w:rPr>
                <w:rFonts w:ascii="Cambria Math" w:hAnsi="Cambria Math"/>
              </w:rPr>
              <m:t xml:space="preserve">d</m:t>
            </m:r>
          </m:sup>
        </m:sSup>
      </m:oMath>
      <w:r>
        <w:rPr/>
        <w:t xml:space="preserve"> </w:t>
      </w:r>
      <w:r>
        <w:rPr/>
      </w:r>
      <m:oMath xmlns:m="http://schemas.openxmlformats.org/officeDocument/2006/math">
        <m:r>
          <m:rPr>
            <m:lit/>
            <m:nor/>
          </m:rPr>
          <w:rPr>
            <w:rFonts w:ascii="Cambria Math" w:hAnsi="Cambria Math"/>
          </w:rPr>
          <m:t xml:space="preserve">IMM</m:t>
        </m:r>
      </m:oMath>
      <w:r>
        <w:rPr/>
        <w:t xml:space="preserve"> is the Index of Moderated Mediation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 in probability units; H3).</w:t>
        <w:br/>
        <w:t>* 95% credible interval strictly excludes zero.</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W17: Stated optimization objective distribution by purchase volume (number of bags)</w:t>
            </w:r>
          </w:p>
          <w:tbl>
            <w:tblPr>
              <w:tblStyle w:val="APATable"/>
              <w:tblW w:w="7920" w:type="dxa"/>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vAlign w:val="center"/>
                </w:tcPr>
                <w:p>
                  <w:pPr>
                    <w:pStyle w:val="Compact"/>
                    <w:spacing w:before="36" w:after="36"/>
                    <w:jc w:val="center"/>
                    <w:rPr>
                      <w:b w:val="false"/>
                    </w:rPr>
                  </w:pPr>
                  <w:r>
                    <w:rPr>
                      <w:b w:val="false"/>
                    </w:rPr>
                    <w:t>LLM</w:t>
                  </w:r>
                </w:p>
              </w:tc>
              <w:tc>
                <w:tcPr>
                  <w:tcW w:w="1584" w:type="dxa"/>
                  <w:tcBorders/>
                  <w:vAlign w:val="center"/>
                </w:tcPr>
                <w:p>
                  <w:pPr>
                    <w:pStyle w:val="Compact"/>
                    <w:spacing w:before="36" w:after="36"/>
                    <w:jc w:val="center"/>
                    <w:rPr>
                      <w:b w:val="false"/>
                    </w:rPr>
                  </w:pPr>
                  <w:r>
                    <w:rPr>
                      <w:b w:val="false"/>
                    </w:rPr>
                    <w:t>Bags</w:t>
                  </w:r>
                </w:p>
              </w:tc>
              <w:tc>
                <w:tcPr>
                  <w:tcW w:w="1584" w:type="dxa"/>
                  <w:tcBorders/>
                  <w:vAlign w:val="center"/>
                </w:tcPr>
                <w:p>
                  <w:pPr>
                    <w:pStyle w:val="Compact"/>
                    <w:spacing w:before="36" w:after="36"/>
                    <w:jc w:val="center"/>
                    <w:rPr>
                      <w:b w:val="false"/>
                    </w:rPr>
                  </w:pPr>
                  <w:r>
                    <w:rPr>
                      <w:b w:val="false"/>
                    </w:rPr>
                    <w:t>price_per_weight</w:t>
                  </w:r>
                </w:p>
              </w:tc>
              <w:tc>
                <w:tcPr>
                  <w:tcW w:w="1584" w:type="dxa"/>
                  <w:tcBorders/>
                  <w:vAlign w:val="center"/>
                </w:tcPr>
                <w:p>
                  <w:pPr>
                    <w:pStyle w:val="Compact"/>
                    <w:spacing w:before="36" w:after="36"/>
                    <w:jc w:val="center"/>
                    <w:rPr>
                      <w:b w:val="false"/>
                    </w:rPr>
                  </w:pPr>
                  <w:r>
                    <w:rPr>
                      <w:b w:val="false"/>
                    </w:rPr>
                    <w:t>price</w:t>
                  </w:r>
                </w:p>
              </w:tc>
              <w:tc>
                <w:tcPr>
                  <w:tcW w:w="1584" w:type="dxa"/>
                  <w:tcBorders/>
                  <w:vAlign w:val="center"/>
                </w:tcPr>
                <w:p>
                  <w:pPr>
                    <w:pStyle w:val="Compact"/>
                    <w:spacing w:before="36" w:after="36"/>
                    <w:jc w:val="center"/>
                    <w:rPr>
                      <w:b w:val="false"/>
                    </w:rPr>
                  </w:pPr>
                  <w:r>
                    <w:rPr>
                      <w:b w:val="false"/>
                    </w:rPr>
                    <w:t>others</w:t>
                  </w:r>
                </w:p>
              </w:tc>
            </w:tr>
            <w:tr>
              <w:trPr/>
              <w:tc>
                <w:tcPr>
                  <w:tcW w:w="1584" w:type="dxa"/>
                  <w:tcBorders>
                    <w:top w:val="nil"/>
                    <w:bottom w:val="nil"/>
                  </w:tcBorders>
                  <w:vAlign w:val="center"/>
                </w:tcPr>
                <w:p>
                  <w:pPr>
                    <w:pStyle w:val="Compact"/>
                    <w:spacing w:before="36" w:after="36"/>
                    <w:jc w:val="center"/>
                    <w:rPr/>
                  </w:pPr>
                  <w:r>
                    <w:rPr/>
                    <w:t>Flash</w:t>
                  </w:r>
                </w:p>
              </w:tc>
              <w:tc>
                <w:tcPr>
                  <w:tcW w:w="1584" w:type="dxa"/>
                  <w:tcBorders>
                    <w:top w:val="nil"/>
                    <w:bottom w:val="nil"/>
                  </w:tcBorders>
                  <w:vAlign w:val="center"/>
                </w:tcPr>
                <w:p>
                  <w:pPr>
                    <w:pStyle w:val="Compact"/>
                    <w:spacing w:before="36" w:after="36"/>
                    <w:jc w:val="center"/>
                    <w:rPr/>
                  </w:pPr>
                  <w:r>
                    <w:rPr/>
                    <w:t>1</w:t>
                  </w:r>
                </w:p>
              </w:tc>
              <w:tc>
                <w:tcPr>
                  <w:tcW w:w="1584" w:type="dxa"/>
                  <w:tcBorders>
                    <w:top w:val="nil"/>
                    <w:bottom w:val="nil"/>
                  </w:tcBorders>
                  <w:vAlign w:val="center"/>
                </w:tcPr>
                <w:p>
                  <w:pPr>
                    <w:pStyle w:val="Compact"/>
                    <w:spacing w:before="36" w:after="36"/>
                    <w:jc w:val="center"/>
                    <w:rPr/>
                  </w:pPr>
                  <w:r>
                    <w:rPr/>
                    <w:t>0.908</w:t>
                  </w:r>
                </w:p>
              </w:tc>
              <w:tc>
                <w:tcPr>
                  <w:tcW w:w="1584" w:type="dxa"/>
                  <w:tcBorders>
                    <w:top w:val="nil"/>
                    <w:bottom w:val="nil"/>
                  </w:tcBorders>
                  <w:vAlign w:val="center"/>
                </w:tcPr>
                <w:p>
                  <w:pPr>
                    <w:pStyle w:val="Compact"/>
                    <w:spacing w:before="36" w:after="36"/>
                    <w:jc w:val="center"/>
                    <w:rPr/>
                  </w:pPr>
                  <w:r>
                    <w:rPr/>
                    <w:t>0.010</w:t>
                  </w:r>
                </w:p>
              </w:tc>
              <w:tc>
                <w:tcPr>
                  <w:tcW w:w="1584" w:type="dxa"/>
                  <w:tcBorders>
                    <w:top w:val="nil"/>
                    <w:bottom w:val="nil"/>
                  </w:tcBorders>
                  <w:vAlign w:val="center"/>
                </w:tcPr>
                <w:p>
                  <w:pPr>
                    <w:pStyle w:val="Compact"/>
                    <w:spacing w:before="36" w:after="36"/>
                    <w:jc w:val="center"/>
                    <w:rPr/>
                  </w:pPr>
                  <w:r>
                    <w:rPr/>
                    <w:t>0.082</w:t>
                  </w:r>
                </w:p>
              </w:tc>
            </w:tr>
            <w:tr>
              <w:trPr/>
              <w:tc>
                <w:tcPr>
                  <w:tcW w:w="1584" w:type="dxa"/>
                  <w:tcBorders>
                    <w:top w:val="nil"/>
                    <w:bottom w:val="nil"/>
                  </w:tcBorders>
                  <w:vAlign w:val="center"/>
                </w:tcPr>
                <w:p>
                  <w:pPr>
                    <w:pStyle w:val="Compact"/>
                    <w:spacing w:before="36" w:after="36"/>
                    <w:jc w:val="center"/>
                    <w:rPr/>
                  </w:pPr>
                  <w:r>
                    <w:rPr/>
                    <w:t>Flash</w:t>
                  </w:r>
                </w:p>
              </w:tc>
              <w:tc>
                <w:tcPr>
                  <w:tcW w:w="1584" w:type="dxa"/>
                  <w:tcBorders>
                    <w:top w:val="nil"/>
                    <w:bottom w:val="nil"/>
                  </w:tcBorders>
                  <w:vAlign w:val="center"/>
                </w:tcPr>
                <w:p>
                  <w:pPr>
                    <w:pStyle w:val="Compact"/>
                    <w:spacing w:before="36" w:after="36"/>
                    <w:jc w:val="center"/>
                    <w:rPr/>
                  </w:pPr>
                  <w:r>
                    <w:rPr/>
                    <w:t>5</w:t>
                  </w:r>
                </w:p>
              </w:tc>
              <w:tc>
                <w:tcPr>
                  <w:tcW w:w="1584" w:type="dxa"/>
                  <w:tcBorders>
                    <w:top w:val="nil"/>
                    <w:bottom w:val="nil"/>
                  </w:tcBorders>
                  <w:vAlign w:val="center"/>
                </w:tcPr>
                <w:p>
                  <w:pPr>
                    <w:pStyle w:val="Compact"/>
                    <w:spacing w:before="36" w:after="36"/>
                    <w:jc w:val="center"/>
                    <w:rPr/>
                  </w:pPr>
                  <w:r>
                    <w:rPr/>
                    <w:t>0.940</w:t>
                  </w:r>
                </w:p>
              </w:tc>
              <w:tc>
                <w:tcPr>
                  <w:tcW w:w="1584" w:type="dxa"/>
                  <w:tcBorders>
                    <w:top w:val="nil"/>
                    <w:bottom w:val="nil"/>
                  </w:tcBorders>
                  <w:vAlign w:val="center"/>
                </w:tcPr>
                <w:p>
                  <w:pPr>
                    <w:pStyle w:val="Compact"/>
                    <w:spacing w:before="36" w:after="36"/>
                    <w:jc w:val="center"/>
                    <w:rPr/>
                  </w:pPr>
                  <w:r>
                    <w:rPr/>
                    <w:t>0.040</w:t>
                  </w:r>
                </w:p>
              </w:tc>
              <w:tc>
                <w:tcPr>
                  <w:tcW w:w="1584" w:type="dxa"/>
                  <w:tcBorders>
                    <w:top w:val="nil"/>
                    <w:bottom w:val="nil"/>
                  </w:tcBorders>
                  <w:vAlign w:val="center"/>
                </w:tcPr>
                <w:p>
                  <w:pPr>
                    <w:pStyle w:val="Compact"/>
                    <w:spacing w:before="36" w:after="36"/>
                    <w:jc w:val="center"/>
                    <w:rPr/>
                  </w:pPr>
                  <w:r>
                    <w:rPr/>
                    <w:t>0.020</w:t>
                  </w:r>
                </w:p>
              </w:tc>
            </w:tr>
            <w:tr>
              <w:trPr/>
              <w:tc>
                <w:tcPr>
                  <w:tcW w:w="1584" w:type="dxa"/>
                  <w:tcBorders>
                    <w:top w:val="nil"/>
                    <w:bottom w:val="nil"/>
                  </w:tcBorders>
                  <w:vAlign w:val="center"/>
                </w:tcPr>
                <w:p>
                  <w:pPr>
                    <w:pStyle w:val="Compact"/>
                    <w:spacing w:before="36" w:after="36"/>
                    <w:jc w:val="center"/>
                    <w:rPr/>
                  </w:pPr>
                  <w:r>
                    <w:rPr/>
                    <w:t>Flash</w:t>
                  </w:r>
                </w:p>
              </w:tc>
              <w:tc>
                <w:tcPr>
                  <w:tcW w:w="1584" w:type="dxa"/>
                  <w:tcBorders>
                    <w:top w:val="nil"/>
                    <w:bottom w:val="nil"/>
                  </w:tcBorders>
                  <w:vAlign w:val="center"/>
                </w:tcPr>
                <w:p>
                  <w:pPr>
                    <w:pStyle w:val="Compact"/>
                    <w:spacing w:before="36" w:after="36"/>
                    <w:jc w:val="center"/>
                    <w:rPr/>
                  </w:pPr>
                  <w:r>
                    <w:rPr/>
                    <w:t>50</w:t>
                  </w:r>
                </w:p>
              </w:tc>
              <w:tc>
                <w:tcPr>
                  <w:tcW w:w="1584" w:type="dxa"/>
                  <w:tcBorders>
                    <w:top w:val="nil"/>
                    <w:bottom w:val="nil"/>
                  </w:tcBorders>
                  <w:vAlign w:val="center"/>
                </w:tcPr>
                <w:p>
                  <w:pPr>
                    <w:pStyle w:val="Compact"/>
                    <w:spacing w:before="36" w:after="36"/>
                    <w:jc w:val="center"/>
                    <w:rPr/>
                  </w:pPr>
                  <w:r>
                    <w:rPr/>
                    <w:t>0.910</w:t>
                  </w:r>
                </w:p>
              </w:tc>
              <w:tc>
                <w:tcPr>
                  <w:tcW w:w="1584" w:type="dxa"/>
                  <w:tcBorders>
                    <w:top w:val="nil"/>
                    <w:bottom w:val="nil"/>
                  </w:tcBorders>
                  <w:vAlign w:val="center"/>
                </w:tcPr>
                <w:p>
                  <w:pPr>
                    <w:pStyle w:val="Compact"/>
                    <w:spacing w:before="36" w:after="36"/>
                    <w:jc w:val="center"/>
                    <w:rPr/>
                  </w:pPr>
                  <w:r>
                    <w:rPr/>
                    <w:t>0.020</w:t>
                  </w:r>
                </w:p>
              </w:tc>
              <w:tc>
                <w:tcPr>
                  <w:tcW w:w="1584" w:type="dxa"/>
                  <w:tcBorders>
                    <w:top w:val="nil"/>
                    <w:bottom w:val="nil"/>
                  </w:tcBorders>
                  <w:vAlign w:val="center"/>
                </w:tcPr>
                <w:p>
                  <w:pPr>
                    <w:pStyle w:val="Compact"/>
                    <w:spacing w:before="36" w:after="36"/>
                    <w:jc w:val="center"/>
                    <w:rPr/>
                  </w:pPr>
                  <w:r>
                    <w:rPr/>
                    <w:t>0.070</w:t>
                  </w:r>
                </w:p>
              </w:tc>
            </w:tr>
            <w:tr>
              <w:trPr/>
              <w:tc>
                <w:tcPr>
                  <w:tcW w:w="1584" w:type="dxa"/>
                  <w:tcBorders>
                    <w:top w:val="nil"/>
                    <w:bottom w:val="nil"/>
                  </w:tcBorders>
                  <w:vAlign w:val="center"/>
                </w:tcPr>
                <w:p>
                  <w:pPr>
                    <w:pStyle w:val="Compact"/>
                    <w:spacing w:before="36" w:after="36"/>
                    <w:jc w:val="center"/>
                    <w:rPr/>
                  </w:pPr>
                  <w:r>
                    <w:rPr/>
                    <w:t>Flash</w:t>
                  </w:r>
                </w:p>
              </w:tc>
              <w:tc>
                <w:tcPr>
                  <w:tcW w:w="1584" w:type="dxa"/>
                  <w:tcBorders>
                    <w:top w:val="nil"/>
                    <w:bottom w:val="nil"/>
                  </w:tcBorders>
                  <w:vAlign w:val="center"/>
                </w:tcPr>
                <w:p>
                  <w:pPr>
                    <w:pStyle w:val="Compact"/>
                    <w:spacing w:before="36" w:after="36"/>
                    <w:jc w:val="center"/>
                    <w:rPr/>
                  </w:pPr>
                  <w:r>
                    <w:rPr/>
                    <w:t>250</w:t>
                  </w:r>
                </w:p>
              </w:tc>
              <w:tc>
                <w:tcPr>
                  <w:tcW w:w="1584" w:type="dxa"/>
                  <w:tcBorders>
                    <w:top w:val="nil"/>
                    <w:bottom w:val="nil"/>
                  </w:tcBorders>
                  <w:vAlign w:val="center"/>
                </w:tcPr>
                <w:p>
                  <w:pPr>
                    <w:pStyle w:val="Compact"/>
                    <w:spacing w:before="36" w:after="36"/>
                    <w:jc w:val="center"/>
                    <w:rPr/>
                  </w:pPr>
                  <w:r>
                    <w:rPr/>
                    <w:t>0.939</w:t>
                  </w:r>
                </w:p>
              </w:tc>
              <w:tc>
                <w:tcPr>
                  <w:tcW w:w="1584" w:type="dxa"/>
                  <w:tcBorders>
                    <w:top w:val="nil"/>
                    <w:bottom w:val="nil"/>
                  </w:tcBorders>
                  <w:vAlign w:val="center"/>
                </w:tcPr>
                <w:p>
                  <w:pPr>
                    <w:pStyle w:val="Compact"/>
                    <w:spacing w:before="36" w:after="36"/>
                    <w:jc w:val="center"/>
                    <w:rPr/>
                  </w:pPr>
                  <w:r>
                    <w:rPr/>
                    <w:t>0.020</w:t>
                  </w:r>
                </w:p>
              </w:tc>
              <w:tc>
                <w:tcPr>
                  <w:tcW w:w="1584" w:type="dxa"/>
                  <w:tcBorders>
                    <w:top w:val="nil"/>
                    <w:bottom w:val="nil"/>
                  </w:tcBorders>
                  <w:vAlign w:val="center"/>
                </w:tcPr>
                <w:p>
                  <w:pPr>
                    <w:pStyle w:val="Compact"/>
                    <w:spacing w:before="36" w:after="36"/>
                    <w:jc w:val="center"/>
                    <w:rPr/>
                  </w:pPr>
                  <w:r>
                    <w:rPr/>
                    <w:t>0.040</w:t>
                  </w:r>
                </w:p>
              </w:tc>
            </w:tr>
            <w:tr>
              <w:trPr/>
              <w:tc>
                <w:tcPr>
                  <w:tcW w:w="1584" w:type="dxa"/>
                  <w:tcBorders>
                    <w:top w:val="nil"/>
                    <w:bottom w:val="nil"/>
                  </w:tcBorders>
                  <w:vAlign w:val="center"/>
                </w:tcPr>
                <w:p>
                  <w:pPr>
                    <w:pStyle w:val="Compact"/>
                    <w:spacing w:before="36" w:after="36"/>
                    <w:jc w:val="center"/>
                    <w:rPr/>
                  </w:pPr>
                  <w:r>
                    <w:rPr/>
                    <w:t>Pro</w:t>
                  </w:r>
                </w:p>
              </w:tc>
              <w:tc>
                <w:tcPr>
                  <w:tcW w:w="1584" w:type="dxa"/>
                  <w:tcBorders>
                    <w:top w:val="nil"/>
                    <w:bottom w:val="nil"/>
                  </w:tcBorders>
                  <w:vAlign w:val="center"/>
                </w:tcPr>
                <w:p>
                  <w:pPr>
                    <w:pStyle w:val="Compact"/>
                    <w:spacing w:before="36" w:after="36"/>
                    <w:jc w:val="center"/>
                    <w:rPr/>
                  </w:pPr>
                  <w:r>
                    <w:rPr/>
                    <w:t>1</w:t>
                  </w:r>
                </w:p>
              </w:tc>
              <w:tc>
                <w:tcPr>
                  <w:tcW w:w="1584" w:type="dxa"/>
                  <w:tcBorders>
                    <w:top w:val="nil"/>
                    <w:bottom w:val="nil"/>
                  </w:tcBorders>
                  <w:vAlign w:val="center"/>
                </w:tcPr>
                <w:p>
                  <w:pPr>
                    <w:pStyle w:val="Compact"/>
                    <w:spacing w:before="36" w:after="36"/>
                    <w:jc w:val="center"/>
                    <w:rPr/>
                  </w:pPr>
                  <w:r>
                    <w:rPr/>
                    <w:t>0.620</w:t>
                  </w:r>
                </w:p>
              </w:tc>
              <w:tc>
                <w:tcPr>
                  <w:tcW w:w="1584" w:type="dxa"/>
                  <w:tcBorders>
                    <w:top w:val="nil"/>
                    <w:bottom w:val="nil"/>
                  </w:tcBorders>
                  <w:vAlign w:val="center"/>
                </w:tcPr>
                <w:p>
                  <w:pPr>
                    <w:pStyle w:val="Compact"/>
                    <w:spacing w:before="36" w:after="36"/>
                    <w:jc w:val="center"/>
                    <w:rPr/>
                  </w:pPr>
                  <w:r>
                    <w:rPr/>
                    <w:t>0.380</w:t>
                  </w:r>
                </w:p>
              </w:tc>
              <w:tc>
                <w:tcPr>
                  <w:tcW w:w="1584" w:type="dxa"/>
                  <w:tcBorders>
                    <w:top w:val="nil"/>
                    <w:bottom w:val="nil"/>
                  </w:tcBorders>
                  <w:vAlign w:val="center"/>
                </w:tcPr>
                <w:p>
                  <w:pPr>
                    <w:pStyle w:val="Compact"/>
                    <w:spacing w:before="36" w:after="36"/>
                    <w:jc w:val="center"/>
                    <w:rPr/>
                  </w:pPr>
                  <w:r>
                    <w:rPr/>
                    <w:t>0.000</w:t>
                  </w:r>
                </w:p>
              </w:tc>
            </w:tr>
            <w:tr>
              <w:trPr/>
              <w:tc>
                <w:tcPr>
                  <w:tcW w:w="1584" w:type="dxa"/>
                  <w:tcBorders>
                    <w:top w:val="nil"/>
                    <w:bottom w:val="nil"/>
                  </w:tcBorders>
                  <w:vAlign w:val="center"/>
                </w:tcPr>
                <w:p>
                  <w:pPr>
                    <w:pStyle w:val="Compact"/>
                    <w:spacing w:before="36" w:after="36"/>
                    <w:jc w:val="center"/>
                    <w:rPr/>
                  </w:pPr>
                  <w:r>
                    <w:rPr/>
                    <w:t>Pro</w:t>
                  </w:r>
                </w:p>
              </w:tc>
              <w:tc>
                <w:tcPr>
                  <w:tcW w:w="1584" w:type="dxa"/>
                  <w:tcBorders>
                    <w:top w:val="nil"/>
                    <w:bottom w:val="nil"/>
                  </w:tcBorders>
                  <w:vAlign w:val="center"/>
                </w:tcPr>
                <w:p>
                  <w:pPr>
                    <w:pStyle w:val="Compact"/>
                    <w:spacing w:before="36" w:after="36"/>
                    <w:jc w:val="center"/>
                    <w:rPr/>
                  </w:pPr>
                  <w:r>
                    <w:rPr/>
                    <w:t>5</w:t>
                  </w:r>
                </w:p>
              </w:tc>
              <w:tc>
                <w:tcPr>
                  <w:tcW w:w="1584" w:type="dxa"/>
                  <w:tcBorders>
                    <w:top w:val="nil"/>
                    <w:bottom w:val="nil"/>
                  </w:tcBorders>
                  <w:vAlign w:val="center"/>
                </w:tcPr>
                <w:p>
                  <w:pPr>
                    <w:pStyle w:val="Compact"/>
                    <w:spacing w:before="36" w:after="36"/>
                    <w:jc w:val="center"/>
                    <w:rPr/>
                  </w:pPr>
                  <w:r>
                    <w:rPr/>
                    <w:t>0.450</w:t>
                  </w:r>
                </w:p>
              </w:tc>
              <w:tc>
                <w:tcPr>
                  <w:tcW w:w="1584" w:type="dxa"/>
                  <w:tcBorders>
                    <w:top w:val="nil"/>
                    <w:bottom w:val="nil"/>
                  </w:tcBorders>
                  <w:vAlign w:val="center"/>
                </w:tcPr>
                <w:p>
                  <w:pPr>
                    <w:pStyle w:val="Compact"/>
                    <w:spacing w:before="36" w:after="36"/>
                    <w:jc w:val="center"/>
                    <w:rPr/>
                  </w:pPr>
                  <w:r>
                    <w:rPr/>
                    <w:t>0.520</w:t>
                  </w:r>
                </w:p>
              </w:tc>
              <w:tc>
                <w:tcPr>
                  <w:tcW w:w="1584" w:type="dxa"/>
                  <w:tcBorders>
                    <w:top w:val="nil"/>
                    <w:bottom w:val="nil"/>
                  </w:tcBorders>
                  <w:vAlign w:val="center"/>
                </w:tcPr>
                <w:p>
                  <w:pPr>
                    <w:pStyle w:val="Compact"/>
                    <w:spacing w:before="36" w:after="36"/>
                    <w:jc w:val="center"/>
                    <w:rPr/>
                  </w:pPr>
                  <w:r>
                    <w:rPr/>
                    <w:t>0.030</w:t>
                  </w:r>
                </w:p>
              </w:tc>
            </w:tr>
            <w:tr>
              <w:trPr/>
              <w:tc>
                <w:tcPr>
                  <w:tcW w:w="1584" w:type="dxa"/>
                  <w:tcBorders>
                    <w:top w:val="nil"/>
                    <w:bottom w:val="nil"/>
                  </w:tcBorders>
                  <w:vAlign w:val="center"/>
                </w:tcPr>
                <w:p>
                  <w:pPr>
                    <w:pStyle w:val="Compact"/>
                    <w:spacing w:before="36" w:after="36"/>
                    <w:jc w:val="center"/>
                    <w:rPr/>
                  </w:pPr>
                  <w:r>
                    <w:rPr/>
                    <w:t>Pro</w:t>
                  </w:r>
                </w:p>
              </w:tc>
              <w:tc>
                <w:tcPr>
                  <w:tcW w:w="1584" w:type="dxa"/>
                  <w:tcBorders>
                    <w:top w:val="nil"/>
                    <w:bottom w:val="nil"/>
                  </w:tcBorders>
                  <w:vAlign w:val="center"/>
                </w:tcPr>
                <w:p>
                  <w:pPr>
                    <w:pStyle w:val="Compact"/>
                    <w:spacing w:before="36" w:after="36"/>
                    <w:jc w:val="center"/>
                    <w:rPr/>
                  </w:pPr>
                  <w:r>
                    <w:rPr/>
                    <w:t>50</w:t>
                  </w:r>
                </w:p>
              </w:tc>
              <w:tc>
                <w:tcPr>
                  <w:tcW w:w="1584" w:type="dxa"/>
                  <w:tcBorders>
                    <w:top w:val="nil"/>
                    <w:bottom w:val="nil"/>
                  </w:tcBorders>
                  <w:vAlign w:val="center"/>
                </w:tcPr>
                <w:p>
                  <w:pPr>
                    <w:pStyle w:val="Compact"/>
                    <w:spacing w:before="36" w:after="36"/>
                    <w:jc w:val="center"/>
                    <w:rPr/>
                  </w:pPr>
                  <w:r>
                    <w:rPr/>
                    <w:t>0.150</w:t>
                  </w:r>
                </w:p>
              </w:tc>
              <w:tc>
                <w:tcPr>
                  <w:tcW w:w="1584" w:type="dxa"/>
                  <w:tcBorders>
                    <w:top w:val="nil"/>
                    <w:bottom w:val="nil"/>
                  </w:tcBorders>
                  <w:vAlign w:val="center"/>
                </w:tcPr>
                <w:p>
                  <w:pPr>
                    <w:pStyle w:val="Compact"/>
                    <w:spacing w:before="36" w:after="36"/>
                    <w:jc w:val="center"/>
                    <w:rPr/>
                  </w:pPr>
                  <w:r>
                    <w:rPr/>
                    <w:t>0.830</w:t>
                  </w:r>
                </w:p>
              </w:tc>
              <w:tc>
                <w:tcPr>
                  <w:tcW w:w="1584" w:type="dxa"/>
                  <w:tcBorders>
                    <w:top w:val="nil"/>
                    <w:bottom w:val="nil"/>
                  </w:tcBorders>
                  <w:vAlign w:val="center"/>
                </w:tcPr>
                <w:p>
                  <w:pPr>
                    <w:pStyle w:val="Compact"/>
                    <w:spacing w:before="36" w:after="36"/>
                    <w:jc w:val="center"/>
                    <w:rPr/>
                  </w:pPr>
                  <w:r>
                    <w:rPr/>
                    <w:t>0.020</w:t>
                  </w:r>
                </w:p>
              </w:tc>
            </w:tr>
            <w:tr>
              <w:trPr/>
              <w:tc>
                <w:tcPr>
                  <w:tcW w:w="1584" w:type="dxa"/>
                  <w:tcBorders>
                    <w:top w:val="nil"/>
                  </w:tcBorders>
                  <w:vAlign w:val="center"/>
                </w:tcPr>
                <w:p>
                  <w:pPr>
                    <w:pStyle w:val="Compact"/>
                    <w:spacing w:before="36" w:after="36"/>
                    <w:jc w:val="center"/>
                    <w:rPr/>
                  </w:pPr>
                  <w:r>
                    <w:rPr/>
                    <w:t>Pro</w:t>
                  </w:r>
                </w:p>
              </w:tc>
              <w:tc>
                <w:tcPr>
                  <w:tcW w:w="1584" w:type="dxa"/>
                  <w:tcBorders>
                    <w:top w:val="nil"/>
                  </w:tcBorders>
                  <w:vAlign w:val="center"/>
                </w:tcPr>
                <w:p>
                  <w:pPr>
                    <w:pStyle w:val="Compact"/>
                    <w:spacing w:before="36" w:after="36"/>
                    <w:jc w:val="center"/>
                    <w:rPr/>
                  </w:pPr>
                  <w:r>
                    <w:rPr/>
                    <w:t>250</w:t>
                  </w:r>
                </w:p>
              </w:tc>
              <w:tc>
                <w:tcPr>
                  <w:tcW w:w="1584" w:type="dxa"/>
                  <w:tcBorders>
                    <w:top w:val="nil"/>
                  </w:tcBorders>
                  <w:vAlign w:val="center"/>
                </w:tcPr>
                <w:p>
                  <w:pPr>
                    <w:pStyle w:val="Compact"/>
                    <w:spacing w:before="36" w:after="36"/>
                    <w:jc w:val="center"/>
                    <w:rPr/>
                  </w:pPr>
                  <w:r>
                    <w:rPr/>
                    <w:t>0.140</w:t>
                  </w:r>
                </w:p>
              </w:tc>
              <w:tc>
                <w:tcPr>
                  <w:tcW w:w="1584" w:type="dxa"/>
                  <w:tcBorders>
                    <w:top w:val="nil"/>
                  </w:tcBorders>
                  <w:vAlign w:val="center"/>
                </w:tcPr>
                <w:p>
                  <w:pPr>
                    <w:pStyle w:val="Compact"/>
                    <w:spacing w:before="36" w:after="36"/>
                    <w:jc w:val="center"/>
                    <w:rPr/>
                  </w:pPr>
                  <w:r>
                    <w:rPr/>
                    <w:t>0.840</w:t>
                  </w:r>
                </w:p>
              </w:tc>
              <w:tc>
                <w:tcPr>
                  <w:tcW w:w="1584" w:type="dxa"/>
                  <w:tcBorders>
                    <w:top w:val="nil"/>
                  </w:tcBorders>
                  <w:vAlign w:val="center"/>
                </w:tcPr>
                <w:p>
                  <w:pPr>
                    <w:pStyle w:val="Compact"/>
                    <w:spacing w:before="36" w:after="36"/>
                    <w:jc w:val="center"/>
                    <w:rPr/>
                  </w:pPr>
                  <w:r>
                    <w:rPr/>
                    <w:t>0.020</w:t>
                  </w:r>
                  <w:bookmarkStart w:id="151" w:name="apptbl-bags-objective"/>
                  <w:bookmarkEnd w:id="151"/>
                </w:p>
              </w:tc>
            </w:tr>
          </w:tbl>
          <w:p>
            <w:pPr>
              <w:pStyle w:val="Normal"/>
              <w:spacing w:before="0" w:after="200"/>
              <w:jc w:val="left"/>
              <w:rPr>
                <w:sz w:val="24"/>
              </w:rPr>
            </w:pPr>
            <w:r>
              <w:rPr>
                <w:sz w:val="24"/>
              </w:rPr>
            </w:r>
          </w:p>
        </w:tc>
      </w:tr>
    </w:tbl>
    <w:p>
      <w:pPr>
        <w:pStyle w:val="BodyText"/>
        <w:rPr/>
      </w:pPr>
      <w:r>
        <w:rPr/>
        <w:t xml:space="preserve"> </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W18: Diagnostic information acquisition and choice optimality by stated optimization objective, holding purchase volume fixed (Gemini 3.1 Pro)</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306"/>
              <w:gridCol w:w="1306"/>
              <w:gridCol w:w="1307"/>
              <w:gridCol w:w="1306"/>
              <w:gridCol w:w="1306"/>
              <w:gridCol w:w="1306"/>
              <w:gridCol w:w="1307"/>
            </w:tblGrid>
            <w:tr>
              <w:trPr>
                <w:tblHeader w:val="true"/>
              </w:trPr>
              <w:tc>
                <w:tcPr>
                  <w:tcW w:w="1306" w:type="dxa"/>
                  <w:tcBorders/>
                  <w:vAlign w:val="center"/>
                </w:tcPr>
                <w:p>
                  <w:pPr>
                    <w:pStyle w:val="Compact"/>
                    <w:spacing w:before="36" w:after="36"/>
                    <w:jc w:val="center"/>
                    <w:rPr>
                      <w:b w:val="false"/>
                    </w:rPr>
                  </w:pPr>
                  <w:r>
                    <w:rPr>
                      <w:b w:val="false"/>
                    </w:rPr>
                    <w:t>Bags</w:t>
                  </w:r>
                </w:p>
              </w:tc>
              <w:tc>
                <w:tcPr>
                  <w:tcW w:w="1306"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n</m:t>
                        </m:r>
                      </m:e>
                      <m:sub>
                        <m:r>
                          <m:rPr>
                            <m:lit/>
                            <m:nor/>
                          </m:rPr>
                          <w:rPr>
                            <w:rFonts w:ascii="Cambria Math" w:hAnsi="Cambria Math"/>
                          </w:rPr>
                          <m:t xml:space="preserve">price</m:t>
                        </m:r>
                      </m:sub>
                    </m:sSub>
                  </m:oMath>
                  <w:r>
                    <w:rPr>
                      <w:b w:val="false"/>
                    </w:rPr>
                    <w:t>​</w:t>
                  </w:r>
                </w:p>
              </w:tc>
              <w:tc>
                <w:tcPr>
                  <w:tcW w:w="1307"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n</m:t>
                        </m:r>
                      </m:e>
                      <m:sub>
                        <m:r>
                          <m:rPr>
                            <m:lit/>
                            <m:nor/>
                          </m:rPr>
                          <w:rPr>
                            <w:rFonts w:ascii="Cambria Math" w:hAnsi="Cambria Math"/>
                          </w:rPr>
                          <m:t xml:space="preserve">ppw</m:t>
                        </m:r>
                      </m:sub>
                    </m:sSub>
                  </m:oMath>
                  <w:r>
                    <w:rPr>
                      <w:b w:val="false"/>
                    </w:rPr>
                    <w:t>​</w:t>
                  </w:r>
                </w:p>
              </w:tc>
              <w:tc>
                <w:tcPr>
                  <w:tcW w:w="1306" w:type="dxa"/>
                  <w:tcBorders/>
                  <w:vAlign w:val="center"/>
                </w:tcPr>
                <w:p>
                  <w:pPr>
                    <w:pStyle w:val="Compact"/>
                    <w:spacing w:before="36" w:after="36"/>
                    <w:jc w:val="center"/>
                    <w:rPr>
                      <w:b w:val="false"/>
                    </w:rPr>
                  </w:pPr>
                  <w:r>
                    <w:rPr>
                      <w:b w:val="false"/>
                    </w:rPr>
                  </w:r>
                  <m:oMath xmlns:m="http://schemas.openxmlformats.org/officeDocument/2006/math">
                    <m:r>
                      <w:rPr>
                        <w:rFonts w:ascii="Cambria Math" w:hAnsi="Cambria Math"/>
                      </w:rPr>
                      <m:t xml:space="preserve">Δ</m:t>
                    </m:r>
                  </m:oMath>
                  <w:r>
                    <w:rPr>
                      <w:b w:val="false"/>
                    </w:rPr>
                    <w:t xml:space="preserve"> </w:t>
                  </w:r>
                  <w:r>
                    <w:rPr>
                      <w:b w:val="false"/>
                    </w:rPr>
                    <w:t>Diagnostic</w:t>
                  </w:r>
                </w:p>
              </w:tc>
              <w:tc>
                <w:tcPr>
                  <w:tcW w:w="1306" w:type="dxa"/>
                  <w:tcBorders/>
                  <w:vAlign w:val="center"/>
                </w:tcPr>
                <w:p>
                  <w:pPr>
                    <w:pStyle w:val="Compact"/>
                    <w:spacing w:before="36" w:after="36"/>
                    <w:jc w:val="center"/>
                    <w:rPr>
                      <w:b w:val="false"/>
                    </w:rPr>
                  </w:pPr>
                  <w:r>
                    <w:rPr>
                      <w:b w:val="false"/>
                    </w:rPr>
                    <w:t>95% CI</w:t>
                  </w:r>
                </w:p>
              </w:tc>
              <w:tc>
                <w:tcPr>
                  <w:tcW w:w="1306" w:type="dxa"/>
                  <w:tcBorders/>
                  <w:vAlign w:val="center"/>
                </w:tcPr>
                <w:p>
                  <w:pPr>
                    <w:pStyle w:val="Compact"/>
                    <w:spacing w:before="36" w:after="36"/>
                    <w:jc w:val="center"/>
                    <w:rPr>
                      <w:b w:val="false"/>
                    </w:rPr>
                  </w:pPr>
                  <w:r>
                    <w:rPr>
                      <w:b w:val="false"/>
                    </w:rPr>
                  </w:r>
                  <m:oMath xmlns:m="http://schemas.openxmlformats.org/officeDocument/2006/math">
                    <m:r>
                      <w:rPr>
                        <w:rFonts w:ascii="Cambria Math" w:hAnsi="Cambria Math"/>
                      </w:rPr>
                      <m:t xml:space="preserve">Δ</m:t>
                    </m:r>
                  </m:oMath>
                  <w:r>
                    <w:rPr>
                      <w:b w:val="false"/>
                    </w:rPr>
                    <w:t xml:space="preserve"> </w:t>
                  </w:r>
                  <w:r>
                    <w:rPr>
                      <w:b w:val="false"/>
                    </w:rPr>
                    <w:t>Choice Optimality</w:t>
                  </w:r>
                </w:p>
              </w:tc>
              <w:tc>
                <w:tcPr>
                  <w:tcW w:w="1307" w:type="dxa"/>
                  <w:tcBorders/>
                  <w:vAlign w:val="center"/>
                </w:tcPr>
                <w:p>
                  <w:pPr>
                    <w:pStyle w:val="Compact"/>
                    <w:spacing w:before="36" w:after="36"/>
                    <w:jc w:val="center"/>
                    <w:rPr>
                      <w:b w:val="false"/>
                    </w:rPr>
                  </w:pPr>
                  <w:r>
                    <w:rPr>
                      <w:b w:val="false"/>
                    </w:rPr>
                    <w:t>95% CI</w:t>
                  </w:r>
                </w:p>
              </w:tc>
            </w:tr>
            <w:tr>
              <w:trPr/>
              <w:tc>
                <w:tcPr>
                  <w:tcW w:w="1306" w:type="dxa"/>
                  <w:tcBorders>
                    <w:top w:val="nil"/>
                    <w:bottom w:val="nil"/>
                  </w:tcBorders>
                  <w:vAlign w:val="center"/>
                </w:tcPr>
                <w:p>
                  <w:pPr>
                    <w:pStyle w:val="Compact"/>
                    <w:spacing w:before="36" w:after="36"/>
                    <w:jc w:val="center"/>
                    <w:rPr/>
                  </w:pPr>
                  <w:r>
                    <w:rPr/>
                    <w:t>1</w:t>
                  </w:r>
                </w:p>
              </w:tc>
              <w:tc>
                <w:tcPr>
                  <w:tcW w:w="1306" w:type="dxa"/>
                  <w:tcBorders>
                    <w:top w:val="nil"/>
                    <w:bottom w:val="nil"/>
                  </w:tcBorders>
                  <w:vAlign w:val="center"/>
                </w:tcPr>
                <w:p>
                  <w:pPr>
                    <w:pStyle w:val="Compact"/>
                    <w:spacing w:before="36" w:after="36"/>
                    <w:jc w:val="center"/>
                    <w:rPr/>
                  </w:pPr>
                  <w:r>
                    <w:rPr/>
                    <w:t>38</w:t>
                  </w:r>
                </w:p>
              </w:tc>
              <w:tc>
                <w:tcPr>
                  <w:tcW w:w="1307" w:type="dxa"/>
                  <w:tcBorders>
                    <w:top w:val="nil"/>
                    <w:bottom w:val="nil"/>
                  </w:tcBorders>
                  <w:vAlign w:val="center"/>
                </w:tcPr>
                <w:p>
                  <w:pPr>
                    <w:pStyle w:val="Compact"/>
                    <w:spacing w:before="36" w:after="36"/>
                    <w:jc w:val="center"/>
                    <w:rPr/>
                  </w:pPr>
                  <w:r>
                    <w:rPr/>
                    <w:t>62</w:t>
                  </w:r>
                </w:p>
              </w:tc>
              <w:tc>
                <w:tcPr>
                  <w:tcW w:w="1306" w:type="dxa"/>
                  <w:tcBorders>
                    <w:top w:val="nil"/>
                    <w:bottom w:val="nil"/>
                  </w:tcBorders>
                  <w:vAlign w:val="center"/>
                </w:tcPr>
                <w:p>
                  <w:pPr>
                    <w:pStyle w:val="Compact"/>
                    <w:spacing w:before="36" w:after="36"/>
                    <w:jc w:val="center"/>
                    <w:rPr/>
                  </w:pPr>
                  <w:r>
                    <w:rPr/>
                    <w:t>-1.18*</w:t>
                  </w:r>
                </w:p>
              </w:tc>
              <w:tc>
                <w:tcPr>
                  <w:tcW w:w="1306" w:type="dxa"/>
                  <w:tcBorders>
                    <w:top w:val="nil"/>
                    <w:bottom w:val="nil"/>
                  </w:tcBorders>
                  <w:vAlign w:val="center"/>
                </w:tcPr>
                <w:p>
                  <w:pPr>
                    <w:pStyle w:val="Compact"/>
                    <w:spacing w:before="36" w:after="36"/>
                    <w:jc w:val="center"/>
                    <w:rPr/>
                  </w:pPr>
                  <w:r>
                    <w:rPr/>
                    <w:t>[-1.71, -0.68]</w:t>
                  </w:r>
                </w:p>
              </w:tc>
              <w:tc>
                <w:tcPr>
                  <w:tcW w:w="1306" w:type="dxa"/>
                  <w:tcBorders>
                    <w:top w:val="nil"/>
                    <w:bottom w:val="nil"/>
                  </w:tcBorders>
                  <w:vAlign w:val="center"/>
                </w:tcPr>
                <w:p>
                  <w:pPr>
                    <w:pStyle w:val="Compact"/>
                    <w:spacing w:before="36" w:after="36"/>
                    <w:jc w:val="center"/>
                    <w:rPr/>
                  </w:pPr>
                  <w:r>
                    <w:rPr/>
                    <w:t>-0.53*</w:t>
                  </w:r>
                </w:p>
              </w:tc>
              <w:tc>
                <w:tcPr>
                  <w:tcW w:w="1307" w:type="dxa"/>
                  <w:tcBorders>
                    <w:top w:val="nil"/>
                    <w:bottom w:val="nil"/>
                  </w:tcBorders>
                  <w:vAlign w:val="center"/>
                </w:tcPr>
                <w:p>
                  <w:pPr>
                    <w:pStyle w:val="Compact"/>
                    <w:spacing w:before="36" w:after="36"/>
                    <w:jc w:val="center"/>
                    <w:rPr/>
                  </w:pPr>
                  <w:r>
                    <w:rPr/>
                    <w:t>[-0.68, -0.37]</w:t>
                  </w:r>
                </w:p>
              </w:tc>
            </w:tr>
            <w:tr>
              <w:trPr/>
              <w:tc>
                <w:tcPr>
                  <w:tcW w:w="1306" w:type="dxa"/>
                  <w:tcBorders>
                    <w:top w:val="nil"/>
                    <w:bottom w:val="nil"/>
                  </w:tcBorders>
                  <w:vAlign w:val="center"/>
                </w:tcPr>
                <w:p>
                  <w:pPr>
                    <w:pStyle w:val="Compact"/>
                    <w:spacing w:before="36" w:after="36"/>
                    <w:jc w:val="center"/>
                    <w:rPr/>
                  </w:pPr>
                  <w:r>
                    <w:rPr/>
                    <w:t>5</w:t>
                  </w:r>
                </w:p>
              </w:tc>
              <w:tc>
                <w:tcPr>
                  <w:tcW w:w="1306" w:type="dxa"/>
                  <w:tcBorders>
                    <w:top w:val="nil"/>
                    <w:bottom w:val="nil"/>
                  </w:tcBorders>
                  <w:vAlign w:val="center"/>
                </w:tcPr>
                <w:p>
                  <w:pPr>
                    <w:pStyle w:val="Compact"/>
                    <w:spacing w:before="36" w:after="36"/>
                    <w:jc w:val="center"/>
                    <w:rPr/>
                  </w:pPr>
                  <w:r>
                    <w:rPr/>
                    <w:t>52</w:t>
                  </w:r>
                </w:p>
              </w:tc>
              <w:tc>
                <w:tcPr>
                  <w:tcW w:w="1307" w:type="dxa"/>
                  <w:tcBorders>
                    <w:top w:val="nil"/>
                    <w:bottom w:val="nil"/>
                  </w:tcBorders>
                  <w:vAlign w:val="center"/>
                </w:tcPr>
                <w:p>
                  <w:pPr>
                    <w:pStyle w:val="Compact"/>
                    <w:spacing w:before="36" w:after="36"/>
                    <w:jc w:val="center"/>
                    <w:rPr/>
                  </w:pPr>
                  <w:r>
                    <w:rPr/>
                    <w:t>45</w:t>
                  </w:r>
                </w:p>
              </w:tc>
              <w:tc>
                <w:tcPr>
                  <w:tcW w:w="1306" w:type="dxa"/>
                  <w:tcBorders>
                    <w:top w:val="nil"/>
                    <w:bottom w:val="nil"/>
                  </w:tcBorders>
                  <w:vAlign w:val="center"/>
                </w:tcPr>
                <w:p>
                  <w:pPr>
                    <w:pStyle w:val="Compact"/>
                    <w:spacing w:before="36" w:after="36"/>
                    <w:jc w:val="center"/>
                    <w:rPr/>
                  </w:pPr>
                  <w:r>
                    <w:rPr/>
                    <w:t>-1.10*</w:t>
                  </w:r>
                </w:p>
              </w:tc>
              <w:tc>
                <w:tcPr>
                  <w:tcW w:w="1306" w:type="dxa"/>
                  <w:tcBorders>
                    <w:top w:val="nil"/>
                    <w:bottom w:val="nil"/>
                  </w:tcBorders>
                  <w:vAlign w:val="center"/>
                </w:tcPr>
                <w:p>
                  <w:pPr>
                    <w:pStyle w:val="Compact"/>
                    <w:spacing w:before="36" w:after="36"/>
                    <w:jc w:val="center"/>
                    <w:rPr/>
                  </w:pPr>
                  <w:r>
                    <w:rPr/>
                    <w:t>[-1.58, -0.65]</w:t>
                  </w:r>
                </w:p>
              </w:tc>
              <w:tc>
                <w:tcPr>
                  <w:tcW w:w="1306" w:type="dxa"/>
                  <w:tcBorders>
                    <w:top w:val="nil"/>
                    <w:bottom w:val="nil"/>
                  </w:tcBorders>
                  <w:vAlign w:val="center"/>
                </w:tcPr>
                <w:p>
                  <w:pPr>
                    <w:pStyle w:val="Compact"/>
                    <w:spacing w:before="36" w:after="36"/>
                    <w:jc w:val="center"/>
                    <w:rPr/>
                  </w:pPr>
                  <w:r>
                    <w:rPr/>
                    <w:t>-0.42*</w:t>
                  </w:r>
                </w:p>
              </w:tc>
              <w:tc>
                <w:tcPr>
                  <w:tcW w:w="1307" w:type="dxa"/>
                  <w:tcBorders>
                    <w:top w:val="nil"/>
                    <w:bottom w:val="nil"/>
                  </w:tcBorders>
                  <w:vAlign w:val="center"/>
                </w:tcPr>
                <w:p>
                  <w:pPr>
                    <w:pStyle w:val="Compact"/>
                    <w:spacing w:before="36" w:after="36"/>
                    <w:jc w:val="center"/>
                    <w:rPr/>
                  </w:pPr>
                  <w:r>
                    <w:rPr/>
                    <w:t>[-0.56, -0.28]</w:t>
                  </w:r>
                </w:p>
              </w:tc>
            </w:tr>
            <w:tr>
              <w:trPr/>
              <w:tc>
                <w:tcPr>
                  <w:tcW w:w="1306" w:type="dxa"/>
                  <w:tcBorders>
                    <w:top w:val="nil"/>
                    <w:bottom w:val="nil"/>
                  </w:tcBorders>
                  <w:vAlign w:val="center"/>
                </w:tcPr>
                <w:p>
                  <w:pPr>
                    <w:pStyle w:val="Compact"/>
                    <w:spacing w:before="36" w:after="36"/>
                    <w:jc w:val="center"/>
                    <w:rPr/>
                  </w:pPr>
                  <w:r>
                    <w:rPr/>
                    <w:t>50</w:t>
                  </w:r>
                </w:p>
              </w:tc>
              <w:tc>
                <w:tcPr>
                  <w:tcW w:w="1306" w:type="dxa"/>
                  <w:tcBorders>
                    <w:top w:val="nil"/>
                    <w:bottom w:val="nil"/>
                  </w:tcBorders>
                  <w:vAlign w:val="center"/>
                </w:tcPr>
                <w:p>
                  <w:pPr>
                    <w:pStyle w:val="Compact"/>
                    <w:spacing w:before="36" w:after="36"/>
                    <w:jc w:val="center"/>
                    <w:rPr/>
                  </w:pPr>
                  <w:r>
                    <w:rPr/>
                    <w:t>83</w:t>
                  </w:r>
                </w:p>
              </w:tc>
              <w:tc>
                <w:tcPr>
                  <w:tcW w:w="1307" w:type="dxa"/>
                  <w:tcBorders>
                    <w:top w:val="nil"/>
                    <w:bottom w:val="nil"/>
                  </w:tcBorders>
                  <w:vAlign w:val="center"/>
                </w:tcPr>
                <w:p>
                  <w:pPr>
                    <w:pStyle w:val="Compact"/>
                    <w:spacing w:before="36" w:after="36"/>
                    <w:jc w:val="center"/>
                    <w:rPr/>
                  </w:pPr>
                  <w:r>
                    <w:rPr/>
                    <w:t>15</w:t>
                  </w:r>
                </w:p>
              </w:tc>
              <w:tc>
                <w:tcPr>
                  <w:tcW w:w="1306" w:type="dxa"/>
                  <w:tcBorders>
                    <w:top w:val="nil"/>
                    <w:bottom w:val="nil"/>
                  </w:tcBorders>
                  <w:vAlign w:val="center"/>
                </w:tcPr>
                <w:p>
                  <w:pPr>
                    <w:pStyle w:val="Compact"/>
                    <w:spacing w:before="36" w:after="36"/>
                    <w:jc w:val="center"/>
                    <w:rPr/>
                  </w:pPr>
                  <w:r>
                    <w:rPr/>
                    <w:t>-1.90*</w:t>
                  </w:r>
                </w:p>
              </w:tc>
              <w:tc>
                <w:tcPr>
                  <w:tcW w:w="1306" w:type="dxa"/>
                  <w:tcBorders>
                    <w:top w:val="nil"/>
                    <w:bottom w:val="nil"/>
                  </w:tcBorders>
                  <w:vAlign w:val="center"/>
                </w:tcPr>
                <w:p>
                  <w:pPr>
                    <w:pStyle w:val="Compact"/>
                    <w:spacing w:before="36" w:after="36"/>
                    <w:jc w:val="center"/>
                    <w:rPr/>
                  </w:pPr>
                  <w:r>
                    <w:rPr/>
                    <w:t>[-2.29, -1.53]</w:t>
                  </w:r>
                </w:p>
              </w:tc>
              <w:tc>
                <w:tcPr>
                  <w:tcW w:w="1306" w:type="dxa"/>
                  <w:tcBorders>
                    <w:top w:val="nil"/>
                    <w:bottom w:val="nil"/>
                  </w:tcBorders>
                  <w:vAlign w:val="center"/>
                </w:tcPr>
                <w:p>
                  <w:pPr>
                    <w:pStyle w:val="Compact"/>
                    <w:spacing w:before="36" w:after="36"/>
                    <w:jc w:val="center"/>
                    <w:rPr/>
                  </w:pPr>
                  <w:r>
                    <w:rPr/>
                    <w:t>-0.64*</w:t>
                  </w:r>
                </w:p>
              </w:tc>
              <w:tc>
                <w:tcPr>
                  <w:tcW w:w="1307" w:type="dxa"/>
                  <w:tcBorders>
                    <w:top w:val="nil"/>
                    <w:bottom w:val="nil"/>
                  </w:tcBorders>
                  <w:vAlign w:val="center"/>
                </w:tcPr>
                <w:p>
                  <w:pPr>
                    <w:pStyle w:val="Compact"/>
                    <w:spacing w:before="36" w:after="36"/>
                    <w:jc w:val="center"/>
                    <w:rPr/>
                  </w:pPr>
                  <w:r>
                    <w:rPr/>
                    <w:t>[-0.78, -0.47]</w:t>
                  </w:r>
                </w:p>
              </w:tc>
            </w:tr>
            <w:tr>
              <w:trPr/>
              <w:tc>
                <w:tcPr>
                  <w:tcW w:w="1306" w:type="dxa"/>
                  <w:tcBorders>
                    <w:top w:val="nil"/>
                    <w:bottom w:val="nil"/>
                  </w:tcBorders>
                  <w:vAlign w:val="center"/>
                </w:tcPr>
                <w:p>
                  <w:pPr>
                    <w:pStyle w:val="Compact"/>
                    <w:spacing w:before="36" w:after="36"/>
                    <w:jc w:val="center"/>
                    <w:rPr/>
                  </w:pPr>
                  <w:r>
                    <w:rPr/>
                    <w:t>250</w:t>
                  </w:r>
                </w:p>
              </w:tc>
              <w:tc>
                <w:tcPr>
                  <w:tcW w:w="1306" w:type="dxa"/>
                  <w:tcBorders>
                    <w:top w:val="nil"/>
                    <w:bottom w:val="nil"/>
                  </w:tcBorders>
                  <w:vAlign w:val="center"/>
                </w:tcPr>
                <w:p>
                  <w:pPr>
                    <w:pStyle w:val="Compact"/>
                    <w:spacing w:before="36" w:after="36"/>
                    <w:jc w:val="center"/>
                    <w:rPr/>
                  </w:pPr>
                  <w:r>
                    <w:rPr/>
                    <w:t>84</w:t>
                  </w:r>
                </w:p>
              </w:tc>
              <w:tc>
                <w:tcPr>
                  <w:tcW w:w="1307" w:type="dxa"/>
                  <w:tcBorders>
                    <w:top w:val="nil"/>
                    <w:bottom w:val="nil"/>
                  </w:tcBorders>
                  <w:vAlign w:val="center"/>
                </w:tcPr>
                <w:p>
                  <w:pPr>
                    <w:pStyle w:val="Compact"/>
                    <w:spacing w:before="36" w:after="36"/>
                    <w:jc w:val="center"/>
                    <w:rPr/>
                  </w:pPr>
                  <w:r>
                    <w:rPr/>
                    <w:t>14</w:t>
                  </w:r>
                </w:p>
              </w:tc>
              <w:tc>
                <w:tcPr>
                  <w:tcW w:w="1306" w:type="dxa"/>
                  <w:tcBorders>
                    <w:top w:val="nil"/>
                    <w:bottom w:val="nil"/>
                  </w:tcBorders>
                  <w:vAlign w:val="center"/>
                </w:tcPr>
                <w:p>
                  <w:pPr>
                    <w:pStyle w:val="Compact"/>
                    <w:spacing w:before="36" w:after="36"/>
                    <w:jc w:val="center"/>
                    <w:rPr/>
                  </w:pPr>
                  <w:r>
                    <w:rPr/>
                    <w:t>-1.95*</w:t>
                  </w:r>
                </w:p>
              </w:tc>
              <w:tc>
                <w:tcPr>
                  <w:tcW w:w="1306" w:type="dxa"/>
                  <w:tcBorders>
                    <w:top w:val="nil"/>
                    <w:bottom w:val="nil"/>
                  </w:tcBorders>
                  <w:vAlign w:val="center"/>
                </w:tcPr>
                <w:p>
                  <w:pPr>
                    <w:pStyle w:val="Compact"/>
                    <w:spacing w:before="36" w:after="36"/>
                    <w:jc w:val="center"/>
                    <w:rPr/>
                  </w:pPr>
                  <w:r>
                    <w:rPr/>
                    <w:t>[-2.38, -1.48]</w:t>
                  </w:r>
                </w:p>
              </w:tc>
              <w:tc>
                <w:tcPr>
                  <w:tcW w:w="1306" w:type="dxa"/>
                  <w:tcBorders>
                    <w:top w:val="nil"/>
                    <w:bottom w:val="nil"/>
                  </w:tcBorders>
                  <w:vAlign w:val="center"/>
                </w:tcPr>
                <w:p>
                  <w:pPr>
                    <w:pStyle w:val="Compact"/>
                    <w:spacing w:before="36" w:after="36"/>
                    <w:jc w:val="center"/>
                    <w:rPr/>
                  </w:pPr>
                  <w:r>
                    <w:rPr/>
                    <w:t>-0.51*</w:t>
                  </w:r>
                </w:p>
              </w:tc>
              <w:tc>
                <w:tcPr>
                  <w:tcW w:w="1307" w:type="dxa"/>
                  <w:tcBorders>
                    <w:top w:val="nil"/>
                    <w:bottom w:val="nil"/>
                  </w:tcBorders>
                  <w:vAlign w:val="center"/>
                </w:tcPr>
                <w:p>
                  <w:pPr>
                    <w:pStyle w:val="Compact"/>
                    <w:spacing w:before="36" w:after="36"/>
                    <w:jc w:val="center"/>
                    <w:rPr/>
                  </w:pPr>
                  <w:r>
                    <w:rPr/>
                    <w:t>[-0.73, -0.26]</w:t>
                  </w:r>
                </w:p>
              </w:tc>
            </w:tr>
            <w:tr>
              <w:trPr/>
              <w:tc>
                <w:tcPr>
                  <w:tcW w:w="1306" w:type="dxa"/>
                  <w:tcBorders>
                    <w:top w:val="nil"/>
                  </w:tcBorders>
                  <w:vAlign w:val="center"/>
                </w:tcPr>
                <w:p>
                  <w:pPr>
                    <w:pStyle w:val="Compact"/>
                    <w:spacing w:before="36" w:after="36"/>
                    <w:jc w:val="center"/>
                    <w:rPr/>
                  </w:pPr>
                  <w:r>
                    <w:rPr/>
                    <w:t>Pooled</w:t>
                  </w:r>
                </w:p>
              </w:tc>
              <w:tc>
                <w:tcPr>
                  <w:tcW w:w="1306" w:type="dxa"/>
                  <w:tcBorders>
                    <w:top w:val="nil"/>
                  </w:tcBorders>
                  <w:vAlign w:val="center"/>
                </w:tcPr>
                <w:p>
                  <w:pPr>
                    <w:pStyle w:val="Compact"/>
                    <w:spacing w:before="36" w:after="36"/>
                    <w:jc w:val="center"/>
                    <w:rPr/>
                  </w:pPr>
                  <w:r>
                    <w:rPr/>
                    <w:t>257</w:t>
                  </w:r>
                </w:p>
              </w:tc>
              <w:tc>
                <w:tcPr>
                  <w:tcW w:w="1307" w:type="dxa"/>
                  <w:tcBorders>
                    <w:top w:val="nil"/>
                  </w:tcBorders>
                  <w:vAlign w:val="center"/>
                </w:tcPr>
                <w:p>
                  <w:pPr>
                    <w:pStyle w:val="Compact"/>
                    <w:spacing w:before="36" w:after="36"/>
                    <w:jc w:val="center"/>
                    <w:rPr/>
                  </w:pPr>
                  <w:r>
                    <w:rPr/>
                    <w:t>136</w:t>
                  </w:r>
                </w:p>
              </w:tc>
              <w:tc>
                <w:tcPr>
                  <w:tcW w:w="1306" w:type="dxa"/>
                  <w:tcBorders>
                    <w:top w:val="nil"/>
                  </w:tcBorders>
                  <w:vAlign w:val="center"/>
                </w:tcPr>
                <w:p>
                  <w:pPr>
                    <w:pStyle w:val="Compact"/>
                    <w:spacing w:before="36" w:after="36"/>
                    <w:jc w:val="center"/>
                    <w:rPr/>
                  </w:pPr>
                  <w:r>
                    <w:rPr/>
                    <w:t>-1.53*</w:t>
                  </w:r>
                </w:p>
              </w:tc>
              <w:tc>
                <w:tcPr>
                  <w:tcW w:w="1306" w:type="dxa"/>
                  <w:tcBorders>
                    <w:top w:val="nil"/>
                  </w:tcBorders>
                  <w:vAlign w:val="center"/>
                </w:tcPr>
                <w:p>
                  <w:pPr>
                    <w:pStyle w:val="Compact"/>
                    <w:spacing w:before="36" w:after="36"/>
                    <w:jc w:val="center"/>
                    <w:rPr/>
                  </w:pPr>
                  <w:r>
                    <w:rPr/>
                    <w:t>[-1.76, -1.30]</w:t>
                  </w:r>
                </w:p>
              </w:tc>
              <w:tc>
                <w:tcPr>
                  <w:tcW w:w="1306" w:type="dxa"/>
                  <w:tcBorders>
                    <w:top w:val="nil"/>
                  </w:tcBorders>
                  <w:vAlign w:val="center"/>
                </w:tcPr>
                <w:p>
                  <w:pPr>
                    <w:pStyle w:val="Compact"/>
                    <w:spacing w:before="36" w:after="36"/>
                    <w:jc w:val="center"/>
                    <w:rPr/>
                  </w:pPr>
                  <w:r>
                    <w:rPr/>
                    <w:t>-0.53*</w:t>
                  </w:r>
                </w:p>
              </w:tc>
              <w:tc>
                <w:tcPr>
                  <w:tcW w:w="1307" w:type="dxa"/>
                  <w:tcBorders>
                    <w:top w:val="nil"/>
                  </w:tcBorders>
                  <w:vAlign w:val="center"/>
                </w:tcPr>
                <w:p>
                  <w:pPr>
                    <w:pStyle w:val="Compact"/>
                    <w:spacing w:before="36" w:after="36"/>
                    <w:jc w:val="center"/>
                    <w:rPr/>
                  </w:pPr>
                  <w:r>
                    <w:rPr/>
                    <w:t>[-0.61, -0.43]</w:t>
                  </w:r>
                  <w:bookmarkStart w:id="152" w:name="apptbl-bags-contrast"/>
                  <w:bookmarkEnd w:id="152"/>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393</m:t>
        </m:r>
      </m:oMath>
      <w:r>
        <w:rPr/>
        <w:t xml:space="preserve"> sessions across four purchase volume levels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100</m:t>
        </m:r>
      </m:oMath>
      <w:r>
        <w:rPr/>
        <w:t xml:space="preserve"> per volume condition; 7 sessions classified as “other” are excluded). Entries represent the within-volume differences (</w:t>
      </w:r>
      <w:r>
        <w:rPr/>
      </w:r>
      <m:oMath xmlns:m="http://schemas.openxmlformats.org/officeDocument/2006/math">
        <m:r>
          <m:rPr>
            <m:lit/>
            <m:nor/>
          </m:rPr>
          <w:rPr>
            <w:rFonts w:ascii="Cambria Math" w:hAnsi="Cambria Math"/>
          </w:rPr>
          <m:t xml:space="preserve">Price</m:t>
        </m:r>
        <m:r>
          <w:rPr>
            <w:rFonts w:ascii="Cambria Math" w:hAnsi="Cambria Math"/>
          </w:rPr>
          <m:t xml:space="preserve">−</m:t>
        </m:r>
        <m:r>
          <m:rPr>
            <m:lit/>
            <m:nor/>
          </m:rPr>
          <w:rPr>
            <w:rFonts w:ascii="Cambria Math" w:hAnsi="Cambria Math"/>
          </w:rPr>
          <m:t xml:space="preserve">Price-per-weight</m:t>
        </m:r>
      </m:oMath>
      <w:r>
        <w:rPr/>
        <w:t xml:space="preserve">) in diagnostic attribute acquisitions (maximum = 6) and choice optimality probability. Confidence intervals are 95% equal-tailed percentile bootstrap intervals based on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000</m:t>
        </m:r>
      </m:oMath>
      <w:r>
        <w:rPr/>
        <w:t xml:space="preserve"> stratified resamples. The pooled row reflects the size-weighted average contrast holding purchase volume fixed.</w:t>
        <w:br/>
        <w:t>* 95% bootstrap confidence interval strictly excludes zero.</w:t>
      </w:r>
      <w:bookmarkEnd w:id="142"/>
    </w:p>
    <w:p>
      <w:pPr>
        <w:pStyle w:val="Heading2"/>
        <w:rPr/>
      </w:pPr>
      <w:bookmarkStart w:id="153" w:name="study-2---baseline"/>
      <w:r>
        <w:rPr/>
        <w:t>Study 2 - Baseline</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W19: Conditional logit estimates of attribute utility when all attributes are visible (Study 2 Baseline)</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220"/>
              <w:gridCol w:w="990"/>
              <w:gridCol w:w="993"/>
              <w:gridCol w:w="990"/>
              <w:gridCol w:w="987"/>
              <w:gridCol w:w="993"/>
              <w:gridCol w:w="990"/>
              <w:gridCol w:w="987"/>
              <w:gridCol w:w="994"/>
            </w:tblGrid>
            <w:tr>
              <w:trPr>
                <w:tblHeader w:val="true"/>
              </w:trPr>
              <w:tc>
                <w:tcPr>
                  <w:tcW w:w="1220" w:type="dxa"/>
                  <w:tcBorders/>
                  <w:vAlign w:val="center"/>
                </w:tcPr>
                <w:p>
                  <w:pPr>
                    <w:pStyle w:val="Compact"/>
                    <w:spacing w:before="36" w:after="36"/>
                    <w:rPr>
                      <w:b w:val="false"/>
                    </w:rPr>
                  </w:pPr>
                  <w:r>
                    <w:rPr>
                      <w:b w:val="false"/>
                    </w:rPr>
                  </w:r>
                </w:p>
              </w:tc>
              <w:tc>
                <w:tcPr>
                  <w:tcW w:w="990" w:type="dxa"/>
                  <w:tcBorders/>
                  <w:vAlign w:val="center"/>
                </w:tcPr>
                <w:p>
                  <w:pPr>
                    <w:pStyle w:val="Compact"/>
                    <w:spacing w:before="36" w:after="36"/>
                    <w:jc w:val="center"/>
                    <w:rPr>
                      <w:b w:val="false"/>
                    </w:rPr>
                  </w:pPr>
                  <w:r>
                    <w:rPr>
                      <w:b w:val="false"/>
                    </w:rPr>
                    <w:t>Flash Lite</w:t>
                  </w:r>
                </w:p>
              </w:tc>
              <w:tc>
                <w:tcPr>
                  <w:tcW w:w="993" w:type="dxa"/>
                  <w:tcBorders/>
                  <w:vAlign w:val="center"/>
                </w:tcPr>
                <w:p>
                  <w:pPr>
                    <w:pStyle w:val="Compact"/>
                    <w:spacing w:before="36" w:after="36"/>
                    <w:jc w:val="center"/>
                    <w:rPr>
                      <w:b w:val="false"/>
                    </w:rPr>
                  </w:pPr>
                  <w:r>
                    <w:rPr>
                      <w:b w:val="false"/>
                    </w:rPr>
                    <w:t>Flash</w:t>
                  </w:r>
                </w:p>
              </w:tc>
              <w:tc>
                <w:tcPr>
                  <w:tcW w:w="990" w:type="dxa"/>
                  <w:tcBorders/>
                  <w:vAlign w:val="center"/>
                </w:tcPr>
                <w:p>
                  <w:pPr>
                    <w:pStyle w:val="Compact"/>
                    <w:spacing w:before="36" w:after="36"/>
                    <w:jc w:val="center"/>
                    <w:rPr>
                      <w:b w:val="false"/>
                    </w:rPr>
                  </w:pPr>
                  <w:r>
                    <w:rPr>
                      <w:b w:val="false"/>
                    </w:rPr>
                    <w:t>Pro</w:t>
                  </w:r>
                </w:p>
              </w:tc>
              <w:tc>
                <w:tcPr>
                  <w:tcW w:w="987" w:type="dxa"/>
                  <w:tcBorders/>
                  <w:vAlign w:val="center"/>
                </w:tcPr>
                <w:p>
                  <w:pPr>
                    <w:pStyle w:val="Compact"/>
                    <w:spacing w:before="36" w:after="36"/>
                    <w:jc w:val="center"/>
                    <w:rPr>
                      <w:b w:val="false"/>
                    </w:rPr>
                  </w:pPr>
                  <w:r>
                    <w:rPr>
                      <w:b w:val="false"/>
                    </w:rPr>
                    <w:t>Sonnet</w:t>
                  </w:r>
                </w:p>
              </w:tc>
              <w:tc>
                <w:tcPr>
                  <w:tcW w:w="993" w:type="dxa"/>
                  <w:tcBorders/>
                  <w:vAlign w:val="center"/>
                </w:tcPr>
                <w:p>
                  <w:pPr>
                    <w:pStyle w:val="Compact"/>
                    <w:spacing w:before="36" w:after="36"/>
                    <w:jc w:val="center"/>
                    <w:rPr>
                      <w:b w:val="false"/>
                    </w:rPr>
                  </w:pPr>
                  <w:r>
                    <w:rPr>
                      <w:b w:val="false"/>
                    </w:rPr>
                    <w:t>Opus</w:t>
                  </w:r>
                </w:p>
              </w:tc>
              <w:tc>
                <w:tcPr>
                  <w:tcW w:w="990" w:type="dxa"/>
                  <w:tcBorders/>
                  <w:vAlign w:val="center"/>
                </w:tcPr>
                <w:p>
                  <w:pPr>
                    <w:pStyle w:val="Compact"/>
                    <w:spacing w:before="36" w:after="36"/>
                    <w:jc w:val="center"/>
                    <w:rPr>
                      <w:b w:val="false"/>
                    </w:rPr>
                  </w:pPr>
                  <w:r>
                    <w:rPr>
                      <w:b w:val="false"/>
                    </w:rPr>
                    <w:t>Luna</w:t>
                  </w:r>
                </w:p>
              </w:tc>
              <w:tc>
                <w:tcPr>
                  <w:tcW w:w="987" w:type="dxa"/>
                  <w:tcBorders/>
                  <w:vAlign w:val="center"/>
                </w:tcPr>
                <w:p>
                  <w:pPr>
                    <w:pStyle w:val="Compact"/>
                    <w:spacing w:before="36" w:after="36"/>
                    <w:jc w:val="center"/>
                    <w:rPr>
                      <w:b w:val="false"/>
                    </w:rPr>
                  </w:pPr>
                  <w:r>
                    <w:rPr>
                      <w:b w:val="false"/>
                    </w:rPr>
                    <w:t>Terra</w:t>
                  </w:r>
                </w:p>
              </w:tc>
              <w:tc>
                <w:tcPr>
                  <w:tcW w:w="994" w:type="dxa"/>
                  <w:tcBorders/>
                  <w:vAlign w:val="center"/>
                </w:tcPr>
                <w:p>
                  <w:pPr>
                    <w:pStyle w:val="Compact"/>
                    <w:spacing w:before="36" w:after="36"/>
                    <w:jc w:val="center"/>
                    <w:rPr>
                      <w:b w:val="false"/>
                    </w:rPr>
                  </w:pPr>
                  <w:r>
                    <w:rPr>
                      <w:b w:val="false"/>
                    </w:rPr>
                    <w:t>Sol</w:t>
                  </w:r>
                </w:p>
              </w:tc>
            </w:tr>
            <w:tr>
              <w:trPr/>
              <w:tc>
                <w:tcPr>
                  <w:tcW w:w="1220" w:type="dxa"/>
                  <w:tcBorders>
                    <w:top w:val="nil"/>
                    <w:bottom w:val="nil"/>
                  </w:tcBorders>
                  <w:vAlign w:val="center"/>
                </w:tcPr>
                <w:p>
                  <w:pPr>
                    <w:pStyle w:val="Compact"/>
                    <w:spacing w:before="36" w:after="36"/>
                    <w:jc w:val="center"/>
                    <w:rPr/>
                  </w:pPr>
                  <w:r>
                    <w:rPr/>
                    <w:t>Weight (oz)</w:t>
                  </w:r>
                </w:p>
              </w:tc>
              <w:tc>
                <w:tcPr>
                  <w:tcW w:w="990" w:type="dxa"/>
                  <w:tcBorders>
                    <w:top w:val="nil"/>
                    <w:bottom w:val="nil"/>
                  </w:tcBorders>
                  <w:vAlign w:val="center"/>
                </w:tcPr>
                <w:p>
                  <w:pPr>
                    <w:pStyle w:val="Compact"/>
                    <w:spacing w:before="36" w:after="36"/>
                    <w:jc w:val="center"/>
                    <w:rPr/>
                  </w:pPr>
                  <w:r>
                    <w:rPr/>
                    <w:t>0.78*** (0.04)</w:t>
                  </w:r>
                </w:p>
              </w:tc>
              <w:tc>
                <w:tcPr>
                  <w:tcW w:w="993" w:type="dxa"/>
                  <w:tcBorders>
                    <w:top w:val="nil"/>
                    <w:bottom w:val="nil"/>
                  </w:tcBorders>
                  <w:vAlign w:val="center"/>
                </w:tcPr>
                <w:p>
                  <w:pPr>
                    <w:pStyle w:val="Compact"/>
                    <w:spacing w:before="36" w:after="36"/>
                    <w:jc w:val="center"/>
                    <w:rPr/>
                  </w:pPr>
                  <w:r>
                    <w:rPr/>
                    <w:t>1.12*** (0.06)</w:t>
                  </w:r>
                </w:p>
              </w:tc>
              <w:tc>
                <w:tcPr>
                  <w:tcW w:w="990" w:type="dxa"/>
                  <w:tcBorders>
                    <w:top w:val="nil"/>
                    <w:bottom w:val="nil"/>
                  </w:tcBorders>
                  <w:vAlign w:val="center"/>
                </w:tcPr>
                <w:p>
                  <w:pPr>
                    <w:pStyle w:val="Compact"/>
                    <w:spacing w:before="36" w:after="36"/>
                    <w:jc w:val="center"/>
                    <w:rPr/>
                  </w:pPr>
                  <w:r>
                    <w:rPr/>
                    <w:t>1.69*** (0.10)</w:t>
                  </w:r>
                </w:p>
              </w:tc>
              <w:tc>
                <w:tcPr>
                  <w:tcW w:w="987" w:type="dxa"/>
                  <w:tcBorders>
                    <w:top w:val="nil"/>
                    <w:bottom w:val="nil"/>
                  </w:tcBorders>
                  <w:vAlign w:val="center"/>
                </w:tcPr>
                <w:p>
                  <w:pPr>
                    <w:pStyle w:val="Compact"/>
                    <w:spacing w:before="36" w:after="36"/>
                    <w:jc w:val="center"/>
                    <w:rPr/>
                  </w:pPr>
                  <w:r>
                    <w:rPr/>
                    <w:t>1.61*** (0.10)</w:t>
                  </w:r>
                </w:p>
              </w:tc>
              <w:tc>
                <w:tcPr>
                  <w:tcW w:w="993" w:type="dxa"/>
                  <w:tcBorders>
                    <w:top w:val="nil"/>
                    <w:bottom w:val="nil"/>
                  </w:tcBorders>
                  <w:vAlign w:val="center"/>
                </w:tcPr>
                <w:p>
                  <w:pPr>
                    <w:pStyle w:val="Compact"/>
                    <w:spacing w:before="36" w:after="36"/>
                    <w:jc w:val="center"/>
                    <w:rPr/>
                  </w:pPr>
                  <w:r>
                    <w:rPr/>
                    <w:t>0.97*** (0.05)</w:t>
                  </w:r>
                </w:p>
              </w:tc>
              <w:tc>
                <w:tcPr>
                  <w:tcW w:w="990" w:type="dxa"/>
                  <w:tcBorders>
                    <w:top w:val="nil"/>
                    <w:bottom w:val="nil"/>
                  </w:tcBorders>
                  <w:vAlign w:val="center"/>
                </w:tcPr>
                <w:p>
                  <w:pPr>
                    <w:pStyle w:val="Compact"/>
                    <w:spacing w:before="36" w:after="36"/>
                    <w:jc w:val="center"/>
                    <w:rPr/>
                  </w:pPr>
                  <w:r>
                    <w:rPr/>
                    <w:t>1.76*** (0.11)</w:t>
                  </w:r>
                </w:p>
              </w:tc>
              <w:tc>
                <w:tcPr>
                  <w:tcW w:w="987" w:type="dxa"/>
                  <w:tcBorders>
                    <w:top w:val="nil"/>
                    <w:bottom w:val="nil"/>
                  </w:tcBorders>
                  <w:vAlign w:val="center"/>
                </w:tcPr>
                <w:p>
                  <w:pPr>
                    <w:pStyle w:val="Compact"/>
                    <w:spacing w:before="36" w:after="36"/>
                    <w:jc w:val="center"/>
                    <w:rPr/>
                  </w:pPr>
                  <w:r>
                    <w:rPr/>
                    <w:t>1.77*** (0.11)</w:t>
                  </w:r>
                </w:p>
              </w:tc>
              <w:tc>
                <w:tcPr>
                  <w:tcW w:w="994" w:type="dxa"/>
                  <w:tcBorders>
                    <w:top w:val="nil"/>
                    <w:bottom w:val="nil"/>
                  </w:tcBorders>
                  <w:vAlign w:val="center"/>
                </w:tcPr>
                <w:p>
                  <w:pPr>
                    <w:pStyle w:val="Compact"/>
                    <w:spacing w:before="36" w:after="36"/>
                    <w:jc w:val="center"/>
                    <w:rPr/>
                  </w:pPr>
                  <w:r>
                    <w:rPr/>
                    <w:t>1.79*** (0.11)</w:t>
                  </w:r>
                </w:p>
              </w:tc>
            </w:tr>
            <w:tr>
              <w:trPr/>
              <w:tc>
                <w:tcPr>
                  <w:tcW w:w="1220" w:type="dxa"/>
                  <w:tcBorders>
                    <w:top w:val="nil"/>
                    <w:bottom w:val="nil"/>
                  </w:tcBorders>
                  <w:vAlign w:val="center"/>
                </w:tcPr>
                <w:p>
                  <w:pPr>
                    <w:pStyle w:val="Compact"/>
                    <w:spacing w:before="36" w:after="36"/>
                    <w:jc w:val="center"/>
                    <w:rPr/>
                  </w:pPr>
                  <w:r>
                    <w:rPr/>
                    <w:t>List Price ($)</w:t>
                  </w:r>
                </w:p>
              </w:tc>
              <w:tc>
                <w:tcPr>
                  <w:tcW w:w="990" w:type="dxa"/>
                  <w:tcBorders>
                    <w:top w:val="nil"/>
                    <w:bottom w:val="nil"/>
                  </w:tcBorders>
                  <w:vAlign w:val="center"/>
                </w:tcPr>
                <w:p>
                  <w:pPr>
                    <w:pStyle w:val="Compact"/>
                    <w:spacing w:before="36" w:after="36"/>
                    <w:jc w:val="center"/>
                    <w:rPr/>
                  </w:pPr>
                  <w:r>
                    <w:rPr/>
                    <w:t>-1.06*** (0.05)</w:t>
                  </w:r>
                </w:p>
              </w:tc>
              <w:tc>
                <w:tcPr>
                  <w:tcW w:w="993" w:type="dxa"/>
                  <w:tcBorders>
                    <w:top w:val="nil"/>
                    <w:bottom w:val="nil"/>
                  </w:tcBorders>
                  <w:vAlign w:val="center"/>
                </w:tcPr>
                <w:p>
                  <w:pPr>
                    <w:pStyle w:val="Compact"/>
                    <w:spacing w:before="36" w:after="36"/>
                    <w:jc w:val="center"/>
                    <w:rPr/>
                  </w:pPr>
                  <w:r>
                    <w:rPr/>
                    <w:t>-1.86*** (0.10)</w:t>
                  </w:r>
                </w:p>
              </w:tc>
              <w:tc>
                <w:tcPr>
                  <w:tcW w:w="990" w:type="dxa"/>
                  <w:tcBorders>
                    <w:top w:val="nil"/>
                    <w:bottom w:val="nil"/>
                  </w:tcBorders>
                  <w:vAlign w:val="center"/>
                </w:tcPr>
                <w:p>
                  <w:pPr>
                    <w:pStyle w:val="Compact"/>
                    <w:spacing w:before="36" w:after="36"/>
                    <w:jc w:val="center"/>
                    <w:rPr/>
                  </w:pPr>
                  <w:r>
                    <w:rPr/>
                    <w:t>-2.90*** (0.17)</w:t>
                  </w:r>
                </w:p>
              </w:tc>
              <w:tc>
                <w:tcPr>
                  <w:tcW w:w="987" w:type="dxa"/>
                  <w:tcBorders>
                    <w:top w:val="nil"/>
                    <w:bottom w:val="nil"/>
                  </w:tcBorders>
                  <w:vAlign w:val="center"/>
                </w:tcPr>
                <w:p>
                  <w:pPr>
                    <w:pStyle w:val="Compact"/>
                    <w:spacing w:before="36" w:after="36"/>
                    <w:jc w:val="center"/>
                    <w:rPr/>
                  </w:pPr>
                  <w:r>
                    <w:rPr/>
                    <w:t>-2.73*** (0.16)</w:t>
                  </w:r>
                </w:p>
              </w:tc>
              <w:tc>
                <w:tcPr>
                  <w:tcW w:w="993" w:type="dxa"/>
                  <w:tcBorders>
                    <w:top w:val="nil"/>
                    <w:bottom w:val="nil"/>
                  </w:tcBorders>
                  <w:vAlign w:val="center"/>
                </w:tcPr>
                <w:p>
                  <w:pPr>
                    <w:pStyle w:val="Compact"/>
                    <w:spacing w:before="36" w:after="36"/>
                    <w:jc w:val="center"/>
                    <w:rPr/>
                  </w:pPr>
                  <w:r>
                    <w:rPr/>
                    <w:t>-1.51*** (0.08)</w:t>
                  </w:r>
                </w:p>
              </w:tc>
              <w:tc>
                <w:tcPr>
                  <w:tcW w:w="990" w:type="dxa"/>
                  <w:tcBorders>
                    <w:top w:val="nil"/>
                    <w:bottom w:val="nil"/>
                  </w:tcBorders>
                  <w:vAlign w:val="center"/>
                </w:tcPr>
                <w:p>
                  <w:pPr>
                    <w:pStyle w:val="Compact"/>
                    <w:spacing w:before="36" w:after="36"/>
                    <w:jc w:val="center"/>
                    <w:rPr/>
                  </w:pPr>
                  <w:r>
                    <w:rPr/>
                    <w:t>-3.03*** (0.18)</w:t>
                  </w:r>
                </w:p>
              </w:tc>
              <w:tc>
                <w:tcPr>
                  <w:tcW w:w="987" w:type="dxa"/>
                  <w:tcBorders>
                    <w:top w:val="nil"/>
                    <w:bottom w:val="nil"/>
                  </w:tcBorders>
                  <w:vAlign w:val="center"/>
                </w:tcPr>
                <w:p>
                  <w:pPr>
                    <w:pStyle w:val="Compact"/>
                    <w:spacing w:before="36" w:after="36"/>
                    <w:jc w:val="center"/>
                    <w:rPr/>
                  </w:pPr>
                  <w:r>
                    <w:rPr/>
                    <w:t>-3.04*** (0.18)</w:t>
                  </w:r>
                </w:p>
              </w:tc>
              <w:tc>
                <w:tcPr>
                  <w:tcW w:w="994" w:type="dxa"/>
                  <w:tcBorders>
                    <w:top w:val="nil"/>
                    <w:bottom w:val="nil"/>
                  </w:tcBorders>
                  <w:vAlign w:val="center"/>
                </w:tcPr>
                <w:p>
                  <w:pPr>
                    <w:pStyle w:val="Compact"/>
                    <w:spacing w:before="36" w:after="36"/>
                    <w:jc w:val="center"/>
                    <w:rPr/>
                  </w:pPr>
                  <w:r>
                    <w:rPr/>
                    <w:t>-3.08*** (0.19)</w:t>
                  </w:r>
                </w:p>
              </w:tc>
            </w:tr>
            <w:tr>
              <w:trPr/>
              <w:tc>
                <w:tcPr>
                  <w:tcW w:w="1220" w:type="dxa"/>
                  <w:tcBorders>
                    <w:top w:val="nil"/>
                    <w:bottom w:val="nil"/>
                  </w:tcBorders>
                  <w:vAlign w:val="center"/>
                </w:tcPr>
                <w:p>
                  <w:pPr>
                    <w:pStyle w:val="Compact"/>
                    <w:spacing w:before="36" w:after="36"/>
                    <w:jc w:val="center"/>
                    <w:rPr/>
                  </w:pPr>
                  <w:r>
                    <w:rPr/>
                    <w:t>Discount Amount ($)</w:t>
                  </w:r>
                </w:p>
              </w:tc>
              <w:tc>
                <w:tcPr>
                  <w:tcW w:w="990" w:type="dxa"/>
                  <w:tcBorders>
                    <w:top w:val="nil"/>
                    <w:bottom w:val="nil"/>
                  </w:tcBorders>
                  <w:vAlign w:val="center"/>
                </w:tcPr>
                <w:p>
                  <w:pPr>
                    <w:pStyle w:val="Compact"/>
                    <w:spacing w:before="36" w:after="36"/>
                    <w:jc w:val="center"/>
                    <w:rPr/>
                  </w:pPr>
                  <w:r>
                    <w:rPr/>
                    <w:t>0.76*** (0.05)</w:t>
                  </w:r>
                </w:p>
              </w:tc>
              <w:tc>
                <w:tcPr>
                  <w:tcW w:w="993" w:type="dxa"/>
                  <w:tcBorders>
                    <w:top w:val="nil"/>
                    <w:bottom w:val="nil"/>
                  </w:tcBorders>
                  <w:vAlign w:val="center"/>
                </w:tcPr>
                <w:p>
                  <w:pPr>
                    <w:pStyle w:val="Compact"/>
                    <w:spacing w:before="36" w:after="36"/>
                    <w:jc w:val="center"/>
                    <w:rPr/>
                  </w:pPr>
                  <w:r>
                    <w:rPr/>
                    <w:t>1.91*** (0.10)</w:t>
                  </w:r>
                </w:p>
              </w:tc>
              <w:tc>
                <w:tcPr>
                  <w:tcW w:w="990" w:type="dxa"/>
                  <w:tcBorders>
                    <w:top w:val="nil"/>
                    <w:bottom w:val="nil"/>
                  </w:tcBorders>
                  <w:vAlign w:val="center"/>
                </w:tcPr>
                <w:p>
                  <w:pPr>
                    <w:pStyle w:val="Compact"/>
                    <w:spacing w:before="36" w:after="36"/>
                    <w:jc w:val="center"/>
                    <w:rPr/>
                  </w:pPr>
                  <w:r>
                    <w:rPr/>
                    <w:t>2.91*** (0.17)</w:t>
                  </w:r>
                </w:p>
              </w:tc>
              <w:tc>
                <w:tcPr>
                  <w:tcW w:w="987" w:type="dxa"/>
                  <w:tcBorders>
                    <w:top w:val="nil"/>
                    <w:bottom w:val="nil"/>
                  </w:tcBorders>
                  <w:vAlign w:val="center"/>
                </w:tcPr>
                <w:p>
                  <w:pPr>
                    <w:pStyle w:val="Compact"/>
                    <w:spacing w:before="36" w:after="36"/>
                    <w:jc w:val="center"/>
                    <w:rPr/>
                  </w:pPr>
                  <w:r>
                    <w:rPr/>
                    <w:t>2.75*** (0.16)</w:t>
                  </w:r>
                </w:p>
              </w:tc>
              <w:tc>
                <w:tcPr>
                  <w:tcW w:w="993" w:type="dxa"/>
                  <w:tcBorders>
                    <w:top w:val="nil"/>
                    <w:bottom w:val="nil"/>
                  </w:tcBorders>
                  <w:vAlign w:val="center"/>
                </w:tcPr>
                <w:p>
                  <w:pPr>
                    <w:pStyle w:val="Compact"/>
                    <w:spacing w:before="36" w:after="36"/>
                    <w:jc w:val="center"/>
                    <w:rPr/>
                  </w:pPr>
                  <w:r>
                    <w:rPr/>
                    <w:t>1.74*** (0.09)</w:t>
                  </w:r>
                </w:p>
              </w:tc>
              <w:tc>
                <w:tcPr>
                  <w:tcW w:w="990" w:type="dxa"/>
                  <w:tcBorders>
                    <w:top w:val="nil"/>
                    <w:bottom w:val="nil"/>
                  </w:tcBorders>
                  <w:vAlign w:val="center"/>
                </w:tcPr>
                <w:p>
                  <w:pPr>
                    <w:pStyle w:val="Compact"/>
                    <w:spacing w:before="36" w:after="36"/>
                    <w:jc w:val="center"/>
                    <w:rPr/>
                  </w:pPr>
                  <w:r>
                    <w:rPr/>
                    <w:t>3.01*** (0.18)</w:t>
                  </w:r>
                </w:p>
              </w:tc>
              <w:tc>
                <w:tcPr>
                  <w:tcW w:w="987" w:type="dxa"/>
                  <w:tcBorders>
                    <w:top w:val="nil"/>
                    <w:bottom w:val="nil"/>
                  </w:tcBorders>
                  <w:vAlign w:val="center"/>
                </w:tcPr>
                <w:p>
                  <w:pPr>
                    <w:pStyle w:val="Compact"/>
                    <w:spacing w:before="36" w:after="36"/>
                    <w:jc w:val="center"/>
                    <w:rPr/>
                  </w:pPr>
                  <w:r>
                    <w:rPr/>
                    <w:t>3.05*** (0.18)</w:t>
                  </w:r>
                </w:p>
              </w:tc>
              <w:tc>
                <w:tcPr>
                  <w:tcW w:w="994" w:type="dxa"/>
                  <w:tcBorders>
                    <w:top w:val="nil"/>
                    <w:bottom w:val="nil"/>
                  </w:tcBorders>
                  <w:vAlign w:val="center"/>
                </w:tcPr>
                <w:p>
                  <w:pPr>
                    <w:pStyle w:val="Compact"/>
                    <w:spacing w:before="36" w:after="36"/>
                    <w:jc w:val="center"/>
                    <w:rPr/>
                  </w:pPr>
                  <w:r>
                    <w:rPr/>
                    <w:t>3.08*** (0.19)</w:t>
                  </w:r>
                </w:p>
              </w:tc>
            </w:tr>
            <w:tr>
              <w:trPr/>
              <w:tc>
                <w:tcPr>
                  <w:tcW w:w="1220" w:type="dxa"/>
                  <w:tcBorders>
                    <w:top w:val="nil"/>
                    <w:bottom w:val="nil"/>
                  </w:tcBorders>
                  <w:vAlign w:val="center"/>
                </w:tcPr>
                <w:p>
                  <w:pPr>
                    <w:pStyle w:val="Compact"/>
                    <w:spacing w:before="36" w:after="36"/>
                    <w:jc w:val="center"/>
                    <w:rPr/>
                  </w:pPr>
                  <w:r>
                    <w:rPr/>
                    <w:t>Brand (Maxwell House)</w:t>
                  </w:r>
                </w:p>
              </w:tc>
              <w:tc>
                <w:tcPr>
                  <w:tcW w:w="990" w:type="dxa"/>
                  <w:tcBorders>
                    <w:top w:val="nil"/>
                    <w:bottom w:val="nil"/>
                  </w:tcBorders>
                  <w:vAlign w:val="center"/>
                </w:tcPr>
                <w:p>
                  <w:pPr>
                    <w:pStyle w:val="Compact"/>
                    <w:spacing w:before="36" w:after="36"/>
                    <w:jc w:val="center"/>
                    <w:rPr/>
                  </w:pPr>
                  <w:r>
                    <w:rPr/>
                    <w:t>0.17 (0.14)</w:t>
                  </w:r>
                </w:p>
              </w:tc>
              <w:tc>
                <w:tcPr>
                  <w:tcW w:w="993" w:type="dxa"/>
                  <w:tcBorders>
                    <w:top w:val="nil"/>
                    <w:bottom w:val="nil"/>
                  </w:tcBorders>
                  <w:vAlign w:val="center"/>
                </w:tcPr>
                <w:p>
                  <w:pPr>
                    <w:pStyle w:val="Compact"/>
                    <w:spacing w:before="36" w:after="36"/>
                    <w:jc w:val="center"/>
                    <w:rPr/>
                  </w:pPr>
                  <w:r>
                    <w:rPr/>
                    <w:t>-0.07 (0.18)</w:t>
                  </w:r>
                </w:p>
              </w:tc>
              <w:tc>
                <w:tcPr>
                  <w:tcW w:w="990" w:type="dxa"/>
                  <w:tcBorders>
                    <w:top w:val="nil"/>
                    <w:bottom w:val="nil"/>
                  </w:tcBorders>
                  <w:vAlign w:val="center"/>
                </w:tcPr>
                <w:p>
                  <w:pPr>
                    <w:pStyle w:val="Compact"/>
                    <w:spacing w:before="36" w:after="36"/>
                    <w:jc w:val="center"/>
                    <w:rPr/>
                  </w:pPr>
                  <w:r>
                    <w:rPr/>
                    <w:t>-0.16 (0.18)</w:t>
                  </w:r>
                </w:p>
              </w:tc>
              <w:tc>
                <w:tcPr>
                  <w:tcW w:w="987" w:type="dxa"/>
                  <w:tcBorders>
                    <w:top w:val="nil"/>
                    <w:bottom w:val="nil"/>
                  </w:tcBorders>
                  <w:vAlign w:val="center"/>
                </w:tcPr>
                <w:p>
                  <w:pPr>
                    <w:pStyle w:val="Compact"/>
                    <w:spacing w:before="36" w:after="36"/>
                    <w:jc w:val="center"/>
                    <w:rPr/>
                  </w:pPr>
                  <w:r>
                    <w:rPr/>
                    <w:t>-0.18 (0.18)</w:t>
                  </w:r>
                </w:p>
              </w:tc>
              <w:tc>
                <w:tcPr>
                  <w:tcW w:w="993" w:type="dxa"/>
                  <w:tcBorders>
                    <w:top w:val="nil"/>
                    <w:bottom w:val="nil"/>
                  </w:tcBorders>
                  <w:vAlign w:val="center"/>
                </w:tcPr>
                <w:p>
                  <w:pPr>
                    <w:pStyle w:val="Compact"/>
                    <w:spacing w:before="36" w:after="36"/>
                    <w:jc w:val="center"/>
                    <w:rPr/>
                  </w:pPr>
                  <w:r>
                    <w:rPr/>
                    <w:t>-0.70*** (0.18)</w:t>
                  </w:r>
                </w:p>
              </w:tc>
              <w:tc>
                <w:tcPr>
                  <w:tcW w:w="990" w:type="dxa"/>
                  <w:tcBorders>
                    <w:top w:val="nil"/>
                    <w:bottom w:val="nil"/>
                  </w:tcBorders>
                  <w:vAlign w:val="center"/>
                </w:tcPr>
                <w:p>
                  <w:pPr>
                    <w:pStyle w:val="Compact"/>
                    <w:spacing w:before="36" w:after="36"/>
                    <w:jc w:val="center"/>
                    <w:rPr/>
                  </w:pPr>
                  <w:r>
                    <w:rPr/>
                    <w:t>-0.11 (0.18)</w:t>
                  </w:r>
                </w:p>
              </w:tc>
              <w:tc>
                <w:tcPr>
                  <w:tcW w:w="987" w:type="dxa"/>
                  <w:tcBorders>
                    <w:top w:val="nil"/>
                    <w:bottom w:val="nil"/>
                  </w:tcBorders>
                  <w:vAlign w:val="center"/>
                </w:tcPr>
                <w:p>
                  <w:pPr>
                    <w:pStyle w:val="Compact"/>
                    <w:spacing w:before="36" w:after="36"/>
                    <w:jc w:val="center"/>
                    <w:rPr/>
                  </w:pPr>
                  <w:r>
                    <w:rPr/>
                    <w:t>-0.17 (0.18)</w:t>
                  </w:r>
                </w:p>
              </w:tc>
              <w:tc>
                <w:tcPr>
                  <w:tcW w:w="994" w:type="dxa"/>
                  <w:tcBorders>
                    <w:top w:val="nil"/>
                    <w:bottom w:val="nil"/>
                  </w:tcBorders>
                  <w:vAlign w:val="center"/>
                </w:tcPr>
                <w:p>
                  <w:pPr>
                    <w:pStyle w:val="Compact"/>
                    <w:spacing w:before="36" w:after="36"/>
                    <w:jc w:val="center"/>
                    <w:rPr/>
                  </w:pPr>
                  <w:r>
                    <w:rPr/>
                    <w:t>-0.14 (0.18)</w:t>
                  </w:r>
                </w:p>
              </w:tc>
            </w:tr>
            <w:tr>
              <w:trPr/>
              <w:tc>
                <w:tcPr>
                  <w:tcW w:w="1220" w:type="dxa"/>
                  <w:tcBorders>
                    <w:top w:val="nil"/>
                    <w:bottom w:val="nil"/>
                  </w:tcBorders>
                  <w:vAlign w:val="center"/>
                </w:tcPr>
                <w:p>
                  <w:pPr>
                    <w:pStyle w:val="Compact"/>
                    <w:spacing w:before="36" w:after="36"/>
                    <w:jc w:val="center"/>
                    <w:rPr/>
                  </w:pPr>
                  <w:r>
                    <w:rPr/>
                    <w:t>Brand (McCafé)</w:t>
                  </w:r>
                </w:p>
              </w:tc>
              <w:tc>
                <w:tcPr>
                  <w:tcW w:w="990" w:type="dxa"/>
                  <w:tcBorders>
                    <w:top w:val="nil"/>
                    <w:bottom w:val="nil"/>
                  </w:tcBorders>
                  <w:vAlign w:val="center"/>
                </w:tcPr>
                <w:p>
                  <w:pPr>
                    <w:pStyle w:val="Compact"/>
                    <w:spacing w:before="36" w:after="36"/>
                    <w:jc w:val="center"/>
                    <w:rPr/>
                  </w:pPr>
                  <w:r>
                    <w:rPr/>
                    <w:t>0.41** (0.13)</w:t>
                  </w:r>
                </w:p>
              </w:tc>
              <w:tc>
                <w:tcPr>
                  <w:tcW w:w="993" w:type="dxa"/>
                  <w:tcBorders>
                    <w:top w:val="nil"/>
                    <w:bottom w:val="nil"/>
                  </w:tcBorders>
                  <w:vAlign w:val="center"/>
                </w:tcPr>
                <w:p>
                  <w:pPr>
                    <w:pStyle w:val="Compact"/>
                    <w:spacing w:before="36" w:after="36"/>
                    <w:jc w:val="center"/>
                    <w:rPr/>
                  </w:pPr>
                  <w:r>
                    <w:rPr/>
                    <w:t>0.69*** (0.17)</w:t>
                  </w:r>
                </w:p>
              </w:tc>
              <w:tc>
                <w:tcPr>
                  <w:tcW w:w="990" w:type="dxa"/>
                  <w:tcBorders>
                    <w:top w:val="nil"/>
                    <w:bottom w:val="nil"/>
                  </w:tcBorders>
                  <w:vAlign w:val="center"/>
                </w:tcPr>
                <w:p>
                  <w:pPr>
                    <w:pStyle w:val="Compact"/>
                    <w:spacing w:before="36" w:after="36"/>
                    <w:jc w:val="center"/>
                    <w:rPr/>
                  </w:pPr>
                  <w:r>
                    <w:rPr/>
                    <w:t>-0.02 (0.18)</w:t>
                  </w:r>
                </w:p>
              </w:tc>
              <w:tc>
                <w:tcPr>
                  <w:tcW w:w="987" w:type="dxa"/>
                  <w:tcBorders>
                    <w:top w:val="nil"/>
                    <w:bottom w:val="nil"/>
                  </w:tcBorders>
                  <w:vAlign w:val="center"/>
                </w:tcPr>
                <w:p>
                  <w:pPr>
                    <w:pStyle w:val="Compact"/>
                    <w:spacing w:before="36" w:after="36"/>
                    <w:jc w:val="center"/>
                    <w:rPr/>
                  </w:pPr>
                  <w:r>
                    <w:rPr/>
                    <w:t>-0.03 (0.17)</w:t>
                  </w:r>
                </w:p>
              </w:tc>
              <w:tc>
                <w:tcPr>
                  <w:tcW w:w="993" w:type="dxa"/>
                  <w:tcBorders>
                    <w:top w:val="nil"/>
                    <w:bottom w:val="nil"/>
                  </w:tcBorders>
                  <w:vAlign w:val="center"/>
                </w:tcPr>
                <w:p>
                  <w:pPr>
                    <w:pStyle w:val="Compact"/>
                    <w:spacing w:before="36" w:after="36"/>
                    <w:jc w:val="center"/>
                    <w:rPr/>
                  </w:pPr>
                  <w:r>
                    <w:rPr/>
                    <w:t>1.25*** (0.16)</w:t>
                  </w:r>
                </w:p>
              </w:tc>
              <w:tc>
                <w:tcPr>
                  <w:tcW w:w="990" w:type="dxa"/>
                  <w:tcBorders>
                    <w:top w:val="nil"/>
                    <w:bottom w:val="nil"/>
                  </w:tcBorders>
                  <w:vAlign w:val="center"/>
                </w:tcPr>
                <w:p>
                  <w:pPr>
                    <w:pStyle w:val="Compact"/>
                    <w:spacing w:before="36" w:after="36"/>
                    <w:jc w:val="center"/>
                    <w:rPr/>
                  </w:pPr>
                  <w:r>
                    <w:rPr/>
                    <w:t>-0.05 (0.18)</w:t>
                  </w:r>
                </w:p>
              </w:tc>
              <w:tc>
                <w:tcPr>
                  <w:tcW w:w="987" w:type="dxa"/>
                  <w:tcBorders>
                    <w:top w:val="nil"/>
                    <w:bottom w:val="nil"/>
                  </w:tcBorders>
                  <w:vAlign w:val="center"/>
                </w:tcPr>
                <w:p>
                  <w:pPr>
                    <w:pStyle w:val="Compact"/>
                    <w:spacing w:before="36" w:after="36"/>
                    <w:jc w:val="center"/>
                    <w:rPr/>
                  </w:pPr>
                  <w:r>
                    <w:rPr/>
                    <w:t>-0.08 (0.18)</w:t>
                  </w:r>
                </w:p>
              </w:tc>
              <w:tc>
                <w:tcPr>
                  <w:tcW w:w="994" w:type="dxa"/>
                  <w:tcBorders>
                    <w:top w:val="nil"/>
                    <w:bottom w:val="nil"/>
                  </w:tcBorders>
                  <w:vAlign w:val="center"/>
                </w:tcPr>
                <w:p>
                  <w:pPr>
                    <w:pStyle w:val="Compact"/>
                    <w:spacing w:before="36" w:after="36"/>
                    <w:jc w:val="center"/>
                    <w:rPr/>
                  </w:pPr>
                  <w:r>
                    <w:rPr/>
                    <w:t>-0.09 (0.18)</w:t>
                  </w:r>
                </w:p>
              </w:tc>
            </w:tr>
            <w:tr>
              <w:trPr/>
              <w:tc>
                <w:tcPr>
                  <w:tcW w:w="1220" w:type="dxa"/>
                  <w:tcBorders>
                    <w:top w:val="nil"/>
                    <w:bottom w:val="nil"/>
                  </w:tcBorders>
                  <w:vAlign w:val="center"/>
                </w:tcPr>
                <w:p>
                  <w:pPr>
                    <w:pStyle w:val="Compact"/>
                    <w:spacing w:before="36" w:after="36"/>
                    <w:jc w:val="center"/>
                    <w:rPr/>
                  </w:pPr>
                  <w:r>
                    <w:rPr/>
                    <w:t>Brand (Starbucks)</w:t>
                  </w:r>
                </w:p>
              </w:tc>
              <w:tc>
                <w:tcPr>
                  <w:tcW w:w="990" w:type="dxa"/>
                  <w:tcBorders>
                    <w:top w:val="nil"/>
                    <w:bottom w:val="nil"/>
                  </w:tcBorders>
                  <w:vAlign w:val="center"/>
                </w:tcPr>
                <w:p>
                  <w:pPr>
                    <w:pStyle w:val="Compact"/>
                    <w:spacing w:before="36" w:after="36"/>
                    <w:jc w:val="center"/>
                    <w:rPr/>
                  </w:pPr>
                  <w:r>
                    <w:rPr/>
                    <w:t>0.96*** (0.13)</w:t>
                  </w:r>
                </w:p>
              </w:tc>
              <w:tc>
                <w:tcPr>
                  <w:tcW w:w="993" w:type="dxa"/>
                  <w:tcBorders>
                    <w:top w:val="nil"/>
                    <w:bottom w:val="nil"/>
                  </w:tcBorders>
                  <w:vAlign w:val="center"/>
                </w:tcPr>
                <w:p>
                  <w:pPr>
                    <w:pStyle w:val="Compact"/>
                    <w:spacing w:before="36" w:after="36"/>
                    <w:jc w:val="center"/>
                    <w:rPr/>
                  </w:pPr>
                  <w:r>
                    <w:rPr/>
                    <w:t>2.99*** (0.21)</w:t>
                  </w:r>
                </w:p>
              </w:tc>
              <w:tc>
                <w:tcPr>
                  <w:tcW w:w="990" w:type="dxa"/>
                  <w:tcBorders>
                    <w:top w:val="nil"/>
                    <w:bottom w:val="nil"/>
                  </w:tcBorders>
                  <w:vAlign w:val="center"/>
                </w:tcPr>
                <w:p>
                  <w:pPr>
                    <w:pStyle w:val="Compact"/>
                    <w:spacing w:before="36" w:after="36"/>
                    <w:jc w:val="center"/>
                    <w:rPr/>
                  </w:pPr>
                  <w:r>
                    <w:rPr/>
                    <w:t>0.42* (0.18)</w:t>
                  </w:r>
                </w:p>
              </w:tc>
              <w:tc>
                <w:tcPr>
                  <w:tcW w:w="987" w:type="dxa"/>
                  <w:tcBorders>
                    <w:top w:val="nil"/>
                    <w:bottom w:val="nil"/>
                  </w:tcBorders>
                  <w:vAlign w:val="center"/>
                </w:tcPr>
                <w:p>
                  <w:pPr>
                    <w:pStyle w:val="Compact"/>
                    <w:spacing w:before="36" w:after="36"/>
                    <w:jc w:val="center"/>
                    <w:rPr/>
                  </w:pPr>
                  <w:r>
                    <w:rPr/>
                    <w:t>0.13 (0.17)</w:t>
                  </w:r>
                </w:p>
              </w:tc>
              <w:tc>
                <w:tcPr>
                  <w:tcW w:w="993" w:type="dxa"/>
                  <w:tcBorders>
                    <w:top w:val="nil"/>
                    <w:bottom w:val="nil"/>
                  </w:tcBorders>
                  <w:vAlign w:val="center"/>
                </w:tcPr>
                <w:p>
                  <w:pPr>
                    <w:pStyle w:val="Compact"/>
                    <w:spacing w:before="36" w:after="36"/>
                    <w:jc w:val="center"/>
                    <w:rPr/>
                  </w:pPr>
                  <w:r>
                    <w:rPr/>
                    <w:t>2.91*** (0.19)</w:t>
                  </w:r>
                </w:p>
              </w:tc>
              <w:tc>
                <w:tcPr>
                  <w:tcW w:w="990" w:type="dxa"/>
                  <w:tcBorders>
                    <w:top w:val="nil"/>
                    <w:bottom w:val="nil"/>
                  </w:tcBorders>
                  <w:vAlign w:val="center"/>
                </w:tcPr>
                <w:p>
                  <w:pPr>
                    <w:pStyle w:val="Compact"/>
                    <w:spacing w:before="36" w:after="36"/>
                    <w:jc w:val="center"/>
                    <w:rPr/>
                  </w:pPr>
                  <w:r>
                    <w:rPr/>
                    <w:t>0.17 (0.18)</w:t>
                  </w:r>
                </w:p>
              </w:tc>
              <w:tc>
                <w:tcPr>
                  <w:tcW w:w="987" w:type="dxa"/>
                  <w:tcBorders>
                    <w:top w:val="nil"/>
                    <w:bottom w:val="nil"/>
                  </w:tcBorders>
                  <w:vAlign w:val="center"/>
                </w:tcPr>
                <w:p>
                  <w:pPr>
                    <w:pStyle w:val="Compact"/>
                    <w:spacing w:before="36" w:after="36"/>
                    <w:jc w:val="center"/>
                    <w:rPr/>
                  </w:pPr>
                  <w:r>
                    <w:rPr/>
                    <w:t>0.16 (0.18)</w:t>
                  </w:r>
                </w:p>
              </w:tc>
              <w:tc>
                <w:tcPr>
                  <w:tcW w:w="994" w:type="dxa"/>
                  <w:tcBorders>
                    <w:top w:val="nil"/>
                    <w:bottom w:val="nil"/>
                  </w:tcBorders>
                  <w:vAlign w:val="center"/>
                </w:tcPr>
                <w:p>
                  <w:pPr>
                    <w:pStyle w:val="Compact"/>
                    <w:spacing w:before="36" w:after="36"/>
                    <w:jc w:val="center"/>
                    <w:rPr/>
                  </w:pPr>
                  <w:r>
                    <w:rPr/>
                    <w:t>0.13 (0.18)</w:t>
                  </w:r>
                </w:p>
              </w:tc>
            </w:tr>
            <w:tr>
              <w:trPr/>
              <w:tc>
                <w:tcPr>
                  <w:tcW w:w="1220" w:type="dxa"/>
                  <w:tcBorders>
                    <w:top w:val="nil"/>
                    <w:bottom w:val="nil"/>
                  </w:tcBorders>
                  <w:vAlign w:val="center"/>
                </w:tcPr>
                <w:p>
                  <w:pPr>
                    <w:pStyle w:val="Compact"/>
                    <w:spacing w:before="36" w:after="36"/>
                    <w:jc w:val="center"/>
                    <w:rPr/>
                  </w:pPr>
                  <w:r>
                    <w:rPr/>
                    <w:t>Position (2)</w:t>
                  </w:r>
                </w:p>
              </w:tc>
              <w:tc>
                <w:tcPr>
                  <w:tcW w:w="990" w:type="dxa"/>
                  <w:tcBorders>
                    <w:top w:val="nil"/>
                    <w:bottom w:val="nil"/>
                  </w:tcBorders>
                  <w:vAlign w:val="center"/>
                </w:tcPr>
                <w:p>
                  <w:pPr>
                    <w:pStyle w:val="Compact"/>
                    <w:spacing w:before="36" w:after="36"/>
                    <w:jc w:val="center"/>
                    <w:rPr/>
                  </w:pPr>
                  <w:r>
                    <w:rPr/>
                    <w:t>-0.93*** (0.12)</w:t>
                  </w:r>
                </w:p>
              </w:tc>
              <w:tc>
                <w:tcPr>
                  <w:tcW w:w="993" w:type="dxa"/>
                  <w:tcBorders>
                    <w:top w:val="nil"/>
                    <w:bottom w:val="nil"/>
                  </w:tcBorders>
                  <w:vAlign w:val="center"/>
                </w:tcPr>
                <w:p>
                  <w:pPr>
                    <w:pStyle w:val="Compact"/>
                    <w:spacing w:before="36" w:after="36"/>
                    <w:jc w:val="center"/>
                    <w:rPr/>
                  </w:pPr>
                  <w:r>
                    <w:rPr/>
                    <w:t>-0.17 (0.16)</w:t>
                  </w:r>
                </w:p>
              </w:tc>
              <w:tc>
                <w:tcPr>
                  <w:tcW w:w="990" w:type="dxa"/>
                  <w:tcBorders>
                    <w:top w:val="nil"/>
                    <w:bottom w:val="nil"/>
                  </w:tcBorders>
                  <w:vAlign w:val="center"/>
                </w:tcPr>
                <w:p>
                  <w:pPr>
                    <w:pStyle w:val="Compact"/>
                    <w:spacing w:before="36" w:after="36"/>
                    <w:jc w:val="center"/>
                    <w:rPr/>
                  </w:pPr>
                  <w:r>
                    <w:rPr/>
                    <w:t>-0.29 (0.18)</w:t>
                  </w:r>
                </w:p>
              </w:tc>
              <w:tc>
                <w:tcPr>
                  <w:tcW w:w="987" w:type="dxa"/>
                  <w:tcBorders>
                    <w:top w:val="nil"/>
                    <w:bottom w:val="nil"/>
                  </w:tcBorders>
                  <w:vAlign w:val="center"/>
                </w:tcPr>
                <w:p>
                  <w:pPr>
                    <w:pStyle w:val="Compact"/>
                    <w:spacing w:before="36" w:after="36"/>
                    <w:jc w:val="center"/>
                    <w:rPr/>
                  </w:pPr>
                  <w:r>
                    <w:rPr/>
                    <w:t>-0.20 (0.17)</w:t>
                  </w:r>
                </w:p>
              </w:tc>
              <w:tc>
                <w:tcPr>
                  <w:tcW w:w="993" w:type="dxa"/>
                  <w:tcBorders>
                    <w:top w:val="nil"/>
                    <w:bottom w:val="nil"/>
                  </w:tcBorders>
                  <w:vAlign w:val="center"/>
                </w:tcPr>
                <w:p>
                  <w:pPr>
                    <w:pStyle w:val="Compact"/>
                    <w:spacing w:before="36" w:after="36"/>
                    <w:jc w:val="center"/>
                    <w:rPr/>
                  </w:pPr>
                  <w:r>
                    <w:rPr/>
                    <w:t>0.11 (0.15)</w:t>
                  </w:r>
                </w:p>
              </w:tc>
              <w:tc>
                <w:tcPr>
                  <w:tcW w:w="990" w:type="dxa"/>
                  <w:tcBorders>
                    <w:top w:val="nil"/>
                    <w:bottom w:val="nil"/>
                  </w:tcBorders>
                  <w:vAlign w:val="center"/>
                </w:tcPr>
                <w:p>
                  <w:pPr>
                    <w:pStyle w:val="Compact"/>
                    <w:spacing w:before="36" w:after="36"/>
                    <w:jc w:val="center"/>
                    <w:rPr/>
                  </w:pPr>
                  <w:r>
                    <w:rPr/>
                    <w:t>-0.31 (0.18)</w:t>
                  </w:r>
                </w:p>
              </w:tc>
              <w:tc>
                <w:tcPr>
                  <w:tcW w:w="987" w:type="dxa"/>
                  <w:tcBorders>
                    <w:top w:val="nil"/>
                    <w:bottom w:val="nil"/>
                  </w:tcBorders>
                  <w:vAlign w:val="center"/>
                </w:tcPr>
                <w:p>
                  <w:pPr>
                    <w:pStyle w:val="Compact"/>
                    <w:spacing w:before="36" w:after="36"/>
                    <w:jc w:val="center"/>
                    <w:rPr/>
                  </w:pPr>
                  <w:r>
                    <w:rPr/>
                    <w:t>-0.25 (0.18)</w:t>
                  </w:r>
                </w:p>
              </w:tc>
              <w:tc>
                <w:tcPr>
                  <w:tcW w:w="994" w:type="dxa"/>
                  <w:tcBorders>
                    <w:top w:val="nil"/>
                    <w:bottom w:val="nil"/>
                  </w:tcBorders>
                  <w:vAlign w:val="center"/>
                </w:tcPr>
                <w:p>
                  <w:pPr>
                    <w:pStyle w:val="Compact"/>
                    <w:spacing w:before="36" w:after="36"/>
                    <w:jc w:val="center"/>
                    <w:rPr/>
                  </w:pPr>
                  <w:r>
                    <w:rPr/>
                    <w:t>-0.25 (0.18)</w:t>
                  </w:r>
                </w:p>
              </w:tc>
            </w:tr>
            <w:tr>
              <w:trPr/>
              <w:tc>
                <w:tcPr>
                  <w:tcW w:w="1220" w:type="dxa"/>
                  <w:tcBorders>
                    <w:top w:val="nil"/>
                    <w:bottom w:val="nil"/>
                  </w:tcBorders>
                  <w:vAlign w:val="center"/>
                </w:tcPr>
                <w:p>
                  <w:pPr>
                    <w:pStyle w:val="Compact"/>
                    <w:spacing w:before="36" w:after="36"/>
                    <w:jc w:val="center"/>
                    <w:rPr/>
                  </w:pPr>
                  <w:r>
                    <w:rPr/>
                    <w:t>Position (3)</w:t>
                  </w:r>
                </w:p>
              </w:tc>
              <w:tc>
                <w:tcPr>
                  <w:tcW w:w="990" w:type="dxa"/>
                  <w:tcBorders>
                    <w:top w:val="nil"/>
                    <w:bottom w:val="nil"/>
                  </w:tcBorders>
                  <w:vAlign w:val="center"/>
                </w:tcPr>
                <w:p>
                  <w:pPr>
                    <w:pStyle w:val="Compact"/>
                    <w:spacing w:before="36" w:after="36"/>
                    <w:jc w:val="center"/>
                    <w:rPr/>
                  </w:pPr>
                  <w:r>
                    <w:rPr/>
                    <w:t>-1.52*** (0.14)</w:t>
                  </w:r>
                </w:p>
              </w:tc>
              <w:tc>
                <w:tcPr>
                  <w:tcW w:w="993" w:type="dxa"/>
                  <w:tcBorders>
                    <w:top w:val="nil"/>
                    <w:bottom w:val="nil"/>
                  </w:tcBorders>
                  <w:vAlign w:val="center"/>
                </w:tcPr>
                <w:p>
                  <w:pPr>
                    <w:pStyle w:val="Compact"/>
                    <w:spacing w:before="36" w:after="36"/>
                    <w:jc w:val="center"/>
                    <w:rPr/>
                  </w:pPr>
                  <w:r>
                    <w:rPr/>
                    <w:t>-0.04 (0.16)</w:t>
                  </w:r>
                </w:p>
              </w:tc>
              <w:tc>
                <w:tcPr>
                  <w:tcW w:w="990" w:type="dxa"/>
                  <w:tcBorders>
                    <w:top w:val="nil"/>
                    <w:bottom w:val="nil"/>
                  </w:tcBorders>
                  <w:vAlign w:val="center"/>
                </w:tcPr>
                <w:p>
                  <w:pPr>
                    <w:pStyle w:val="Compact"/>
                    <w:spacing w:before="36" w:after="36"/>
                    <w:jc w:val="center"/>
                    <w:rPr/>
                  </w:pPr>
                  <w:r>
                    <w:rPr/>
                    <w:t>-0.13 (0.18)</w:t>
                  </w:r>
                </w:p>
              </w:tc>
              <w:tc>
                <w:tcPr>
                  <w:tcW w:w="987" w:type="dxa"/>
                  <w:tcBorders>
                    <w:top w:val="nil"/>
                    <w:bottom w:val="nil"/>
                  </w:tcBorders>
                  <w:vAlign w:val="center"/>
                </w:tcPr>
                <w:p>
                  <w:pPr>
                    <w:pStyle w:val="Compact"/>
                    <w:spacing w:before="36" w:after="36"/>
                    <w:jc w:val="center"/>
                    <w:rPr/>
                  </w:pPr>
                  <w:r>
                    <w:rPr/>
                    <w:t>0.08 (0.17)</w:t>
                  </w:r>
                </w:p>
              </w:tc>
              <w:tc>
                <w:tcPr>
                  <w:tcW w:w="993" w:type="dxa"/>
                  <w:tcBorders>
                    <w:top w:val="nil"/>
                    <w:bottom w:val="nil"/>
                  </w:tcBorders>
                  <w:vAlign w:val="center"/>
                </w:tcPr>
                <w:p>
                  <w:pPr>
                    <w:pStyle w:val="Compact"/>
                    <w:spacing w:before="36" w:after="36"/>
                    <w:jc w:val="center"/>
                    <w:rPr/>
                  </w:pPr>
                  <w:r>
                    <w:rPr/>
                    <w:t>0.73*** (0.16)</w:t>
                  </w:r>
                </w:p>
              </w:tc>
              <w:tc>
                <w:tcPr>
                  <w:tcW w:w="990" w:type="dxa"/>
                  <w:tcBorders>
                    <w:top w:val="nil"/>
                    <w:bottom w:val="nil"/>
                  </w:tcBorders>
                  <w:vAlign w:val="center"/>
                </w:tcPr>
                <w:p>
                  <w:pPr>
                    <w:pStyle w:val="Compact"/>
                    <w:spacing w:before="36" w:after="36"/>
                    <w:jc w:val="center"/>
                    <w:rPr/>
                  </w:pPr>
                  <w:r>
                    <w:rPr/>
                    <w:t>0.02 (0.18)</w:t>
                  </w:r>
                </w:p>
              </w:tc>
              <w:tc>
                <w:tcPr>
                  <w:tcW w:w="987" w:type="dxa"/>
                  <w:tcBorders>
                    <w:top w:val="nil"/>
                    <w:bottom w:val="nil"/>
                  </w:tcBorders>
                  <w:vAlign w:val="center"/>
                </w:tcPr>
                <w:p>
                  <w:pPr>
                    <w:pStyle w:val="Compact"/>
                    <w:spacing w:before="36" w:after="36"/>
                    <w:jc w:val="center"/>
                    <w:rPr/>
                  </w:pPr>
                  <w:r>
                    <w:rPr/>
                    <w:t>0.02 (0.18)</w:t>
                  </w:r>
                </w:p>
              </w:tc>
              <w:tc>
                <w:tcPr>
                  <w:tcW w:w="994" w:type="dxa"/>
                  <w:tcBorders>
                    <w:top w:val="nil"/>
                    <w:bottom w:val="nil"/>
                  </w:tcBorders>
                  <w:vAlign w:val="center"/>
                </w:tcPr>
                <w:p>
                  <w:pPr>
                    <w:pStyle w:val="Compact"/>
                    <w:spacing w:before="36" w:after="36"/>
                    <w:jc w:val="center"/>
                    <w:rPr/>
                  </w:pPr>
                  <w:r>
                    <w:rPr/>
                    <w:t>-0.00 (0.18)</w:t>
                  </w:r>
                </w:p>
              </w:tc>
            </w:tr>
            <w:tr>
              <w:trPr/>
              <w:tc>
                <w:tcPr>
                  <w:tcW w:w="1220" w:type="dxa"/>
                  <w:tcBorders>
                    <w:top w:val="nil"/>
                    <w:bottom w:val="nil"/>
                  </w:tcBorders>
                  <w:vAlign w:val="center"/>
                </w:tcPr>
                <w:p>
                  <w:pPr>
                    <w:pStyle w:val="Compact"/>
                    <w:spacing w:before="36" w:after="36"/>
                    <w:jc w:val="center"/>
                    <w:rPr/>
                  </w:pPr>
                  <w:r>
                    <w:rPr/>
                    <w:t>Position (4)</w:t>
                  </w:r>
                </w:p>
              </w:tc>
              <w:tc>
                <w:tcPr>
                  <w:tcW w:w="990" w:type="dxa"/>
                  <w:tcBorders>
                    <w:top w:val="nil"/>
                    <w:bottom w:val="nil"/>
                  </w:tcBorders>
                  <w:vAlign w:val="center"/>
                </w:tcPr>
                <w:p>
                  <w:pPr>
                    <w:pStyle w:val="Compact"/>
                    <w:spacing w:before="36" w:after="36"/>
                    <w:jc w:val="center"/>
                    <w:rPr/>
                  </w:pPr>
                  <w:r>
                    <w:rPr/>
                    <w:t>-1.44*** (0.14)</w:t>
                  </w:r>
                </w:p>
              </w:tc>
              <w:tc>
                <w:tcPr>
                  <w:tcW w:w="993" w:type="dxa"/>
                  <w:tcBorders>
                    <w:top w:val="nil"/>
                    <w:bottom w:val="nil"/>
                  </w:tcBorders>
                  <w:vAlign w:val="center"/>
                </w:tcPr>
                <w:p>
                  <w:pPr>
                    <w:pStyle w:val="Compact"/>
                    <w:spacing w:before="36" w:after="36"/>
                    <w:jc w:val="center"/>
                    <w:rPr/>
                  </w:pPr>
                  <w:r>
                    <w:rPr/>
                    <w:t>-0.23 (0.16)</w:t>
                  </w:r>
                </w:p>
              </w:tc>
              <w:tc>
                <w:tcPr>
                  <w:tcW w:w="990" w:type="dxa"/>
                  <w:tcBorders>
                    <w:top w:val="nil"/>
                    <w:bottom w:val="nil"/>
                  </w:tcBorders>
                  <w:vAlign w:val="center"/>
                </w:tcPr>
                <w:p>
                  <w:pPr>
                    <w:pStyle w:val="Compact"/>
                    <w:spacing w:before="36" w:after="36"/>
                    <w:jc w:val="center"/>
                    <w:rPr/>
                  </w:pPr>
                  <w:r>
                    <w:rPr/>
                    <w:t>-0.08 (0.17)</w:t>
                  </w:r>
                </w:p>
              </w:tc>
              <w:tc>
                <w:tcPr>
                  <w:tcW w:w="987" w:type="dxa"/>
                  <w:tcBorders>
                    <w:top w:val="nil"/>
                    <w:bottom w:val="nil"/>
                  </w:tcBorders>
                  <w:vAlign w:val="center"/>
                </w:tcPr>
                <w:p>
                  <w:pPr>
                    <w:pStyle w:val="Compact"/>
                    <w:spacing w:before="36" w:after="36"/>
                    <w:jc w:val="center"/>
                    <w:rPr/>
                  </w:pPr>
                  <w:r>
                    <w:rPr/>
                    <w:t>0.00 (0.17)</w:t>
                  </w:r>
                </w:p>
              </w:tc>
              <w:tc>
                <w:tcPr>
                  <w:tcW w:w="993" w:type="dxa"/>
                  <w:tcBorders>
                    <w:top w:val="nil"/>
                    <w:bottom w:val="nil"/>
                  </w:tcBorders>
                  <w:vAlign w:val="center"/>
                </w:tcPr>
                <w:p>
                  <w:pPr>
                    <w:pStyle w:val="Compact"/>
                    <w:spacing w:before="36" w:after="36"/>
                    <w:jc w:val="center"/>
                    <w:rPr/>
                  </w:pPr>
                  <w:r>
                    <w:rPr/>
                    <w:t>0.61*** (0.16)</w:t>
                  </w:r>
                </w:p>
              </w:tc>
              <w:tc>
                <w:tcPr>
                  <w:tcW w:w="990" w:type="dxa"/>
                  <w:tcBorders>
                    <w:top w:val="nil"/>
                    <w:bottom w:val="nil"/>
                  </w:tcBorders>
                  <w:vAlign w:val="center"/>
                </w:tcPr>
                <w:p>
                  <w:pPr>
                    <w:pStyle w:val="Compact"/>
                    <w:spacing w:before="36" w:after="36"/>
                    <w:jc w:val="center"/>
                    <w:rPr/>
                  </w:pPr>
                  <w:r>
                    <w:rPr/>
                    <w:t>-0.01 (0.18)</w:t>
                  </w:r>
                </w:p>
              </w:tc>
              <w:tc>
                <w:tcPr>
                  <w:tcW w:w="987" w:type="dxa"/>
                  <w:tcBorders>
                    <w:top w:val="nil"/>
                    <w:bottom w:val="nil"/>
                  </w:tcBorders>
                  <w:vAlign w:val="center"/>
                </w:tcPr>
                <w:p>
                  <w:pPr>
                    <w:pStyle w:val="Compact"/>
                    <w:spacing w:before="36" w:after="36"/>
                    <w:jc w:val="center"/>
                    <w:rPr/>
                  </w:pPr>
                  <w:r>
                    <w:rPr/>
                    <w:t>-0.00 (0.18)</w:t>
                  </w:r>
                </w:p>
              </w:tc>
              <w:tc>
                <w:tcPr>
                  <w:tcW w:w="994" w:type="dxa"/>
                  <w:tcBorders>
                    <w:top w:val="nil"/>
                    <w:bottom w:val="nil"/>
                  </w:tcBorders>
                  <w:vAlign w:val="center"/>
                </w:tcPr>
                <w:p>
                  <w:pPr>
                    <w:pStyle w:val="Compact"/>
                    <w:spacing w:before="36" w:after="36"/>
                    <w:jc w:val="center"/>
                    <w:rPr/>
                  </w:pPr>
                  <w:r>
                    <w:rPr/>
                    <w:t>-0.05 (0.18)</w:t>
                  </w:r>
                </w:p>
              </w:tc>
            </w:tr>
            <w:tr>
              <w:trPr/>
              <w:tc>
                <w:tcPr>
                  <w:tcW w:w="1220" w:type="dxa"/>
                  <w:tcBorders>
                    <w:top w:val="nil"/>
                    <w:bottom w:val="nil"/>
                  </w:tcBorders>
                  <w:vAlign w:val="center"/>
                </w:tcPr>
                <w:p>
                  <w:pPr>
                    <w:pStyle w:val="Compact"/>
                    <w:spacing w:before="36" w:after="36"/>
                    <w:jc w:val="center"/>
                    <w:rPr/>
                  </w:pPr>
                  <w:r>
                    <w:rPr/>
                    <w:t>Choice Sets</w:t>
                  </w:r>
                </w:p>
              </w:tc>
              <w:tc>
                <w:tcPr>
                  <w:tcW w:w="990" w:type="dxa"/>
                  <w:tcBorders>
                    <w:top w:val="nil"/>
                    <w:bottom w:val="nil"/>
                  </w:tcBorders>
                  <w:vAlign w:val="center"/>
                </w:tcPr>
                <w:p>
                  <w:pPr>
                    <w:pStyle w:val="Compact"/>
                    <w:spacing w:before="36" w:after="36"/>
                    <w:jc w:val="center"/>
                    <w:rPr/>
                  </w:pPr>
                  <w:r>
                    <w:rPr/>
                    <w:t>1149</w:t>
                  </w:r>
                </w:p>
              </w:tc>
              <w:tc>
                <w:tcPr>
                  <w:tcW w:w="993" w:type="dxa"/>
                  <w:tcBorders>
                    <w:top w:val="nil"/>
                    <w:bottom w:val="nil"/>
                  </w:tcBorders>
                  <w:vAlign w:val="center"/>
                </w:tcPr>
                <w:p>
                  <w:pPr>
                    <w:pStyle w:val="Compact"/>
                    <w:spacing w:before="36" w:after="36"/>
                    <w:jc w:val="center"/>
                    <w:rPr/>
                  </w:pPr>
                  <w:r>
                    <w:rPr/>
                    <w:t>1149</w:t>
                  </w:r>
                </w:p>
              </w:tc>
              <w:tc>
                <w:tcPr>
                  <w:tcW w:w="990" w:type="dxa"/>
                  <w:tcBorders>
                    <w:top w:val="nil"/>
                    <w:bottom w:val="nil"/>
                  </w:tcBorders>
                  <w:vAlign w:val="center"/>
                </w:tcPr>
                <w:p>
                  <w:pPr>
                    <w:pStyle w:val="Compact"/>
                    <w:spacing w:before="36" w:after="36"/>
                    <w:jc w:val="center"/>
                    <w:rPr/>
                  </w:pPr>
                  <w:r>
                    <w:rPr/>
                    <w:t>1149</w:t>
                  </w:r>
                </w:p>
              </w:tc>
              <w:tc>
                <w:tcPr>
                  <w:tcW w:w="987" w:type="dxa"/>
                  <w:tcBorders>
                    <w:top w:val="nil"/>
                    <w:bottom w:val="nil"/>
                  </w:tcBorders>
                  <w:vAlign w:val="center"/>
                </w:tcPr>
                <w:p>
                  <w:pPr>
                    <w:pStyle w:val="Compact"/>
                    <w:spacing w:before="36" w:after="36"/>
                    <w:jc w:val="center"/>
                    <w:rPr/>
                  </w:pPr>
                  <w:r>
                    <w:rPr/>
                    <w:t>1149</w:t>
                  </w:r>
                </w:p>
              </w:tc>
              <w:tc>
                <w:tcPr>
                  <w:tcW w:w="993" w:type="dxa"/>
                  <w:tcBorders>
                    <w:top w:val="nil"/>
                    <w:bottom w:val="nil"/>
                  </w:tcBorders>
                  <w:vAlign w:val="center"/>
                </w:tcPr>
                <w:p>
                  <w:pPr>
                    <w:pStyle w:val="Compact"/>
                    <w:spacing w:before="36" w:after="36"/>
                    <w:jc w:val="center"/>
                    <w:rPr/>
                  </w:pPr>
                  <w:r>
                    <w:rPr/>
                    <w:t>1149</w:t>
                  </w:r>
                </w:p>
              </w:tc>
              <w:tc>
                <w:tcPr>
                  <w:tcW w:w="990" w:type="dxa"/>
                  <w:tcBorders>
                    <w:top w:val="nil"/>
                    <w:bottom w:val="nil"/>
                  </w:tcBorders>
                  <w:vAlign w:val="center"/>
                </w:tcPr>
                <w:p>
                  <w:pPr>
                    <w:pStyle w:val="Compact"/>
                    <w:spacing w:before="36" w:after="36"/>
                    <w:jc w:val="center"/>
                    <w:rPr/>
                  </w:pPr>
                  <w:r>
                    <w:rPr/>
                    <w:t>1149</w:t>
                  </w:r>
                </w:p>
              </w:tc>
              <w:tc>
                <w:tcPr>
                  <w:tcW w:w="987" w:type="dxa"/>
                  <w:tcBorders>
                    <w:top w:val="nil"/>
                    <w:bottom w:val="nil"/>
                  </w:tcBorders>
                  <w:vAlign w:val="center"/>
                </w:tcPr>
                <w:p>
                  <w:pPr>
                    <w:pStyle w:val="Compact"/>
                    <w:spacing w:before="36" w:after="36"/>
                    <w:jc w:val="center"/>
                    <w:rPr/>
                  </w:pPr>
                  <w:r>
                    <w:rPr/>
                    <w:t>1149</w:t>
                  </w:r>
                </w:p>
              </w:tc>
              <w:tc>
                <w:tcPr>
                  <w:tcW w:w="994" w:type="dxa"/>
                  <w:tcBorders>
                    <w:top w:val="nil"/>
                    <w:bottom w:val="nil"/>
                  </w:tcBorders>
                  <w:vAlign w:val="center"/>
                </w:tcPr>
                <w:p>
                  <w:pPr>
                    <w:pStyle w:val="Compact"/>
                    <w:spacing w:before="36" w:after="36"/>
                    <w:jc w:val="center"/>
                    <w:rPr/>
                  </w:pPr>
                  <w:r>
                    <w:rPr/>
                    <w:t>1149</w:t>
                  </w:r>
                </w:p>
              </w:tc>
            </w:tr>
            <w:tr>
              <w:trPr/>
              <w:tc>
                <w:tcPr>
                  <w:tcW w:w="1220" w:type="dxa"/>
                  <w:tcBorders>
                    <w:top w:val="nil"/>
                  </w:tcBorders>
                  <w:vAlign w:val="center"/>
                </w:tcPr>
                <w:p>
                  <w:pPr>
                    <w:pStyle w:val="Compact"/>
                    <w:spacing w:before="36" w:after="36"/>
                    <w:jc w:val="center"/>
                    <w:rPr/>
                  </w:pPr>
                  <w:r>
                    <w:rPr/>
                    <w:t>Log-Likelihood</w:t>
                  </w:r>
                </w:p>
              </w:tc>
              <w:tc>
                <w:tcPr>
                  <w:tcW w:w="990" w:type="dxa"/>
                  <w:tcBorders>
                    <w:top w:val="nil"/>
                  </w:tcBorders>
                  <w:vAlign w:val="center"/>
                </w:tcPr>
                <w:p>
                  <w:pPr>
                    <w:pStyle w:val="Compact"/>
                    <w:spacing w:before="36" w:after="36"/>
                    <w:jc w:val="center"/>
                    <w:rPr/>
                  </w:pPr>
                  <w:r>
                    <w:rPr/>
                    <w:t>-641.69</w:t>
                  </w:r>
                </w:p>
              </w:tc>
              <w:tc>
                <w:tcPr>
                  <w:tcW w:w="993" w:type="dxa"/>
                  <w:tcBorders>
                    <w:top w:val="nil"/>
                  </w:tcBorders>
                  <w:vAlign w:val="center"/>
                </w:tcPr>
                <w:p>
                  <w:pPr>
                    <w:pStyle w:val="Compact"/>
                    <w:spacing w:before="36" w:after="36"/>
                    <w:jc w:val="center"/>
                    <w:rPr/>
                  </w:pPr>
                  <w:r>
                    <w:rPr/>
                    <w:t>-404.45</w:t>
                  </w:r>
                </w:p>
              </w:tc>
              <w:tc>
                <w:tcPr>
                  <w:tcW w:w="990" w:type="dxa"/>
                  <w:tcBorders>
                    <w:top w:val="nil"/>
                  </w:tcBorders>
                  <w:vAlign w:val="center"/>
                </w:tcPr>
                <w:p>
                  <w:pPr>
                    <w:pStyle w:val="Compact"/>
                    <w:spacing w:before="36" w:after="36"/>
                    <w:jc w:val="center"/>
                    <w:rPr/>
                  </w:pPr>
                  <w:r>
                    <w:rPr/>
                    <w:t>-329.11</w:t>
                  </w:r>
                </w:p>
              </w:tc>
              <w:tc>
                <w:tcPr>
                  <w:tcW w:w="987" w:type="dxa"/>
                  <w:tcBorders>
                    <w:top w:val="nil"/>
                  </w:tcBorders>
                  <w:vAlign w:val="center"/>
                </w:tcPr>
                <w:p>
                  <w:pPr>
                    <w:pStyle w:val="Compact"/>
                    <w:spacing w:before="36" w:after="36"/>
                    <w:jc w:val="center"/>
                    <w:rPr/>
                  </w:pPr>
                  <w:r>
                    <w:rPr/>
                    <w:t>-348.19</w:t>
                  </w:r>
                </w:p>
              </w:tc>
              <w:tc>
                <w:tcPr>
                  <w:tcW w:w="993" w:type="dxa"/>
                  <w:tcBorders>
                    <w:top w:val="nil"/>
                  </w:tcBorders>
                  <w:vAlign w:val="center"/>
                </w:tcPr>
                <w:p>
                  <w:pPr>
                    <w:pStyle w:val="Compact"/>
                    <w:spacing w:before="36" w:after="36"/>
                    <w:jc w:val="center"/>
                    <w:rPr/>
                  </w:pPr>
                  <w:r>
                    <w:rPr/>
                    <w:t>-454.89</w:t>
                  </w:r>
                </w:p>
              </w:tc>
              <w:tc>
                <w:tcPr>
                  <w:tcW w:w="990" w:type="dxa"/>
                  <w:tcBorders>
                    <w:top w:val="nil"/>
                  </w:tcBorders>
                  <w:vAlign w:val="center"/>
                </w:tcPr>
                <w:p>
                  <w:pPr>
                    <w:pStyle w:val="Compact"/>
                    <w:spacing w:before="36" w:after="36"/>
                    <w:jc w:val="center"/>
                    <w:rPr/>
                  </w:pPr>
                  <w:r>
                    <w:rPr/>
                    <w:t>-319.71</w:t>
                  </w:r>
                </w:p>
              </w:tc>
              <w:tc>
                <w:tcPr>
                  <w:tcW w:w="987" w:type="dxa"/>
                  <w:tcBorders>
                    <w:top w:val="nil"/>
                  </w:tcBorders>
                  <w:vAlign w:val="center"/>
                </w:tcPr>
                <w:p>
                  <w:pPr>
                    <w:pStyle w:val="Compact"/>
                    <w:spacing w:before="36" w:after="36"/>
                    <w:jc w:val="center"/>
                    <w:rPr/>
                  </w:pPr>
                  <w:r>
                    <w:rPr/>
                    <w:t>-317.93</w:t>
                  </w:r>
                </w:p>
              </w:tc>
              <w:tc>
                <w:tcPr>
                  <w:tcW w:w="994" w:type="dxa"/>
                  <w:tcBorders>
                    <w:top w:val="nil"/>
                  </w:tcBorders>
                  <w:vAlign w:val="center"/>
                </w:tcPr>
                <w:p>
                  <w:pPr>
                    <w:pStyle w:val="Compact"/>
                    <w:spacing w:before="36" w:after="36"/>
                    <w:jc w:val="center"/>
                    <w:rPr/>
                  </w:pPr>
                  <w:r>
                    <w:rPr/>
                    <w:t>-315.19</w:t>
                  </w:r>
                  <w:bookmarkStart w:id="154" w:name="apptbl-s2aresults"/>
                  <w:bookmarkEnd w:id="154"/>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149</m:t>
        </m:r>
      </m:oMath>
      <w:r>
        <w:rPr/>
        <w:t xml:space="preserve"> choice sets per LLM, estimated independently. Standard errors in parentheses. The net price was withheld, so it must be computed as </w:t>
      </w:r>
      <w:r>
        <w:rPr/>
      </w:r>
      <m:oMath xmlns:m="http://schemas.openxmlformats.org/officeDocument/2006/math">
        <m:r>
          <w:rPr>
            <w:rFonts w:ascii="Cambria Math" w:hAnsi="Cambria Math"/>
          </w:rPr>
          <m:t xml:space="preserve">L</m:t>
        </m:r>
        <m:r>
          <w:rPr>
            <w:rFonts w:ascii="Cambria Math" w:hAnsi="Cambria Math"/>
          </w:rPr>
          <m:t xml:space="preserve">i</m:t>
        </m:r>
        <m:r>
          <w:rPr>
            <w:rFonts w:ascii="Cambria Math" w:hAnsi="Cambria Math"/>
          </w:rPr>
          <m:t xml:space="preserve">s</m:t>
        </m:r>
        <m:r>
          <w:rPr>
            <w:rFonts w:ascii="Cambria Math" w:hAnsi="Cambria Math"/>
          </w:rPr>
          <m:t xml:space="preserve">t</m:t>
        </m:r>
        <m:r>
          <w:rPr>
            <w:rFonts w:ascii="Cambria Math" w:hAnsi="Cambria Math"/>
          </w:rPr>
          <m:t xml:space="preserve">P</m:t>
        </m:r>
        <m:r>
          <w:rPr>
            <w:rFonts w:ascii="Cambria Math" w:hAnsi="Cambria Math"/>
          </w:rPr>
          <m:t xml:space="preserve">r</m:t>
        </m:r>
        <m:r>
          <w:rPr>
            <w:rFonts w:ascii="Cambria Math" w:hAnsi="Cambria Math"/>
          </w:rPr>
          <m:t xml:space="preserve">i</m:t>
        </m:r>
        <m:r>
          <w:rPr>
            <w:rFonts w:ascii="Cambria Math" w:hAnsi="Cambria Math"/>
          </w:rPr>
          <m:t xml:space="preserve">c</m:t>
        </m:r>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D</m:t>
        </m:r>
        <m:r>
          <w:rPr>
            <w:rFonts w:ascii="Cambria Math" w:hAnsi="Cambria Math"/>
          </w:rPr>
          <m:t xml:space="preserve">i</m:t>
        </m:r>
        <m:r>
          <w:rPr>
            <w:rFonts w:ascii="Cambria Math" w:hAnsi="Cambria Math"/>
          </w:rPr>
          <m:t xml:space="preserve">s</m:t>
        </m:r>
        <m:r>
          <w:rPr>
            <w:rFonts w:ascii="Cambria Math" w:hAnsi="Cambria Math"/>
          </w:rPr>
          <m:t xml:space="preserve">c</m:t>
        </m:r>
        <m:r>
          <w:rPr>
            <w:rFonts w:ascii="Cambria Math" w:hAnsi="Cambria Math"/>
          </w:rPr>
          <m:t xml:space="preserve">o</m:t>
        </m:r>
        <m:r>
          <w:rPr>
            <w:rFonts w:ascii="Cambria Math" w:hAnsi="Cambria Math"/>
          </w:rPr>
          <m:t xml:space="preserve">u</m:t>
        </m:r>
        <m:r>
          <w:rPr>
            <w:rFonts w:ascii="Cambria Math" w:hAnsi="Cambria Math"/>
          </w:rPr>
          <m:t xml:space="preserve">n</m:t>
        </m:r>
        <m:r>
          <w:rPr>
            <w:rFonts w:ascii="Cambria Math" w:hAnsi="Cambria Math"/>
          </w:rPr>
          <m:t xml:space="preserve">t</m:t>
        </m:r>
        <m:r>
          <w:rPr>
            <w:rFonts w:ascii="Cambria Math" w:hAnsi="Cambria Math"/>
          </w:rPr>
          <m:t xml:space="preserve">)</m:t>
        </m:r>
      </m:oMath>
      <w:r>
        <w:rPr/>
        <w:t>. Discount Amount is part of this computation. Brand baseline is Folgers.</w:t>
        <w:br/>
        <w:t>* p &lt; .05, ** p &lt; .01, *** p &lt; .001.</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W20: Discount amount to list price sensitivity (Study 2 Baseline)</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769"/>
              <w:gridCol w:w="1997"/>
              <w:gridCol w:w="2317"/>
              <w:gridCol w:w="4061"/>
            </w:tblGrid>
            <w:tr>
              <w:trPr>
                <w:tblHeader w:val="true"/>
              </w:trPr>
              <w:tc>
                <w:tcPr>
                  <w:tcW w:w="769" w:type="dxa"/>
                  <w:tcBorders/>
                  <w:vAlign w:val="center"/>
                </w:tcPr>
                <w:p>
                  <w:pPr>
                    <w:pStyle w:val="Compact"/>
                    <w:spacing w:before="36" w:after="36"/>
                    <w:jc w:val="center"/>
                    <w:rPr>
                      <w:b w:val="false"/>
                    </w:rPr>
                  </w:pPr>
                  <w:r>
                    <w:rPr>
                      <w:b w:val="false"/>
                    </w:rPr>
                    <w:t>LLM</w:t>
                  </w:r>
                </w:p>
              </w:tc>
              <w:tc>
                <w:tcPr>
                  <w:tcW w:w="1997"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β</m:t>
                        </m:r>
                      </m:e>
                      <m:sub>
                        <m:r>
                          <m:rPr>
                            <m:lit/>
                            <m:nor/>
                          </m:rPr>
                          <w:rPr>
                            <w:rFonts w:ascii="Cambria Math" w:hAnsi="Cambria Math"/>
                          </w:rPr>
                          <m:t xml:space="preserve">List price</m:t>
                        </m:r>
                      </m:sub>
                    </m:sSub>
                  </m:oMath>
                  <w:r>
                    <w:rPr>
                      <w:b w:val="false"/>
                    </w:rPr>
                    <w:t>​</w:t>
                  </w:r>
                </w:p>
              </w:tc>
              <w:tc>
                <w:tcPr>
                  <w:tcW w:w="2317"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β</m:t>
                        </m:r>
                      </m:e>
                      <m:sub>
                        <m:r>
                          <m:rPr>
                            <m:lit/>
                            <m:nor/>
                          </m:rPr>
                          <w:rPr>
                            <w:rFonts w:ascii="Cambria Math" w:hAnsi="Cambria Math"/>
                          </w:rPr>
                          <m:t xml:space="preserve">Discount Amount</m:t>
                        </m:r>
                      </m:sub>
                    </m:sSub>
                  </m:oMath>
                  <w:r>
                    <w:rPr>
                      <w:b w:val="false"/>
                    </w:rPr>
                    <w:t>​</w:t>
                  </w:r>
                </w:p>
              </w:tc>
              <w:tc>
                <w:tcPr>
                  <w:tcW w:w="4061" w:type="dxa"/>
                  <w:tcBorders/>
                  <w:vAlign w:val="center"/>
                </w:tcPr>
                <w:p>
                  <w:pPr>
                    <w:pStyle w:val="Compact"/>
                    <w:spacing w:before="36" w:after="36"/>
                    <w:jc w:val="center"/>
                    <w:rPr>
                      <w:b w:val="false"/>
                    </w:rPr>
                  </w:pPr>
                  <w:r>
                    <w:rPr>
                      <w:b w:val="false"/>
                    </w:rPr>
                  </w:r>
                  <m:oMath xmlns:m="http://schemas.openxmlformats.org/officeDocument/2006/math">
                    <m:f>
                      <m:num>
                        <m:sSub>
                          <m:e>
                            <m:r>
                              <w:rPr>
                                <w:rFonts w:ascii="Cambria Math" w:hAnsi="Cambria Math"/>
                              </w:rPr>
                              <m:t xml:space="preserve">β</m:t>
                            </m:r>
                          </m:e>
                          <m:sub>
                            <m:r>
                              <m:rPr>
                                <m:lit/>
                                <m:nor/>
                              </m:rPr>
                              <w:rPr>
                                <w:rFonts w:ascii="Cambria Math" w:hAnsi="Cambria Math"/>
                              </w:rPr>
                              <m:t xml:space="preserve">Discount Amt</m:t>
                            </m:r>
                          </m:sub>
                        </m:sSub>
                      </m:num>
                      <m:den>
                        <m:r>
                          <m:rPr>
                            <m:lit/>
                            <m:nor/>
                          </m:rPr>
                          <w:rPr>
                            <w:rFonts w:ascii="Cambria Math" w:hAnsi="Cambria Math"/>
                          </w:rPr>
                          <m:t xml:space="preserve">|</m:t>
                        </m:r>
                        <m:sSub>
                          <m:e>
                            <m:r>
                              <w:rPr>
                                <w:rFonts w:ascii="Cambria Math" w:hAnsi="Cambria Math"/>
                              </w:rPr>
                              <m:t xml:space="preserve">β</m:t>
                            </m:r>
                          </m:e>
                          <m:sub>
                            <m:r>
                              <m:rPr>
                                <m:lit/>
                                <m:nor/>
                              </m:rPr>
                              <w:rPr>
                                <w:rFonts w:ascii="Cambria Math" w:hAnsi="Cambria Math"/>
                              </w:rPr>
                              <m:t xml:space="preserve">List Price</m:t>
                            </m:r>
                          </m:sub>
                        </m:sSub>
                        <m:r>
                          <m:rPr>
                            <m:lit/>
                            <m:nor/>
                          </m:rPr>
                          <w:rPr>
                            <w:rFonts w:ascii="Cambria Math" w:hAnsi="Cambria Math"/>
                          </w:rPr>
                          <m:t xml:space="preserve">|</m:t>
                        </m:r>
                      </m:den>
                    </m:f>
                  </m:oMath>
                  <w:r>
                    <w:rPr>
                      <w:b w:val="false"/>
                    </w:rPr>
                    <w:t>​</w:t>
                  </w:r>
                </w:p>
              </w:tc>
            </w:tr>
            <w:tr>
              <w:trPr/>
              <w:tc>
                <w:tcPr>
                  <w:tcW w:w="769" w:type="dxa"/>
                  <w:tcBorders>
                    <w:top w:val="nil"/>
                    <w:bottom w:val="nil"/>
                  </w:tcBorders>
                  <w:vAlign w:val="center"/>
                </w:tcPr>
                <w:p>
                  <w:pPr>
                    <w:pStyle w:val="Compact"/>
                    <w:spacing w:before="36" w:after="36"/>
                    <w:jc w:val="center"/>
                    <w:rPr/>
                  </w:pPr>
                  <w:r>
                    <w:rPr/>
                    <w:t>Flash Lite</w:t>
                  </w:r>
                </w:p>
              </w:tc>
              <w:tc>
                <w:tcPr>
                  <w:tcW w:w="1997" w:type="dxa"/>
                  <w:tcBorders>
                    <w:top w:val="nil"/>
                    <w:bottom w:val="nil"/>
                  </w:tcBorders>
                  <w:vAlign w:val="center"/>
                </w:tcPr>
                <w:p>
                  <w:pPr>
                    <w:pStyle w:val="Compact"/>
                    <w:spacing w:before="36" w:after="36"/>
                    <w:jc w:val="center"/>
                    <w:rPr/>
                  </w:pPr>
                  <w:r>
                    <w:rPr/>
                    <w:t>-1.06</w:t>
                  </w:r>
                </w:p>
              </w:tc>
              <w:tc>
                <w:tcPr>
                  <w:tcW w:w="2317" w:type="dxa"/>
                  <w:tcBorders>
                    <w:top w:val="nil"/>
                    <w:bottom w:val="nil"/>
                  </w:tcBorders>
                  <w:vAlign w:val="center"/>
                </w:tcPr>
                <w:p>
                  <w:pPr>
                    <w:pStyle w:val="Compact"/>
                    <w:spacing w:before="36" w:after="36"/>
                    <w:jc w:val="center"/>
                    <w:rPr/>
                  </w:pPr>
                  <w:r>
                    <w:rPr/>
                    <w:t>0.76</w:t>
                  </w:r>
                </w:p>
              </w:tc>
              <w:tc>
                <w:tcPr>
                  <w:tcW w:w="4061" w:type="dxa"/>
                  <w:tcBorders>
                    <w:top w:val="nil"/>
                    <w:bottom w:val="nil"/>
                  </w:tcBorders>
                  <w:vAlign w:val="center"/>
                </w:tcPr>
                <w:p>
                  <w:pPr>
                    <w:pStyle w:val="Compact"/>
                    <w:spacing w:before="36" w:after="36"/>
                    <w:jc w:val="center"/>
                    <w:rPr/>
                  </w:pPr>
                  <w:r>
                    <w:rPr/>
                    <w:t>0.72 [0.67, 0.77]</w:t>
                  </w:r>
                </w:p>
              </w:tc>
            </w:tr>
            <w:tr>
              <w:trPr/>
              <w:tc>
                <w:tcPr>
                  <w:tcW w:w="769" w:type="dxa"/>
                  <w:tcBorders>
                    <w:top w:val="nil"/>
                    <w:bottom w:val="nil"/>
                  </w:tcBorders>
                  <w:vAlign w:val="center"/>
                </w:tcPr>
                <w:p>
                  <w:pPr>
                    <w:pStyle w:val="Compact"/>
                    <w:spacing w:before="36" w:after="36"/>
                    <w:jc w:val="center"/>
                    <w:rPr/>
                  </w:pPr>
                  <w:r>
                    <w:rPr/>
                    <w:t>Flash</w:t>
                  </w:r>
                </w:p>
              </w:tc>
              <w:tc>
                <w:tcPr>
                  <w:tcW w:w="1997" w:type="dxa"/>
                  <w:tcBorders>
                    <w:top w:val="nil"/>
                    <w:bottom w:val="nil"/>
                  </w:tcBorders>
                  <w:vAlign w:val="center"/>
                </w:tcPr>
                <w:p>
                  <w:pPr>
                    <w:pStyle w:val="Compact"/>
                    <w:spacing w:before="36" w:after="36"/>
                    <w:jc w:val="center"/>
                    <w:rPr/>
                  </w:pPr>
                  <w:r>
                    <w:rPr/>
                    <w:t>-1.86</w:t>
                  </w:r>
                </w:p>
              </w:tc>
              <w:tc>
                <w:tcPr>
                  <w:tcW w:w="2317" w:type="dxa"/>
                  <w:tcBorders>
                    <w:top w:val="nil"/>
                    <w:bottom w:val="nil"/>
                  </w:tcBorders>
                  <w:vAlign w:val="center"/>
                </w:tcPr>
                <w:p>
                  <w:pPr>
                    <w:pStyle w:val="Compact"/>
                    <w:spacing w:before="36" w:after="36"/>
                    <w:jc w:val="center"/>
                    <w:rPr/>
                  </w:pPr>
                  <w:r>
                    <w:rPr/>
                    <w:t>1.91</w:t>
                  </w:r>
                </w:p>
              </w:tc>
              <w:tc>
                <w:tcPr>
                  <w:tcW w:w="4061" w:type="dxa"/>
                  <w:tcBorders>
                    <w:top w:val="nil"/>
                    <w:bottom w:val="nil"/>
                  </w:tcBorders>
                  <w:vAlign w:val="center"/>
                </w:tcPr>
                <w:p>
                  <w:pPr>
                    <w:pStyle w:val="Compact"/>
                    <w:spacing w:before="36" w:after="36"/>
                    <w:jc w:val="center"/>
                    <w:rPr/>
                  </w:pPr>
                  <w:r>
                    <w:rPr/>
                    <w:t>1.03 [1.00, 1.06]</w:t>
                  </w:r>
                </w:p>
              </w:tc>
            </w:tr>
            <w:tr>
              <w:trPr/>
              <w:tc>
                <w:tcPr>
                  <w:tcW w:w="769" w:type="dxa"/>
                  <w:tcBorders>
                    <w:top w:val="nil"/>
                    <w:bottom w:val="nil"/>
                  </w:tcBorders>
                  <w:vAlign w:val="center"/>
                </w:tcPr>
                <w:p>
                  <w:pPr>
                    <w:pStyle w:val="Compact"/>
                    <w:spacing w:before="36" w:after="36"/>
                    <w:jc w:val="center"/>
                    <w:rPr/>
                  </w:pPr>
                  <w:r>
                    <w:rPr/>
                    <w:t>Pro</w:t>
                  </w:r>
                </w:p>
              </w:tc>
              <w:tc>
                <w:tcPr>
                  <w:tcW w:w="1997" w:type="dxa"/>
                  <w:tcBorders>
                    <w:top w:val="nil"/>
                    <w:bottom w:val="nil"/>
                  </w:tcBorders>
                  <w:vAlign w:val="center"/>
                </w:tcPr>
                <w:p>
                  <w:pPr>
                    <w:pStyle w:val="Compact"/>
                    <w:spacing w:before="36" w:after="36"/>
                    <w:jc w:val="center"/>
                    <w:rPr/>
                  </w:pPr>
                  <w:r>
                    <w:rPr/>
                    <w:t>-2.9</w:t>
                  </w:r>
                </w:p>
              </w:tc>
              <w:tc>
                <w:tcPr>
                  <w:tcW w:w="2317" w:type="dxa"/>
                  <w:tcBorders>
                    <w:top w:val="nil"/>
                    <w:bottom w:val="nil"/>
                  </w:tcBorders>
                  <w:vAlign w:val="center"/>
                </w:tcPr>
                <w:p>
                  <w:pPr>
                    <w:pStyle w:val="Compact"/>
                    <w:spacing w:before="36" w:after="36"/>
                    <w:jc w:val="center"/>
                    <w:rPr/>
                  </w:pPr>
                  <w:r>
                    <w:rPr/>
                    <w:t>2.91</w:t>
                  </w:r>
                </w:p>
              </w:tc>
              <w:tc>
                <w:tcPr>
                  <w:tcW w:w="4061" w:type="dxa"/>
                  <w:tcBorders>
                    <w:top w:val="nil"/>
                    <w:bottom w:val="nil"/>
                  </w:tcBorders>
                  <w:vAlign w:val="center"/>
                </w:tcPr>
                <w:p>
                  <w:pPr>
                    <w:pStyle w:val="Compact"/>
                    <w:spacing w:before="36" w:after="36"/>
                    <w:jc w:val="center"/>
                    <w:rPr/>
                  </w:pPr>
                  <w:r>
                    <w:rPr/>
                    <w:t>1.00 [0.98, 1.03]</w:t>
                  </w:r>
                </w:p>
              </w:tc>
            </w:tr>
            <w:tr>
              <w:trPr/>
              <w:tc>
                <w:tcPr>
                  <w:tcW w:w="769" w:type="dxa"/>
                  <w:tcBorders>
                    <w:top w:val="nil"/>
                    <w:bottom w:val="nil"/>
                  </w:tcBorders>
                  <w:vAlign w:val="center"/>
                </w:tcPr>
                <w:p>
                  <w:pPr>
                    <w:pStyle w:val="Compact"/>
                    <w:spacing w:before="36" w:after="36"/>
                    <w:jc w:val="center"/>
                    <w:rPr/>
                  </w:pPr>
                  <w:r>
                    <w:rPr/>
                    <w:t>Sonnet</w:t>
                  </w:r>
                </w:p>
              </w:tc>
              <w:tc>
                <w:tcPr>
                  <w:tcW w:w="1997" w:type="dxa"/>
                  <w:tcBorders>
                    <w:top w:val="nil"/>
                    <w:bottom w:val="nil"/>
                  </w:tcBorders>
                  <w:vAlign w:val="center"/>
                </w:tcPr>
                <w:p>
                  <w:pPr>
                    <w:pStyle w:val="Compact"/>
                    <w:spacing w:before="36" w:after="36"/>
                    <w:jc w:val="center"/>
                    <w:rPr/>
                  </w:pPr>
                  <w:r>
                    <w:rPr/>
                    <w:t>-2.73</w:t>
                  </w:r>
                </w:p>
              </w:tc>
              <w:tc>
                <w:tcPr>
                  <w:tcW w:w="2317" w:type="dxa"/>
                  <w:tcBorders>
                    <w:top w:val="nil"/>
                    <w:bottom w:val="nil"/>
                  </w:tcBorders>
                  <w:vAlign w:val="center"/>
                </w:tcPr>
                <w:p>
                  <w:pPr>
                    <w:pStyle w:val="Compact"/>
                    <w:spacing w:before="36" w:after="36"/>
                    <w:jc w:val="center"/>
                    <w:rPr/>
                  </w:pPr>
                  <w:r>
                    <w:rPr/>
                    <w:t>2.75</w:t>
                  </w:r>
                </w:p>
              </w:tc>
              <w:tc>
                <w:tcPr>
                  <w:tcW w:w="4061" w:type="dxa"/>
                  <w:tcBorders>
                    <w:top w:val="nil"/>
                    <w:bottom w:val="nil"/>
                  </w:tcBorders>
                  <w:vAlign w:val="center"/>
                </w:tcPr>
                <w:p>
                  <w:pPr>
                    <w:pStyle w:val="Compact"/>
                    <w:spacing w:before="36" w:after="36"/>
                    <w:jc w:val="center"/>
                    <w:rPr/>
                  </w:pPr>
                  <w:r>
                    <w:rPr/>
                    <w:t>1.01 [0.98, 1.03]</w:t>
                  </w:r>
                </w:p>
              </w:tc>
            </w:tr>
            <w:tr>
              <w:trPr/>
              <w:tc>
                <w:tcPr>
                  <w:tcW w:w="769" w:type="dxa"/>
                  <w:tcBorders>
                    <w:top w:val="nil"/>
                    <w:bottom w:val="nil"/>
                  </w:tcBorders>
                  <w:vAlign w:val="center"/>
                </w:tcPr>
                <w:p>
                  <w:pPr>
                    <w:pStyle w:val="Compact"/>
                    <w:spacing w:before="36" w:after="36"/>
                    <w:jc w:val="center"/>
                    <w:rPr/>
                  </w:pPr>
                  <w:r>
                    <w:rPr/>
                    <w:t>Opus</w:t>
                  </w:r>
                </w:p>
              </w:tc>
              <w:tc>
                <w:tcPr>
                  <w:tcW w:w="1997" w:type="dxa"/>
                  <w:tcBorders>
                    <w:top w:val="nil"/>
                    <w:bottom w:val="nil"/>
                  </w:tcBorders>
                  <w:vAlign w:val="center"/>
                </w:tcPr>
                <w:p>
                  <w:pPr>
                    <w:pStyle w:val="Compact"/>
                    <w:spacing w:before="36" w:after="36"/>
                    <w:jc w:val="center"/>
                    <w:rPr/>
                  </w:pPr>
                  <w:r>
                    <w:rPr/>
                    <w:t>-1.51</w:t>
                  </w:r>
                </w:p>
              </w:tc>
              <w:tc>
                <w:tcPr>
                  <w:tcW w:w="2317" w:type="dxa"/>
                  <w:tcBorders>
                    <w:top w:val="nil"/>
                    <w:bottom w:val="nil"/>
                  </w:tcBorders>
                  <w:vAlign w:val="center"/>
                </w:tcPr>
                <w:p>
                  <w:pPr>
                    <w:pStyle w:val="Compact"/>
                    <w:spacing w:before="36" w:after="36"/>
                    <w:jc w:val="center"/>
                    <w:rPr/>
                  </w:pPr>
                  <w:r>
                    <w:rPr/>
                    <w:t>1.74</w:t>
                  </w:r>
                </w:p>
              </w:tc>
              <w:tc>
                <w:tcPr>
                  <w:tcW w:w="4061" w:type="dxa"/>
                  <w:tcBorders>
                    <w:top w:val="nil"/>
                    <w:bottom w:val="nil"/>
                  </w:tcBorders>
                  <w:vAlign w:val="center"/>
                </w:tcPr>
                <w:p>
                  <w:pPr>
                    <w:pStyle w:val="Compact"/>
                    <w:spacing w:before="36" w:after="36"/>
                    <w:jc w:val="center"/>
                    <w:rPr/>
                  </w:pPr>
                  <w:r>
                    <w:rPr/>
                    <w:t>1.15 [1.11, 1.19]</w:t>
                  </w:r>
                </w:p>
              </w:tc>
            </w:tr>
            <w:tr>
              <w:trPr/>
              <w:tc>
                <w:tcPr>
                  <w:tcW w:w="769" w:type="dxa"/>
                  <w:tcBorders>
                    <w:top w:val="nil"/>
                    <w:bottom w:val="nil"/>
                  </w:tcBorders>
                  <w:vAlign w:val="center"/>
                </w:tcPr>
                <w:p>
                  <w:pPr>
                    <w:pStyle w:val="Compact"/>
                    <w:spacing w:before="36" w:after="36"/>
                    <w:jc w:val="center"/>
                    <w:rPr/>
                  </w:pPr>
                  <w:r>
                    <w:rPr/>
                    <w:t>Luna</w:t>
                  </w:r>
                </w:p>
              </w:tc>
              <w:tc>
                <w:tcPr>
                  <w:tcW w:w="1997" w:type="dxa"/>
                  <w:tcBorders>
                    <w:top w:val="nil"/>
                    <w:bottom w:val="nil"/>
                  </w:tcBorders>
                  <w:vAlign w:val="center"/>
                </w:tcPr>
                <w:p>
                  <w:pPr>
                    <w:pStyle w:val="Compact"/>
                    <w:spacing w:before="36" w:after="36"/>
                    <w:jc w:val="center"/>
                    <w:rPr/>
                  </w:pPr>
                  <w:r>
                    <w:rPr/>
                    <w:t>-3.03</w:t>
                  </w:r>
                </w:p>
              </w:tc>
              <w:tc>
                <w:tcPr>
                  <w:tcW w:w="2317" w:type="dxa"/>
                  <w:tcBorders>
                    <w:top w:val="nil"/>
                    <w:bottom w:val="nil"/>
                  </w:tcBorders>
                  <w:vAlign w:val="center"/>
                </w:tcPr>
                <w:p>
                  <w:pPr>
                    <w:pStyle w:val="Compact"/>
                    <w:spacing w:before="36" w:after="36"/>
                    <w:jc w:val="center"/>
                    <w:rPr/>
                  </w:pPr>
                  <w:r>
                    <w:rPr/>
                    <w:t>3.01</w:t>
                  </w:r>
                </w:p>
              </w:tc>
              <w:tc>
                <w:tcPr>
                  <w:tcW w:w="4061" w:type="dxa"/>
                  <w:tcBorders>
                    <w:top w:val="nil"/>
                    <w:bottom w:val="nil"/>
                  </w:tcBorders>
                  <w:vAlign w:val="center"/>
                </w:tcPr>
                <w:p>
                  <w:pPr>
                    <w:pStyle w:val="Compact"/>
                    <w:spacing w:before="36" w:after="36"/>
                    <w:jc w:val="center"/>
                    <w:rPr/>
                  </w:pPr>
                  <w:r>
                    <w:rPr/>
                    <w:t>0.99 [0.97, 1.02]</w:t>
                  </w:r>
                </w:p>
              </w:tc>
            </w:tr>
            <w:tr>
              <w:trPr/>
              <w:tc>
                <w:tcPr>
                  <w:tcW w:w="769" w:type="dxa"/>
                  <w:tcBorders>
                    <w:top w:val="nil"/>
                    <w:bottom w:val="nil"/>
                  </w:tcBorders>
                  <w:vAlign w:val="center"/>
                </w:tcPr>
                <w:p>
                  <w:pPr>
                    <w:pStyle w:val="Compact"/>
                    <w:spacing w:before="36" w:after="36"/>
                    <w:jc w:val="center"/>
                    <w:rPr/>
                  </w:pPr>
                  <w:r>
                    <w:rPr/>
                    <w:t>Terra</w:t>
                  </w:r>
                </w:p>
              </w:tc>
              <w:tc>
                <w:tcPr>
                  <w:tcW w:w="1997" w:type="dxa"/>
                  <w:tcBorders>
                    <w:top w:val="nil"/>
                    <w:bottom w:val="nil"/>
                  </w:tcBorders>
                  <w:vAlign w:val="center"/>
                </w:tcPr>
                <w:p>
                  <w:pPr>
                    <w:pStyle w:val="Compact"/>
                    <w:spacing w:before="36" w:after="36"/>
                    <w:jc w:val="center"/>
                    <w:rPr/>
                  </w:pPr>
                  <w:r>
                    <w:rPr/>
                    <w:t>-3.04</w:t>
                  </w:r>
                </w:p>
              </w:tc>
              <w:tc>
                <w:tcPr>
                  <w:tcW w:w="2317" w:type="dxa"/>
                  <w:tcBorders>
                    <w:top w:val="nil"/>
                    <w:bottom w:val="nil"/>
                  </w:tcBorders>
                  <w:vAlign w:val="center"/>
                </w:tcPr>
                <w:p>
                  <w:pPr>
                    <w:pStyle w:val="Compact"/>
                    <w:spacing w:before="36" w:after="36"/>
                    <w:jc w:val="center"/>
                    <w:rPr/>
                  </w:pPr>
                  <w:r>
                    <w:rPr/>
                    <w:t>3.05</w:t>
                  </w:r>
                </w:p>
              </w:tc>
              <w:tc>
                <w:tcPr>
                  <w:tcW w:w="4061" w:type="dxa"/>
                  <w:tcBorders>
                    <w:top w:val="nil"/>
                    <w:bottom w:val="nil"/>
                  </w:tcBorders>
                  <w:vAlign w:val="center"/>
                </w:tcPr>
                <w:p>
                  <w:pPr>
                    <w:pStyle w:val="Compact"/>
                    <w:spacing w:before="36" w:after="36"/>
                    <w:jc w:val="center"/>
                    <w:rPr/>
                  </w:pPr>
                  <w:r>
                    <w:rPr/>
                    <w:t>1.00 [0.98, 1.02]</w:t>
                  </w:r>
                </w:p>
              </w:tc>
            </w:tr>
            <w:tr>
              <w:trPr/>
              <w:tc>
                <w:tcPr>
                  <w:tcW w:w="769" w:type="dxa"/>
                  <w:tcBorders>
                    <w:top w:val="nil"/>
                  </w:tcBorders>
                  <w:vAlign w:val="center"/>
                </w:tcPr>
                <w:p>
                  <w:pPr>
                    <w:pStyle w:val="Compact"/>
                    <w:spacing w:before="36" w:after="36"/>
                    <w:jc w:val="center"/>
                    <w:rPr/>
                  </w:pPr>
                  <w:r>
                    <w:rPr/>
                    <w:t>Sol</w:t>
                  </w:r>
                </w:p>
              </w:tc>
              <w:tc>
                <w:tcPr>
                  <w:tcW w:w="1997" w:type="dxa"/>
                  <w:tcBorders>
                    <w:top w:val="nil"/>
                  </w:tcBorders>
                  <w:vAlign w:val="center"/>
                </w:tcPr>
                <w:p>
                  <w:pPr>
                    <w:pStyle w:val="Compact"/>
                    <w:spacing w:before="36" w:after="36"/>
                    <w:jc w:val="center"/>
                    <w:rPr/>
                  </w:pPr>
                  <w:r>
                    <w:rPr/>
                    <w:t>-3.08</w:t>
                  </w:r>
                </w:p>
              </w:tc>
              <w:tc>
                <w:tcPr>
                  <w:tcW w:w="2317" w:type="dxa"/>
                  <w:tcBorders>
                    <w:top w:val="nil"/>
                  </w:tcBorders>
                  <w:vAlign w:val="center"/>
                </w:tcPr>
                <w:p>
                  <w:pPr>
                    <w:pStyle w:val="Compact"/>
                    <w:spacing w:before="36" w:after="36"/>
                    <w:jc w:val="center"/>
                    <w:rPr/>
                  </w:pPr>
                  <w:r>
                    <w:rPr/>
                    <w:t>3.08</w:t>
                  </w:r>
                </w:p>
              </w:tc>
              <w:tc>
                <w:tcPr>
                  <w:tcW w:w="4061" w:type="dxa"/>
                  <w:tcBorders>
                    <w:top w:val="nil"/>
                  </w:tcBorders>
                  <w:vAlign w:val="center"/>
                </w:tcPr>
                <w:p>
                  <w:pPr>
                    <w:pStyle w:val="Compact"/>
                    <w:spacing w:before="36" w:after="36"/>
                    <w:jc w:val="center"/>
                    <w:rPr/>
                  </w:pPr>
                  <w:r>
                    <w:rPr/>
                    <w:t>1.00 [0.98, 1.02]</w:t>
                  </w:r>
                  <w:bookmarkStart w:id="155" w:name="apptbl-s2a-discount-price-ratio"/>
                  <w:bookmarkEnd w:id="155"/>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149</m:t>
        </m:r>
      </m:oMath>
      <w:r>
        <w:rPr/>
        <w:t xml:space="preserve"> choice sets (</w:t>
      </w:r>
      <w:r>
        <w:rPr/>
      </w:r>
      <m:oMath xmlns:m="http://schemas.openxmlformats.org/officeDocument/2006/math">
        <m:r>
          <w:rPr>
            <w:rFonts w:ascii="Cambria Math" w:hAnsi="Cambria Math"/>
          </w:rPr>
          <m:t xml:space="preserve">4</m:t>
        </m:r>
        <m:r>
          <w:rPr>
            <w:rFonts w:ascii="Cambria Math" w:hAnsi="Cambria Math"/>
          </w:rPr>
          <m:t xml:space="preserve">,</m:t>
        </m:r>
        <m:r>
          <w:rPr>
            <w:rFonts w:ascii="Cambria Math" w:hAnsi="Cambria Math"/>
          </w:rPr>
          <m:t xml:space="preserve">596</m:t>
        </m:r>
      </m:oMath>
      <w:r>
        <w:rPr/>
        <w:t xml:space="preserve"> observations) per LLM. The discount amount represents the dollar savings computed as </w:t>
      </w:r>
      <w:r>
        <w:rPr/>
      </w:r>
      <m:oMath xmlns:m="http://schemas.openxmlformats.org/officeDocument/2006/math">
        <m:r>
          <m:rPr>
            <m:lit/>
            <m:nor/>
          </m:rPr>
          <w:rPr>
            <w:rFonts w:ascii="Cambria Math" w:hAnsi="Cambria Math"/>
          </w:rPr>
          <m:t xml:space="preserve">Discount %</m:t>
        </m:r>
        <m:r>
          <w:rPr>
            <w:rFonts w:ascii="Cambria Math" w:hAnsi="Cambria Math"/>
          </w:rPr>
          <m:t xml:space="preserve">×</m:t>
        </m:r>
        <m:r>
          <m:rPr>
            <m:lit/>
            <m:nor/>
          </m:rPr>
          <w:rPr>
            <w:rFonts w:ascii="Cambria Math" w:hAnsi="Cambria Math"/>
          </w:rPr>
          <m:t xml:space="preserve">List Price</m:t>
        </m:r>
      </m:oMath>
      <w:r>
        <w:rPr/>
        <w:t xml:space="preserve">. Because the list price represents a cost (negative utility) and the discount amount represents savings (positive utility), the ratio compares their magnitudes: </w:t>
      </w:r>
      <w:r>
        <w:rPr/>
      </w:r>
      <m:oMath xmlns:m="http://schemas.openxmlformats.org/officeDocument/2006/math">
        <m:f>
          <m:fPr>
            <m:type m:val="lin"/>
          </m:fPr>
          <m:num>
            <m:sSub>
              <m:e>
                <m:r>
                  <w:rPr>
                    <w:rFonts w:ascii="Cambria Math" w:hAnsi="Cambria Math"/>
                  </w:rPr>
                  <m:t xml:space="preserve">β</m:t>
                </m:r>
              </m:e>
              <m:sub>
                <m:r>
                  <m:rPr>
                    <m:lit/>
                    <m:nor/>
                  </m:rPr>
                  <w:rPr>
                    <w:rFonts w:ascii="Cambria Math" w:hAnsi="Cambria Math"/>
                  </w:rPr>
                  <m:t xml:space="preserve">Discount Amt</m:t>
                </m:r>
              </m:sub>
            </m:sSub>
          </m:num>
          <m:den>
            <m:r>
              <m:rPr>
                <m:lit/>
                <m:nor/>
              </m:rPr>
              <w:rPr>
                <w:rFonts w:ascii="Cambria Math" w:hAnsi="Cambria Math"/>
              </w:rPr>
              <m:t xml:space="preserve">|</m:t>
            </m:r>
          </m:den>
        </m:f>
        <m:sSub>
          <m:e>
            <m:r>
              <w:rPr>
                <w:rFonts w:ascii="Cambria Math" w:hAnsi="Cambria Math"/>
              </w:rPr>
              <m:t xml:space="preserve">β</m:t>
            </m:r>
          </m:e>
          <m:sub>
            <m:r>
              <m:rPr>
                <m:lit/>
                <m:nor/>
              </m:rPr>
              <w:rPr>
                <w:rFonts w:ascii="Cambria Math" w:hAnsi="Cambria Math"/>
              </w:rPr>
              <m:t xml:space="preserve">List Price</m:t>
            </m:r>
          </m:sub>
        </m:sSub>
        <m:r>
          <m:rPr>
            <m:lit/>
            <m:nor/>
          </m:rPr>
          <w:rPr>
            <w:rFonts w:ascii="Cambria Math" w:hAnsi="Cambria Math"/>
          </w:rPr>
          <m:t xml:space="preserve">|</m:t>
        </m:r>
      </m:oMath>
      <w:r>
        <w:rPr/>
        <w:t>. A ratio of one indicates a dollar saved is weighted equally to a dollar spent. Ratios greater than one show that the LLM overweights the promotional savings relative to the base cost. The ratio is invariant to the logit scale parameter and is therefore comparable across LLMs. Confidence intervals are exact (Fieller).</w:t>
      </w:r>
      <w:bookmarkEnd w:id="153"/>
    </w:p>
    <w:p>
      <w:pPr>
        <w:pStyle w:val="Heading2"/>
        <w:rPr/>
      </w:pPr>
      <w:bookmarkStart w:id="156" w:name="study-2---tool-lab"/>
      <w:r>
        <w:rPr/>
        <w:t>Study 2 - Tool-Lab</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W21: Diagnostic information acquisition and choice optimality (Study 2 Tool-Lab)</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769"/>
              <w:gridCol w:w="643"/>
              <w:gridCol w:w="2258"/>
              <w:gridCol w:w="1413"/>
              <w:gridCol w:w="2447"/>
              <w:gridCol w:w="1614"/>
            </w:tblGrid>
            <w:tr>
              <w:trPr>
                <w:tblHeader w:val="true"/>
              </w:trPr>
              <w:tc>
                <w:tcPr>
                  <w:tcW w:w="769" w:type="dxa"/>
                  <w:tcBorders/>
                  <w:vAlign w:val="center"/>
                </w:tcPr>
                <w:p>
                  <w:pPr>
                    <w:pStyle w:val="Compact"/>
                    <w:spacing w:before="36" w:after="36"/>
                    <w:jc w:val="center"/>
                    <w:rPr>
                      <w:b w:val="false"/>
                    </w:rPr>
                  </w:pPr>
                  <w:r>
                    <w:rPr>
                      <w:b w:val="false"/>
                    </w:rPr>
                    <w:t>LLM</w:t>
                  </w:r>
                </w:p>
              </w:tc>
              <w:tc>
                <w:tcPr>
                  <w:tcW w:w="643" w:type="dxa"/>
                  <w:tcBorders/>
                  <w:vAlign w:val="center"/>
                </w:tcPr>
                <w:p>
                  <w:pPr>
                    <w:pStyle w:val="Compact"/>
                    <w:spacing w:before="36" w:after="36"/>
                    <w:jc w:val="center"/>
                    <w:rPr>
                      <w:b w:val="false"/>
                    </w:rPr>
                  </w:pPr>
                  <w:r>
                    <w:rPr>
                      <w:b w:val="false"/>
                    </w:rPr>
                    <w:t>Cost</w:t>
                  </w:r>
                </w:p>
              </w:tc>
              <w:tc>
                <w:tcPr>
                  <w:tcW w:w="2258" w:type="dxa"/>
                  <w:tcBorders/>
                  <w:vAlign w:val="center"/>
                </w:tcPr>
                <w:p>
                  <w:pPr>
                    <w:pStyle w:val="Compact"/>
                    <w:spacing w:before="36" w:after="36"/>
                    <w:jc w:val="center"/>
                    <w:rPr>
                      <w:b w:val="false"/>
                    </w:rPr>
                  </w:pPr>
                  <w:r>
                    <w:rPr>
                      <w:b w:val="false"/>
                    </w:rPr>
                    <w:t>Vague</w:t>
                  </w:r>
                </w:p>
              </w:tc>
              <w:tc>
                <w:tcPr>
                  <w:tcW w:w="1413" w:type="dxa"/>
                  <w:tcBorders/>
                  <w:vAlign w:val="center"/>
                </w:tcPr>
                <w:p>
                  <w:pPr>
                    <w:pStyle w:val="Compact"/>
                    <w:spacing w:before="36" w:after="36"/>
                    <w:rPr>
                      <w:b w:val="false"/>
                    </w:rPr>
                  </w:pPr>
                  <w:r>
                    <w:rPr>
                      <w:b w:val="false"/>
                    </w:rPr>
                  </w:r>
                </w:p>
              </w:tc>
              <w:tc>
                <w:tcPr>
                  <w:tcW w:w="2447" w:type="dxa"/>
                  <w:tcBorders/>
                  <w:vAlign w:val="center"/>
                </w:tcPr>
                <w:p>
                  <w:pPr>
                    <w:pStyle w:val="Compact"/>
                    <w:spacing w:before="36" w:after="36"/>
                    <w:jc w:val="center"/>
                    <w:rPr>
                      <w:b w:val="false"/>
                    </w:rPr>
                  </w:pPr>
                  <w:r>
                    <w:rPr>
                      <w:b w:val="false"/>
                    </w:rPr>
                    <w:t>Explicit</w:t>
                  </w:r>
                </w:p>
              </w:tc>
              <w:tc>
                <w:tcPr>
                  <w:tcW w:w="1614" w:type="dxa"/>
                  <w:tcBorders/>
                  <w:vAlign w:val="center"/>
                </w:tcPr>
                <w:p>
                  <w:pPr>
                    <w:pStyle w:val="Compact"/>
                    <w:spacing w:before="36" w:after="36"/>
                    <w:rPr>
                      <w:b w:val="false"/>
                    </w:rPr>
                  </w:pPr>
                  <w:r>
                    <w:rPr>
                      <w:b w:val="false"/>
                    </w:rPr>
                  </w:r>
                </w:p>
              </w:tc>
            </w:tr>
            <w:tr>
              <w:trPr/>
              <w:tc>
                <w:tcPr>
                  <w:tcW w:w="769" w:type="dxa"/>
                  <w:tcBorders>
                    <w:top w:val="nil"/>
                    <w:bottom w:val="nil"/>
                  </w:tcBorders>
                  <w:vAlign w:val="center"/>
                </w:tcPr>
                <w:p>
                  <w:pPr>
                    <w:pStyle w:val="Compact"/>
                    <w:spacing w:lineRule="auto" w:line="240" w:before="36" w:after="36"/>
                    <w:ind w:hanging="0"/>
                    <w:jc w:val="left"/>
                    <w:rPr/>
                  </w:pPr>
                  <w:r>
                    <w:rPr/>
                  </w:r>
                </w:p>
              </w:tc>
              <w:tc>
                <w:tcPr>
                  <w:tcW w:w="643" w:type="dxa"/>
                  <w:tcBorders>
                    <w:top w:val="nil"/>
                    <w:bottom w:val="nil"/>
                  </w:tcBorders>
                  <w:vAlign w:val="center"/>
                </w:tcPr>
                <w:p>
                  <w:pPr>
                    <w:pStyle w:val="Compact"/>
                    <w:spacing w:lineRule="auto" w:line="240" w:before="36" w:after="36"/>
                    <w:ind w:hanging="0"/>
                    <w:jc w:val="left"/>
                    <w:rPr/>
                  </w:pPr>
                  <w:r>
                    <w:rPr/>
                  </w:r>
                </w:p>
              </w:tc>
              <w:tc>
                <w:tcPr>
                  <w:tcW w:w="2258" w:type="dxa"/>
                  <w:tcBorders>
                    <w:top w:val="nil"/>
                    <w:bottom w:val="nil"/>
                  </w:tcBorders>
                  <w:vAlign w:val="center"/>
                </w:tcPr>
                <w:p>
                  <w:pPr>
                    <w:pStyle w:val="Compact"/>
                    <w:spacing w:before="36" w:after="36"/>
                    <w:jc w:val="center"/>
                    <w:rPr/>
                  </w:pPr>
                  <w:r>
                    <w:rPr/>
                    <w:t>Diagnostic acquisitions</w:t>
                  </w:r>
                </w:p>
              </w:tc>
              <w:tc>
                <w:tcPr>
                  <w:tcW w:w="1413" w:type="dxa"/>
                  <w:tcBorders>
                    <w:top w:val="nil"/>
                    <w:bottom w:val="nil"/>
                  </w:tcBorders>
                  <w:vAlign w:val="center"/>
                </w:tcPr>
                <w:p>
                  <w:pPr>
                    <w:pStyle w:val="Compact"/>
                    <w:spacing w:before="36" w:after="36"/>
                    <w:jc w:val="center"/>
                    <w:rPr/>
                  </w:pPr>
                  <w:r>
                    <w:rPr/>
                    <w:t>Optimality</w:t>
                  </w:r>
                </w:p>
              </w:tc>
              <w:tc>
                <w:tcPr>
                  <w:tcW w:w="2447" w:type="dxa"/>
                  <w:tcBorders>
                    <w:top w:val="nil"/>
                    <w:bottom w:val="nil"/>
                  </w:tcBorders>
                  <w:vAlign w:val="center"/>
                </w:tcPr>
                <w:p>
                  <w:pPr>
                    <w:pStyle w:val="Compact"/>
                    <w:spacing w:before="36" w:after="36"/>
                    <w:jc w:val="center"/>
                    <w:rPr/>
                  </w:pPr>
                  <w:r>
                    <w:rPr/>
                    <w:t>Diagnostic acquisitions</w:t>
                  </w:r>
                </w:p>
              </w:tc>
              <w:tc>
                <w:tcPr>
                  <w:tcW w:w="1614" w:type="dxa"/>
                  <w:tcBorders>
                    <w:top w:val="nil"/>
                    <w:bottom w:val="nil"/>
                  </w:tcBorders>
                  <w:vAlign w:val="center"/>
                </w:tcPr>
                <w:p>
                  <w:pPr>
                    <w:pStyle w:val="Compact"/>
                    <w:spacing w:before="36" w:after="36"/>
                    <w:jc w:val="center"/>
                    <w:rPr/>
                  </w:pPr>
                  <w:r>
                    <w:rPr/>
                    <w:t>Optimality</w:t>
                  </w:r>
                </w:p>
              </w:tc>
            </w:tr>
            <w:tr>
              <w:trPr/>
              <w:tc>
                <w:tcPr>
                  <w:tcW w:w="769" w:type="dxa"/>
                  <w:tcBorders>
                    <w:top w:val="nil"/>
                    <w:bottom w:val="nil"/>
                  </w:tcBorders>
                  <w:vAlign w:val="center"/>
                </w:tcPr>
                <w:p>
                  <w:pPr>
                    <w:pStyle w:val="Compact"/>
                    <w:spacing w:before="36" w:after="36"/>
                    <w:jc w:val="center"/>
                    <w:rPr/>
                  </w:pPr>
                  <w:r>
                    <w:rPr/>
                    <w:t>Google</w:t>
                  </w:r>
                </w:p>
              </w:tc>
              <w:tc>
                <w:tcPr>
                  <w:tcW w:w="643" w:type="dxa"/>
                  <w:tcBorders>
                    <w:top w:val="nil"/>
                    <w:bottom w:val="nil"/>
                  </w:tcBorders>
                  <w:vAlign w:val="center"/>
                </w:tcPr>
                <w:p>
                  <w:pPr>
                    <w:pStyle w:val="Compact"/>
                    <w:spacing w:lineRule="auto" w:line="240" w:before="36" w:after="36"/>
                    <w:ind w:hanging="0"/>
                    <w:jc w:val="left"/>
                    <w:rPr/>
                  </w:pPr>
                  <w:r>
                    <w:rPr/>
                  </w:r>
                </w:p>
              </w:tc>
              <w:tc>
                <w:tcPr>
                  <w:tcW w:w="2258" w:type="dxa"/>
                  <w:tcBorders>
                    <w:top w:val="nil"/>
                    <w:bottom w:val="nil"/>
                  </w:tcBorders>
                  <w:vAlign w:val="center"/>
                </w:tcPr>
                <w:p>
                  <w:pPr>
                    <w:pStyle w:val="Compact"/>
                    <w:spacing w:lineRule="auto" w:line="240" w:before="36" w:after="36"/>
                    <w:ind w:hanging="0"/>
                    <w:jc w:val="left"/>
                    <w:rPr/>
                  </w:pPr>
                  <w:r>
                    <w:rPr/>
                  </w:r>
                </w:p>
              </w:tc>
              <w:tc>
                <w:tcPr>
                  <w:tcW w:w="1413" w:type="dxa"/>
                  <w:tcBorders>
                    <w:top w:val="nil"/>
                    <w:bottom w:val="nil"/>
                  </w:tcBorders>
                  <w:vAlign w:val="center"/>
                </w:tcPr>
                <w:p>
                  <w:pPr>
                    <w:pStyle w:val="Compact"/>
                    <w:spacing w:lineRule="auto" w:line="240" w:before="36" w:after="36"/>
                    <w:ind w:hanging="0"/>
                    <w:jc w:val="left"/>
                    <w:rPr/>
                  </w:pPr>
                  <w:r>
                    <w:rPr/>
                  </w:r>
                </w:p>
              </w:tc>
              <w:tc>
                <w:tcPr>
                  <w:tcW w:w="2447" w:type="dxa"/>
                  <w:tcBorders>
                    <w:top w:val="nil"/>
                    <w:bottom w:val="nil"/>
                  </w:tcBorders>
                  <w:vAlign w:val="center"/>
                </w:tcPr>
                <w:p>
                  <w:pPr>
                    <w:pStyle w:val="Compact"/>
                    <w:spacing w:lineRule="auto" w:line="240" w:before="36" w:after="36"/>
                    <w:ind w:hanging="0"/>
                    <w:jc w:val="left"/>
                    <w:rPr/>
                  </w:pPr>
                  <w:r>
                    <w:rPr/>
                  </w:r>
                </w:p>
              </w:tc>
              <w:tc>
                <w:tcPr>
                  <w:tcW w:w="1614" w:type="dxa"/>
                  <w:tcBorders>
                    <w:top w:val="nil"/>
                    <w:bottom w:val="nil"/>
                  </w:tcBorders>
                  <w:vAlign w:val="center"/>
                </w:tcPr>
                <w:p>
                  <w:pPr>
                    <w:pStyle w:val="Compact"/>
                    <w:spacing w:lineRule="auto" w:line="240" w:before="36" w:after="36"/>
                    <w:ind w:hanging="0"/>
                    <w:jc w:val="left"/>
                    <w:rPr/>
                  </w:pPr>
                  <w:r>
                    <w:rPr/>
                  </w:r>
                </w:p>
              </w:tc>
            </w:tr>
            <w:tr>
              <w:trPr/>
              <w:tc>
                <w:tcPr>
                  <w:tcW w:w="769" w:type="dxa"/>
                  <w:tcBorders>
                    <w:top w:val="nil"/>
                    <w:bottom w:val="nil"/>
                  </w:tcBorders>
                  <w:vAlign w:val="center"/>
                </w:tcPr>
                <w:p>
                  <w:pPr>
                    <w:pStyle w:val="Compact"/>
                    <w:spacing w:before="36" w:after="36"/>
                    <w:jc w:val="center"/>
                    <w:rPr/>
                  </w:pPr>
                  <w:r>
                    <w:rPr/>
                    <w:t>Flash Lite</w:t>
                  </w:r>
                </w:p>
              </w:tc>
              <w:tc>
                <w:tcPr>
                  <w:tcW w:w="643" w:type="dxa"/>
                  <w:tcBorders>
                    <w:top w:val="nil"/>
                    <w:bottom w:val="nil"/>
                  </w:tcBorders>
                  <w:vAlign w:val="center"/>
                </w:tcPr>
                <w:p>
                  <w:pPr>
                    <w:pStyle w:val="Compact"/>
                    <w:spacing w:before="36" w:after="36"/>
                    <w:jc w:val="center"/>
                    <w:rPr/>
                  </w:pPr>
                  <w:r>
                    <w:rPr/>
                    <w:t>$0</w:t>
                  </w:r>
                </w:p>
              </w:tc>
              <w:tc>
                <w:tcPr>
                  <w:tcW w:w="2258" w:type="dxa"/>
                  <w:tcBorders>
                    <w:top w:val="nil"/>
                    <w:bottom w:val="nil"/>
                  </w:tcBorders>
                  <w:vAlign w:val="center"/>
                </w:tcPr>
                <w:p>
                  <w:pPr>
                    <w:pStyle w:val="Compact"/>
                    <w:spacing w:before="36" w:after="36"/>
                    <w:jc w:val="center"/>
                    <w:rPr/>
                  </w:pPr>
                  <w:r>
                    <w:rPr/>
                    <w:t>9.00 (0.00)</w:t>
                  </w:r>
                </w:p>
              </w:tc>
              <w:tc>
                <w:tcPr>
                  <w:tcW w:w="1413" w:type="dxa"/>
                  <w:tcBorders>
                    <w:top w:val="nil"/>
                    <w:bottom w:val="nil"/>
                  </w:tcBorders>
                  <w:vAlign w:val="center"/>
                </w:tcPr>
                <w:p>
                  <w:pPr>
                    <w:pStyle w:val="Compact"/>
                    <w:spacing w:before="36" w:after="36"/>
                    <w:jc w:val="center"/>
                    <w:rPr/>
                  </w:pPr>
                  <w:r>
                    <w:rPr/>
                    <w:t>0.11 (0.31)</w:t>
                  </w:r>
                </w:p>
              </w:tc>
              <w:tc>
                <w:tcPr>
                  <w:tcW w:w="2447" w:type="dxa"/>
                  <w:tcBorders>
                    <w:top w:val="nil"/>
                    <w:bottom w:val="nil"/>
                  </w:tcBorders>
                  <w:vAlign w:val="center"/>
                </w:tcPr>
                <w:p>
                  <w:pPr>
                    <w:pStyle w:val="Compact"/>
                    <w:spacing w:before="36" w:after="36"/>
                    <w:jc w:val="center"/>
                    <w:rPr/>
                  </w:pPr>
                  <w:r>
                    <w:rPr/>
                    <w:t>8.91 (0.45)</w:t>
                  </w:r>
                </w:p>
              </w:tc>
              <w:tc>
                <w:tcPr>
                  <w:tcW w:w="1614" w:type="dxa"/>
                  <w:tcBorders>
                    <w:top w:val="nil"/>
                    <w:bottom w:val="nil"/>
                  </w:tcBorders>
                  <w:vAlign w:val="center"/>
                </w:tcPr>
                <w:p>
                  <w:pPr>
                    <w:pStyle w:val="Compact"/>
                    <w:spacing w:before="36" w:after="36"/>
                    <w:jc w:val="center"/>
                    <w:rPr/>
                  </w:pPr>
                  <w:r>
                    <w:rPr/>
                    <w:t>0.27 (0.45)</w:t>
                  </w:r>
                </w:p>
              </w:tc>
            </w:tr>
            <w:tr>
              <w:trPr/>
              <w:tc>
                <w:tcPr>
                  <w:tcW w:w="769" w:type="dxa"/>
                  <w:tcBorders>
                    <w:top w:val="nil"/>
                    <w:bottom w:val="nil"/>
                  </w:tcBorders>
                  <w:vAlign w:val="center"/>
                </w:tcPr>
                <w:p>
                  <w:pPr>
                    <w:pStyle w:val="Compact"/>
                    <w:spacing w:before="36" w:after="36"/>
                    <w:jc w:val="center"/>
                    <w:rPr/>
                  </w:pPr>
                  <w:r>
                    <w:rPr/>
                    <w:t>Flash Lite</w:t>
                  </w:r>
                </w:p>
              </w:tc>
              <w:tc>
                <w:tcPr>
                  <w:tcW w:w="643" w:type="dxa"/>
                  <w:tcBorders>
                    <w:top w:val="nil"/>
                    <w:bottom w:val="nil"/>
                  </w:tcBorders>
                  <w:vAlign w:val="center"/>
                </w:tcPr>
                <w:p>
                  <w:pPr>
                    <w:pStyle w:val="Compact"/>
                    <w:spacing w:before="36" w:after="36"/>
                    <w:jc w:val="center"/>
                    <w:rPr/>
                  </w:pPr>
                  <w:r>
                    <w:rPr/>
                    <w:t>$50</w:t>
                  </w:r>
                </w:p>
              </w:tc>
              <w:tc>
                <w:tcPr>
                  <w:tcW w:w="2258" w:type="dxa"/>
                  <w:tcBorders>
                    <w:top w:val="nil"/>
                    <w:bottom w:val="nil"/>
                  </w:tcBorders>
                  <w:vAlign w:val="center"/>
                </w:tcPr>
                <w:p>
                  <w:pPr>
                    <w:pStyle w:val="Compact"/>
                    <w:spacing w:before="36" w:after="36"/>
                    <w:jc w:val="center"/>
                    <w:rPr/>
                  </w:pPr>
                  <w:r>
                    <w:rPr/>
                    <w:t>7.82 (1.64)</w:t>
                  </w:r>
                </w:p>
              </w:tc>
              <w:tc>
                <w:tcPr>
                  <w:tcW w:w="1413" w:type="dxa"/>
                  <w:tcBorders>
                    <w:top w:val="nil"/>
                    <w:bottom w:val="nil"/>
                  </w:tcBorders>
                  <w:vAlign w:val="center"/>
                </w:tcPr>
                <w:p>
                  <w:pPr>
                    <w:pStyle w:val="Compact"/>
                    <w:spacing w:before="36" w:after="36"/>
                    <w:jc w:val="center"/>
                    <w:rPr/>
                  </w:pPr>
                  <w:r>
                    <w:rPr/>
                    <w:t>0.09 (0.29)</w:t>
                  </w:r>
                </w:p>
              </w:tc>
              <w:tc>
                <w:tcPr>
                  <w:tcW w:w="2447" w:type="dxa"/>
                  <w:tcBorders>
                    <w:top w:val="nil"/>
                    <w:bottom w:val="nil"/>
                  </w:tcBorders>
                  <w:vAlign w:val="center"/>
                </w:tcPr>
                <w:p>
                  <w:pPr>
                    <w:pStyle w:val="Compact"/>
                    <w:spacing w:before="36" w:after="36"/>
                    <w:jc w:val="center"/>
                    <w:rPr/>
                  </w:pPr>
                  <w:r>
                    <w:rPr/>
                    <w:t>8.11 (1.35)</w:t>
                  </w:r>
                </w:p>
              </w:tc>
              <w:tc>
                <w:tcPr>
                  <w:tcW w:w="1614" w:type="dxa"/>
                  <w:tcBorders>
                    <w:top w:val="nil"/>
                    <w:bottom w:val="nil"/>
                  </w:tcBorders>
                  <w:vAlign w:val="center"/>
                </w:tcPr>
                <w:p>
                  <w:pPr>
                    <w:pStyle w:val="Compact"/>
                    <w:spacing w:before="36" w:after="36"/>
                    <w:jc w:val="center"/>
                    <w:rPr/>
                  </w:pPr>
                  <w:r>
                    <w:rPr/>
                    <w:t>0.35 (0.48)</w:t>
                  </w:r>
                </w:p>
              </w:tc>
            </w:tr>
            <w:tr>
              <w:trPr/>
              <w:tc>
                <w:tcPr>
                  <w:tcW w:w="769" w:type="dxa"/>
                  <w:tcBorders>
                    <w:top w:val="nil"/>
                    <w:bottom w:val="nil"/>
                  </w:tcBorders>
                  <w:vAlign w:val="center"/>
                </w:tcPr>
                <w:p>
                  <w:pPr>
                    <w:pStyle w:val="Compact"/>
                    <w:spacing w:before="36" w:after="36"/>
                    <w:jc w:val="center"/>
                    <w:rPr/>
                  </w:pPr>
                  <w:r>
                    <w:rPr/>
                    <w:t>Flash</w:t>
                  </w:r>
                </w:p>
              </w:tc>
              <w:tc>
                <w:tcPr>
                  <w:tcW w:w="643" w:type="dxa"/>
                  <w:tcBorders>
                    <w:top w:val="nil"/>
                    <w:bottom w:val="nil"/>
                  </w:tcBorders>
                  <w:vAlign w:val="center"/>
                </w:tcPr>
                <w:p>
                  <w:pPr>
                    <w:pStyle w:val="Compact"/>
                    <w:spacing w:before="36" w:after="36"/>
                    <w:jc w:val="center"/>
                    <w:rPr/>
                  </w:pPr>
                  <w:r>
                    <w:rPr/>
                    <w:t>$0</w:t>
                  </w:r>
                </w:p>
              </w:tc>
              <w:tc>
                <w:tcPr>
                  <w:tcW w:w="2258" w:type="dxa"/>
                  <w:tcBorders>
                    <w:top w:val="nil"/>
                    <w:bottom w:val="nil"/>
                  </w:tcBorders>
                  <w:vAlign w:val="center"/>
                </w:tcPr>
                <w:p>
                  <w:pPr>
                    <w:pStyle w:val="Compact"/>
                    <w:spacing w:before="36" w:after="36"/>
                    <w:jc w:val="center"/>
                    <w:rPr/>
                  </w:pPr>
                  <w:r>
                    <w:rPr/>
                    <w:t>9.00 (0.00)</w:t>
                  </w:r>
                </w:p>
              </w:tc>
              <w:tc>
                <w:tcPr>
                  <w:tcW w:w="1413" w:type="dxa"/>
                  <w:tcBorders>
                    <w:top w:val="nil"/>
                    <w:bottom w:val="nil"/>
                  </w:tcBorders>
                  <w:vAlign w:val="center"/>
                </w:tcPr>
                <w:p>
                  <w:pPr>
                    <w:pStyle w:val="Compact"/>
                    <w:spacing w:before="36" w:after="36"/>
                    <w:jc w:val="center"/>
                    <w:rPr/>
                  </w:pPr>
                  <w:r>
                    <w:rPr/>
                    <w:t>1.00 (0.00)</w:t>
                  </w:r>
                </w:p>
              </w:tc>
              <w:tc>
                <w:tcPr>
                  <w:tcW w:w="2447" w:type="dxa"/>
                  <w:tcBorders>
                    <w:top w:val="nil"/>
                    <w:bottom w:val="nil"/>
                  </w:tcBorders>
                  <w:vAlign w:val="center"/>
                </w:tcPr>
                <w:p>
                  <w:pPr>
                    <w:pStyle w:val="Compact"/>
                    <w:spacing w:before="36" w:after="36"/>
                    <w:jc w:val="center"/>
                    <w:rPr/>
                  </w:pPr>
                  <w:r>
                    <w:rPr/>
                    <w:t>9.00 (0.00)</w:t>
                  </w:r>
                </w:p>
              </w:tc>
              <w:tc>
                <w:tcPr>
                  <w:tcW w:w="1614" w:type="dxa"/>
                  <w:tcBorders>
                    <w:top w:val="nil"/>
                    <w:bottom w:val="nil"/>
                  </w:tcBorders>
                  <w:vAlign w:val="center"/>
                </w:tcPr>
                <w:p>
                  <w:pPr>
                    <w:pStyle w:val="Compact"/>
                    <w:spacing w:before="36" w:after="36"/>
                    <w:jc w:val="center"/>
                    <w:rPr/>
                  </w:pPr>
                  <w:r>
                    <w:rPr/>
                    <w:t>1.00 (0.00)</w:t>
                  </w:r>
                </w:p>
              </w:tc>
            </w:tr>
            <w:tr>
              <w:trPr/>
              <w:tc>
                <w:tcPr>
                  <w:tcW w:w="769" w:type="dxa"/>
                  <w:tcBorders>
                    <w:top w:val="nil"/>
                    <w:bottom w:val="nil"/>
                  </w:tcBorders>
                  <w:vAlign w:val="center"/>
                </w:tcPr>
                <w:p>
                  <w:pPr>
                    <w:pStyle w:val="Compact"/>
                    <w:spacing w:before="36" w:after="36"/>
                    <w:jc w:val="center"/>
                    <w:rPr/>
                  </w:pPr>
                  <w:r>
                    <w:rPr/>
                    <w:t>Flash</w:t>
                  </w:r>
                </w:p>
              </w:tc>
              <w:tc>
                <w:tcPr>
                  <w:tcW w:w="643" w:type="dxa"/>
                  <w:tcBorders>
                    <w:top w:val="nil"/>
                    <w:bottom w:val="nil"/>
                  </w:tcBorders>
                  <w:vAlign w:val="center"/>
                </w:tcPr>
                <w:p>
                  <w:pPr>
                    <w:pStyle w:val="Compact"/>
                    <w:spacing w:before="36" w:after="36"/>
                    <w:jc w:val="center"/>
                    <w:rPr/>
                  </w:pPr>
                  <w:r>
                    <w:rPr/>
                    <w:t>$50</w:t>
                  </w:r>
                </w:p>
              </w:tc>
              <w:tc>
                <w:tcPr>
                  <w:tcW w:w="2258" w:type="dxa"/>
                  <w:tcBorders>
                    <w:top w:val="nil"/>
                    <w:bottom w:val="nil"/>
                  </w:tcBorders>
                  <w:vAlign w:val="center"/>
                </w:tcPr>
                <w:p>
                  <w:pPr>
                    <w:pStyle w:val="Compact"/>
                    <w:spacing w:before="36" w:after="36"/>
                    <w:jc w:val="center"/>
                    <w:rPr/>
                  </w:pPr>
                  <w:r>
                    <w:rPr/>
                    <w:t>1.12 (1.60)</w:t>
                  </w:r>
                </w:p>
              </w:tc>
              <w:tc>
                <w:tcPr>
                  <w:tcW w:w="1413" w:type="dxa"/>
                  <w:tcBorders>
                    <w:top w:val="nil"/>
                    <w:bottom w:val="nil"/>
                  </w:tcBorders>
                  <w:vAlign w:val="center"/>
                </w:tcPr>
                <w:p>
                  <w:pPr>
                    <w:pStyle w:val="Compact"/>
                    <w:spacing w:before="36" w:after="36"/>
                    <w:jc w:val="center"/>
                    <w:rPr/>
                  </w:pPr>
                  <w:r>
                    <w:rPr/>
                    <w:t>0.31 (0.46)</w:t>
                  </w:r>
                </w:p>
              </w:tc>
              <w:tc>
                <w:tcPr>
                  <w:tcW w:w="2447" w:type="dxa"/>
                  <w:tcBorders>
                    <w:top w:val="nil"/>
                    <w:bottom w:val="nil"/>
                  </w:tcBorders>
                  <w:vAlign w:val="center"/>
                </w:tcPr>
                <w:p>
                  <w:pPr>
                    <w:pStyle w:val="Compact"/>
                    <w:spacing w:before="36" w:after="36"/>
                    <w:jc w:val="center"/>
                    <w:rPr/>
                  </w:pPr>
                  <w:r>
                    <w:rPr/>
                    <w:t>6.03 (3.69)</w:t>
                  </w:r>
                </w:p>
              </w:tc>
              <w:tc>
                <w:tcPr>
                  <w:tcW w:w="1614" w:type="dxa"/>
                  <w:tcBorders>
                    <w:top w:val="nil"/>
                    <w:bottom w:val="nil"/>
                  </w:tcBorders>
                  <w:vAlign w:val="center"/>
                </w:tcPr>
                <w:p>
                  <w:pPr>
                    <w:pStyle w:val="Compact"/>
                    <w:spacing w:before="36" w:after="36"/>
                    <w:jc w:val="center"/>
                    <w:rPr/>
                  </w:pPr>
                  <w:r>
                    <w:rPr/>
                    <w:t>0.79 (0.41)</w:t>
                  </w:r>
                </w:p>
              </w:tc>
            </w:tr>
            <w:tr>
              <w:trPr/>
              <w:tc>
                <w:tcPr>
                  <w:tcW w:w="769" w:type="dxa"/>
                  <w:tcBorders>
                    <w:top w:val="nil"/>
                    <w:bottom w:val="nil"/>
                  </w:tcBorders>
                  <w:vAlign w:val="center"/>
                </w:tcPr>
                <w:p>
                  <w:pPr>
                    <w:pStyle w:val="Compact"/>
                    <w:spacing w:before="36" w:after="36"/>
                    <w:jc w:val="center"/>
                    <w:rPr/>
                  </w:pPr>
                  <w:r>
                    <w:rPr/>
                    <w:t>Pro</w:t>
                  </w:r>
                </w:p>
              </w:tc>
              <w:tc>
                <w:tcPr>
                  <w:tcW w:w="643" w:type="dxa"/>
                  <w:tcBorders>
                    <w:top w:val="nil"/>
                    <w:bottom w:val="nil"/>
                  </w:tcBorders>
                  <w:vAlign w:val="center"/>
                </w:tcPr>
                <w:p>
                  <w:pPr>
                    <w:pStyle w:val="Compact"/>
                    <w:spacing w:before="36" w:after="36"/>
                    <w:jc w:val="center"/>
                    <w:rPr/>
                  </w:pPr>
                  <w:r>
                    <w:rPr/>
                    <w:t>$0</w:t>
                  </w:r>
                </w:p>
              </w:tc>
              <w:tc>
                <w:tcPr>
                  <w:tcW w:w="2258" w:type="dxa"/>
                  <w:tcBorders>
                    <w:top w:val="nil"/>
                    <w:bottom w:val="nil"/>
                  </w:tcBorders>
                  <w:vAlign w:val="center"/>
                </w:tcPr>
                <w:p>
                  <w:pPr>
                    <w:pStyle w:val="Compact"/>
                    <w:spacing w:before="36" w:after="36"/>
                    <w:jc w:val="center"/>
                    <w:rPr/>
                  </w:pPr>
                  <w:r>
                    <w:rPr/>
                    <w:t>9.00 (0.00)</w:t>
                  </w:r>
                </w:p>
              </w:tc>
              <w:tc>
                <w:tcPr>
                  <w:tcW w:w="1413" w:type="dxa"/>
                  <w:tcBorders>
                    <w:top w:val="nil"/>
                    <w:bottom w:val="nil"/>
                  </w:tcBorders>
                  <w:vAlign w:val="center"/>
                </w:tcPr>
                <w:p>
                  <w:pPr>
                    <w:pStyle w:val="Compact"/>
                    <w:spacing w:before="36" w:after="36"/>
                    <w:jc w:val="center"/>
                    <w:rPr/>
                  </w:pPr>
                  <w:r>
                    <w:rPr/>
                    <w:t>0.84 (0.37)</w:t>
                  </w:r>
                </w:p>
              </w:tc>
              <w:tc>
                <w:tcPr>
                  <w:tcW w:w="2447" w:type="dxa"/>
                  <w:tcBorders>
                    <w:top w:val="nil"/>
                    <w:bottom w:val="nil"/>
                  </w:tcBorders>
                  <w:vAlign w:val="center"/>
                </w:tcPr>
                <w:p>
                  <w:pPr>
                    <w:pStyle w:val="Compact"/>
                    <w:spacing w:before="36" w:after="36"/>
                    <w:jc w:val="center"/>
                    <w:rPr/>
                  </w:pPr>
                  <w:r>
                    <w:rPr/>
                    <w:t>9.00 (0.00)</w:t>
                  </w:r>
                </w:p>
              </w:tc>
              <w:tc>
                <w:tcPr>
                  <w:tcW w:w="1614" w:type="dxa"/>
                  <w:tcBorders>
                    <w:top w:val="nil"/>
                    <w:bottom w:val="nil"/>
                  </w:tcBorders>
                  <w:vAlign w:val="center"/>
                </w:tcPr>
                <w:p>
                  <w:pPr>
                    <w:pStyle w:val="Compact"/>
                    <w:spacing w:before="36" w:after="36"/>
                    <w:jc w:val="center"/>
                    <w:rPr/>
                  </w:pPr>
                  <w:r>
                    <w:rPr/>
                    <w:t>1.00 (0.00)</w:t>
                  </w:r>
                </w:p>
              </w:tc>
            </w:tr>
            <w:tr>
              <w:trPr/>
              <w:tc>
                <w:tcPr>
                  <w:tcW w:w="769" w:type="dxa"/>
                  <w:tcBorders>
                    <w:top w:val="nil"/>
                    <w:bottom w:val="nil"/>
                  </w:tcBorders>
                  <w:vAlign w:val="center"/>
                </w:tcPr>
                <w:p>
                  <w:pPr>
                    <w:pStyle w:val="Compact"/>
                    <w:spacing w:before="36" w:after="36"/>
                    <w:jc w:val="center"/>
                    <w:rPr/>
                  </w:pPr>
                  <w:r>
                    <w:rPr/>
                    <w:t>Pro</w:t>
                  </w:r>
                </w:p>
              </w:tc>
              <w:tc>
                <w:tcPr>
                  <w:tcW w:w="643" w:type="dxa"/>
                  <w:tcBorders>
                    <w:top w:val="nil"/>
                    <w:bottom w:val="nil"/>
                  </w:tcBorders>
                  <w:vAlign w:val="center"/>
                </w:tcPr>
                <w:p>
                  <w:pPr>
                    <w:pStyle w:val="Compact"/>
                    <w:spacing w:before="36" w:after="36"/>
                    <w:jc w:val="center"/>
                    <w:rPr/>
                  </w:pPr>
                  <w:r>
                    <w:rPr/>
                    <w:t>$50</w:t>
                  </w:r>
                </w:p>
              </w:tc>
              <w:tc>
                <w:tcPr>
                  <w:tcW w:w="2258" w:type="dxa"/>
                  <w:tcBorders>
                    <w:top w:val="nil"/>
                    <w:bottom w:val="nil"/>
                  </w:tcBorders>
                  <w:vAlign w:val="center"/>
                </w:tcPr>
                <w:p>
                  <w:pPr>
                    <w:pStyle w:val="Compact"/>
                    <w:spacing w:before="36" w:after="36"/>
                    <w:jc w:val="center"/>
                    <w:rPr/>
                  </w:pPr>
                  <w:r>
                    <w:rPr/>
                    <w:t>5.17 (3.94)</w:t>
                  </w:r>
                </w:p>
              </w:tc>
              <w:tc>
                <w:tcPr>
                  <w:tcW w:w="1413" w:type="dxa"/>
                  <w:tcBorders>
                    <w:top w:val="nil"/>
                    <w:bottom w:val="nil"/>
                  </w:tcBorders>
                  <w:vAlign w:val="center"/>
                </w:tcPr>
                <w:p>
                  <w:pPr>
                    <w:pStyle w:val="Compact"/>
                    <w:spacing w:before="36" w:after="36"/>
                    <w:jc w:val="center"/>
                    <w:rPr/>
                  </w:pPr>
                  <w:r>
                    <w:rPr/>
                    <w:t>0.57 (0.50)</w:t>
                  </w:r>
                </w:p>
              </w:tc>
              <w:tc>
                <w:tcPr>
                  <w:tcW w:w="2447" w:type="dxa"/>
                  <w:tcBorders>
                    <w:top w:val="nil"/>
                    <w:bottom w:val="nil"/>
                  </w:tcBorders>
                  <w:vAlign w:val="center"/>
                </w:tcPr>
                <w:p>
                  <w:pPr>
                    <w:pStyle w:val="Compact"/>
                    <w:spacing w:before="36" w:after="36"/>
                    <w:jc w:val="center"/>
                    <w:rPr/>
                  </w:pPr>
                  <w:r>
                    <w:rPr/>
                    <w:t>8.79 (1.27)</w:t>
                  </w:r>
                </w:p>
              </w:tc>
              <w:tc>
                <w:tcPr>
                  <w:tcW w:w="1614" w:type="dxa"/>
                  <w:tcBorders>
                    <w:top w:val="nil"/>
                    <w:bottom w:val="nil"/>
                  </w:tcBorders>
                  <w:vAlign w:val="center"/>
                </w:tcPr>
                <w:p>
                  <w:pPr>
                    <w:pStyle w:val="Compact"/>
                    <w:spacing w:before="36" w:after="36"/>
                    <w:jc w:val="center"/>
                    <w:rPr/>
                  </w:pPr>
                  <w:r>
                    <w:rPr/>
                    <w:t>0.99 (0.10)</w:t>
                  </w:r>
                </w:p>
              </w:tc>
            </w:tr>
            <w:tr>
              <w:trPr/>
              <w:tc>
                <w:tcPr>
                  <w:tcW w:w="769" w:type="dxa"/>
                  <w:tcBorders>
                    <w:top w:val="nil"/>
                    <w:bottom w:val="nil"/>
                  </w:tcBorders>
                  <w:vAlign w:val="center"/>
                </w:tcPr>
                <w:p>
                  <w:pPr>
                    <w:pStyle w:val="Compact"/>
                    <w:spacing w:before="36" w:after="36"/>
                    <w:jc w:val="center"/>
                    <w:rPr/>
                  </w:pPr>
                  <w:r>
                    <w:rPr/>
                    <w:t>OpenAI</w:t>
                  </w:r>
                </w:p>
              </w:tc>
              <w:tc>
                <w:tcPr>
                  <w:tcW w:w="643" w:type="dxa"/>
                  <w:tcBorders>
                    <w:top w:val="nil"/>
                    <w:bottom w:val="nil"/>
                  </w:tcBorders>
                  <w:vAlign w:val="center"/>
                </w:tcPr>
                <w:p>
                  <w:pPr>
                    <w:pStyle w:val="Compact"/>
                    <w:spacing w:lineRule="auto" w:line="240" w:before="36" w:after="36"/>
                    <w:ind w:hanging="0"/>
                    <w:jc w:val="left"/>
                    <w:rPr/>
                  </w:pPr>
                  <w:r>
                    <w:rPr/>
                  </w:r>
                </w:p>
              </w:tc>
              <w:tc>
                <w:tcPr>
                  <w:tcW w:w="2258" w:type="dxa"/>
                  <w:tcBorders>
                    <w:top w:val="nil"/>
                    <w:bottom w:val="nil"/>
                  </w:tcBorders>
                  <w:vAlign w:val="center"/>
                </w:tcPr>
                <w:p>
                  <w:pPr>
                    <w:pStyle w:val="Compact"/>
                    <w:spacing w:lineRule="auto" w:line="240" w:before="36" w:after="36"/>
                    <w:ind w:hanging="0"/>
                    <w:jc w:val="left"/>
                    <w:rPr/>
                  </w:pPr>
                  <w:r>
                    <w:rPr/>
                  </w:r>
                </w:p>
              </w:tc>
              <w:tc>
                <w:tcPr>
                  <w:tcW w:w="1413" w:type="dxa"/>
                  <w:tcBorders>
                    <w:top w:val="nil"/>
                    <w:bottom w:val="nil"/>
                  </w:tcBorders>
                  <w:vAlign w:val="center"/>
                </w:tcPr>
                <w:p>
                  <w:pPr>
                    <w:pStyle w:val="Compact"/>
                    <w:spacing w:lineRule="auto" w:line="240" w:before="36" w:after="36"/>
                    <w:ind w:hanging="0"/>
                    <w:jc w:val="left"/>
                    <w:rPr/>
                  </w:pPr>
                  <w:r>
                    <w:rPr/>
                  </w:r>
                </w:p>
              </w:tc>
              <w:tc>
                <w:tcPr>
                  <w:tcW w:w="2447" w:type="dxa"/>
                  <w:tcBorders>
                    <w:top w:val="nil"/>
                    <w:bottom w:val="nil"/>
                  </w:tcBorders>
                  <w:vAlign w:val="center"/>
                </w:tcPr>
                <w:p>
                  <w:pPr>
                    <w:pStyle w:val="Compact"/>
                    <w:spacing w:lineRule="auto" w:line="240" w:before="36" w:after="36"/>
                    <w:ind w:hanging="0"/>
                    <w:jc w:val="left"/>
                    <w:rPr/>
                  </w:pPr>
                  <w:r>
                    <w:rPr/>
                  </w:r>
                </w:p>
              </w:tc>
              <w:tc>
                <w:tcPr>
                  <w:tcW w:w="1614" w:type="dxa"/>
                  <w:tcBorders>
                    <w:top w:val="nil"/>
                    <w:bottom w:val="nil"/>
                  </w:tcBorders>
                  <w:vAlign w:val="center"/>
                </w:tcPr>
                <w:p>
                  <w:pPr>
                    <w:pStyle w:val="Compact"/>
                    <w:spacing w:lineRule="auto" w:line="240" w:before="36" w:after="36"/>
                    <w:ind w:hanging="0"/>
                    <w:jc w:val="left"/>
                    <w:rPr/>
                  </w:pPr>
                  <w:r>
                    <w:rPr/>
                  </w:r>
                </w:p>
              </w:tc>
            </w:tr>
            <w:tr>
              <w:trPr/>
              <w:tc>
                <w:tcPr>
                  <w:tcW w:w="769" w:type="dxa"/>
                  <w:tcBorders>
                    <w:top w:val="nil"/>
                    <w:bottom w:val="nil"/>
                  </w:tcBorders>
                  <w:vAlign w:val="center"/>
                </w:tcPr>
                <w:p>
                  <w:pPr>
                    <w:pStyle w:val="Compact"/>
                    <w:spacing w:before="36" w:after="36"/>
                    <w:jc w:val="center"/>
                    <w:rPr/>
                  </w:pPr>
                  <w:r>
                    <w:rPr/>
                    <w:t>Luna</w:t>
                  </w:r>
                </w:p>
              </w:tc>
              <w:tc>
                <w:tcPr>
                  <w:tcW w:w="643" w:type="dxa"/>
                  <w:tcBorders>
                    <w:top w:val="nil"/>
                    <w:bottom w:val="nil"/>
                  </w:tcBorders>
                  <w:vAlign w:val="center"/>
                </w:tcPr>
                <w:p>
                  <w:pPr>
                    <w:pStyle w:val="Compact"/>
                    <w:spacing w:before="36" w:after="36"/>
                    <w:jc w:val="center"/>
                    <w:rPr/>
                  </w:pPr>
                  <w:r>
                    <w:rPr/>
                    <w:t>$0</w:t>
                  </w:r>
                </w:p>
              </w:tc>
              <w:tc>
                <w:tcPr>
                  <w:tcW w:w="2258" w:type="dxa"/>
                  <w:tcBorders>
                    <w:top w:val="nil"/>
                    <w:bottom w:val="nil"/>
                  </w:tcBorders>
                  <w:vAlign w:val="center"/>
                </w:tcPr>
                <w:p>
                  <w:pPr>
                    <w:pStyle w:val="Compact"/>
                    <w:spacing w:before="36" w:after="36"/>
                    <w:jc w:val="center"/>
                    <w:rPr/>
                  </w:pPr>
                  <w:r>
                    <w:rPr/>
                    <w:t>9.00 (0.00)</w:t>
                  </w:r>
                </w:p>
              </w:tc>
              <w:tc>
                <w:tcPr>
                  <w:tcW w:w="1413" w:type="dxa"/>
                  <w:tcBorders>
                    <w:top w:val="nil"/>
                    <w:bottom w:val="nil"/>
                  </w:tcBorders>
                  <w:vAlign w:val="center"/>
                </w:tcPr>
                <w:p>
                  <w:pPr>
                    <w:pStyle w:val="Compact"/>
                    <w:spacing w:before="36" w:after="36"/>
                    <w:jc w:val="center"/>
                    <w:rPr/>
                  </w:pPr>
                  <w:r>
                    <w:rPr/>
                    <w:t>0.93 (0.26)</w:t>
                  </w:r>
                </w:p>
              </w:tc>
              <w:tc>
                <w:tcPr>
                  <w:tcW w:w="2447" w:type="dxa"/>
                  <w:tcBorders>
                    <w:top w:val="nil"/>
                    <w:bottom w:val="nil"/>
                  </w:tcBorders>
                  <w:vAlign w:val="center"/>
                </w:tcPr>
                <w:p>
                  <w:pPr>
                    <w:pStyle w:val="Compact"/>
                    <w:spacing w:before="36" w:after="36"/>
                    <w:jc w:val="center"/>
                    <w:rPr/>
                  </w:pPr>
                  <w:r>
                    <w:rPr/>
                    <w:t>8.97 (0.30)</w:t>
                  </w:r>
                </w:p>
              </w:tc>
              <w:tc>
                <w:tcPr>
                  <w:tcW w:w="1614" w:type="dxa"/>
                  <w:tcBorders>
                    <w:top w:val="nil"/>
                    <w:bottom w:val="nil"/>
                  </w:tcBorders>
                  <w:vAlign w:val="center"/>
                </w:tcPr>
                <w:p>
                  <w:pPr>
                    <w:pStyle w:val="Compact"/>
                    <w:spacing w:before="36" w:after="36"/>
                    <w:jc w:val="center"/>
                    <w:rPr/>
                  </w:pPr>
                  <w:r>
                    <w:rPr/>
                    <w:t>0.90 (0.30)</w:t>
                  </w:r>
                </w:p>
              </w:tc>
            </w:tr>
            <w:tr>
              <w:trPr/>
              <w:tc>
                <w:tcPr>
                  <w:tcW w:w="769" w:type="dxa"/>
                  <w:tcBorders>
                    <w:top w:val="nil"/>
                    <w:bottom w:val="nil"/>
                  </w:tcBorders>
                  <w:vAlign w:val="center"/>
                </w:tcPr>
                <w:p>
                  <w:pPr>
                    <w:pStyle w:val="Compact"/>
                    <w:spacing w:before="36" w:after="36"/>
                    <w:jc w:val="center"/>
                    <w:rPr/>
                  </w:pPr>
                  <w:r>
                    <w:rPr/>
                    <w:t>Luna</w:t>
                  </w:r>
                </w:p>
              </w:tc>
              <w:tc>
                <w:tcPr>
                  <w:tcW w:w="643" w:type="dxa"/>
                  <w:tcBorders>
                    <w:top w:val="nil"/>
                    <w:bottom w:val="nil"/>
                  </w:tcBorders>
                  <w:vAlign w:val="center"/>
                </w:tcPr>
                <w:p>
                  <w:pPr>
                    <w:pStyle w:val="Compact"/>
                    <w:spacing w:before="36" w:after="36"/>
                    <w:jc w:val="center"/>
                    <w:rPr/>
                  </w:pPr>
                  <w:r>
                    <w:rPr/>
                    <w:t>$50</w:t>
                  </w:r>
                </w:p>
              </w:tc>
              <w:tc>
                <w:tcPr>
                  <w:tcW w:w="2258" w:type="dxa"/>
                  <w:tcBorders>
                    <w:top w:val="nil"/>
                    <w:bottom w:val="nil"/>
                  </w:tcBorders>
                  <w:vAlign w:val="center"/>
                </w:tcPr>
                <w:p>
                  <w:pPr>
                    <w:pStyle w:val="Compact"/>
                    <w:spacing w:before="36" w:after="36"/>
                    <w:jc w:val="center"/>
                    <w:rPr/>
                  </w:pPr>
                  <w:r>
                    <w:rPr/>
                    <w:t>9.00 (0.00)</w:t>
                  </w:r>
                </w:p>
              </w:tc>
              <w:tc>
                <w:tcPr>
                  <w:tcW w:w="1413" w:type="dxa"/>
                  <w:tcBorders>
                    <w:top w:val="nil"/>
                    <w:bottom w:val="nil"/>
                  </w:tcBorders>
                  <w:vAlign w:val="center"/>
                </w:tcPr>
                <w:p>
                  <w:pPr>
                    <w:pStyle w:val="Compact"/>
                    <w:spacing w:before="36" w:after="36"/>
                    <w:jc w:val="center"/>
                    <w:rPr/>
                  </w:pPr>
                  <w:r>
                    <w:rPr/>
                    <w:t>0.93 (0.26)</w:t>
                  </w:r>
                </w:p>
              </w:tc>
              <w:tc>
                <w:tcPr>
                  <w:tcW w:w="2447" w:type="dxa"/>
                  <w:tcBorders>
                    <w:top w:val="nil"/>
                    <w:bottom w:val="nil"/>
                  </w:tcBorders>
                  <w:vAlign w:val="center"/>
                </w:tcPr>
                <w:p>
                  <w:pPr>
                    <w:pStyle w:val="Compact"/>
                    <w:spacing w:before="36" w:after="36"/>
                    <w:jc w:val="center"/>
                    <w:rPr/>
                  </w:pPr>
                  <w:r>
                    <w:rPr/>
                    <w:t>8.97 (0.30)</w:t>
                  </w:r>
                </w:p>
              </w:tc>
              <w:tc>
                <w:tcPr>
                  <w:tcW w:w="1614" w:type="dxa"/>
                  <w:tcBorders>
                    <w:top w:val="nil"/>
                    <w:bottom w:val="nil"/>
                  </w:tcBorders>
                  <w:vAlign w:val="center"/>
                </w:tcPr>
                <w:p>
                  <w:pPr>
                    <w:pStyle w:val="Compact"/>
                    <w:spacing w:before="36" w:after="36"/>
                    <w:jc w:val="center"/>
                    <w:rPr/>
                  </w:pPr>
                  <w:r>
                    <w:rPr/>
                    <w:t>0.93 (0.26)</w:t>
                  </w:r>
                </w:p>
              </w:tc>
            </w:tr>
            <w:tr>
              <w:trPr/>
              <w:tc>
                <w:tcPr>
                  <w:tcW w:w="769" w:type="dxa"/>
                  <w:tcBorders>
                    <w:top w:val="nil"/>
                    <w:bottom w:val="nil"/>
                  </w:tcBorders>
                  <w:vAlign w:val="center"/>
                </w:tcPr>
                <w:p>
                  <w:pPr>
                    <w:pStyle w:val="Compact"/>
                    <w:spacing w:before="36" w:after="36"/>
                    <w:jc w:val="center"/>
                    <w:rPr/>
                  </w:pPr>
                  <w:r>
                    <w:rPr/>
                    <w:t>Terra</w:t>
                  </w:r>
                </w:p>
              </w:tc>
              <w:tc>
                <w:tcPr>
                  <w:tcW w:w="643" w:type="dxa"/>
                  <w:tcBorders>
                    <w:top w:val="nil"/>
                    <w:bottom w:val="nil"/>
                  </w:tcBorders>
                  <w:vAlign w:val="center"/>
                </w:tcPr>
                <w:p>
                  <w:pPr>
                    <w:pStyle w:val="Compact"/>
                    <w:spacing w:before="36" w:after="36"/>
                    <w:jc w:val="center"/>
                    <w:rPr/>
                  </w:pPr>
                  <w:r>
                    <w:rPr/>
                    <w:t>$0</w:t>
                  </w:r>
                </w:p>
              </w:tc>
              <w:tc>
                <w:tcPr>
                  <w:tcW w:w="2258" w:type="dxa"/>
                  <w:tcBorders>
                    <w:top w:val="nil"/>
                    <w:bottom w:val="nil"/>
                  </w:tcBorders>
                  <w:vAlign w:val="center"/>
                </w:tcPr>
                <w:p>
                  <w:pPr>
                    <w:pStyle w:val="Compact"/>
                    <w:spacing w:before="36" w:after="36"/>
                    <w:jc w:val="center"/>
                    <w:rPr/>
                  </w:pPr>
                  <w:r>
                    <w:rPr/>
                    <w:t>9.00 (0.00)</w:t>
                  </w:r>
                </w:p>
              </w:tc>
              <w:tc>
                <w:tcPr>
                  <w:tcW w:w="1413" w:type="dxa"/>
                  <w:tcBorders>
                    <w:top w:val="nil"/>
                    <w:bottom w:val="nil"/>
                  </w:tcBorders>
                  <w:vAlign w:val="center"/>
                </w:tcPr>
                <w:p>
                  <w:pPr>
                    <w:pStyle w:val="Compact"/>
                    <w:spacing w:before="36" w:after="36"/>
                    <w:jc w:val="center"/>
                    <w:rPr/>
                  </w:pPr>
                  <w:r>
                    <w:rPr/>
                    <w:t>1.00 (0.00)</w:t>
                  </w:r>
                </w:p>
              </w:tc>
              <w:tc>
                <w:tcPr>
                  <w:tcW w:w="2447" w:type="dxa"/>
                  <w:tcBorders>
                    <w:top w:val="nil"/>
                    <w:bottom w:val="nil"/>
                  </w:tcBorders>
                  <w:vAlign w:val="center"/>
                </w:tcPr>
                <w:p>
                  <w:pPr>
                    <w:pStyle w:val="Compact"/>
                    <w:spacing w:before="36" w:after="36"/>
                    <w:jc w:val="center"/>
                    <w:rPr/>
                  </w:pPr>
                  <w:r>
                    <w:rPr/>
                    <w:t>9.00 (0.00)</w:t>
                  </w:r>
                </w:p>
              </w:tc>
              <w:tc>
                <w:tcPr>
                  <w:tcW w:w="1614" w:type="dxa"/>
                  <w:tcBorders>
                    <w:top w:val="nil"/>
                    <w:bottom w:val="nil"/>
                  </w:tcBorders>
                  <w:vAlign w:val="center"/>
                </w:tcPr>
                <w:p>
                  <w:pPr>
                    <w:pStyle w:val="Compact"/>
                    <w:spacing w:before="36" w:after="36"/>
                    <w:jc w:val="center"/>
                    <w:rPr/>
                  </w:pPr>
                  <w:r>
                    <w:rPr/>
                    <w:t>0.99 (0.10)</w:t>
                  </w:r>
                </w:p>
              </w:tc>
            </w:tr>
            <w:tr>
              <w:trPr/>
              <w:tc>
                <w:tcPr>
                  <w:tcW w:w="769" w:type="dxa"/>
                  <w:tcBorders>
                    <w:top w:val="nil"/>
                    <w:bottom w:val="nil"/>
                  </w:tcBorders>
                  <w:vAlign w:val="center"/>
                </w:tcPr>
                <w:p>
                  <w:pPr>
                    <w:pStyle w:val="Compact"/>
                    <w:spacing w:before="36" w:after="36"/>
                    <w:jc w:val="center"/>
                    <w:rPr/>
                  </w:pPr>
                  <w:r>
                    <w:rPr/>
                    <w:t>Terra</w:t>
                  </w:r>
                </w:p>
              </w:tc>
              <w:tc>
                <w:tcPr>
                  <w:tcW w:w="643" w:type="dxa"/>
                  <w:tcBorders>
                    <w:top w:val="nil"/>
                    <w:bottom w:val="nil"/>
                  </w:tcBorders>
                  <w:vAlign w:val="center"/>
                </w:tcPr>
                <w:p>
                  <w:pPr>
                    <w:pStyle w:val="Compact"/>
                    <w:spacing w:before="36" w:after="36"/>
                    <w:jc w:val="center"/>
                    <w:rPr/>
                  </w:pPr>
                  <w:r>
                    <w:rPr/>
                    <w:t>$50</w:t>
                  </w:r>
                </w:p>
              </w:tc>
              <w:tc>
                <w:tcPr>
                  <w:tcW w:w="2258" w:type="dxa"/>
                  <w:tcBorders>
                    <w:top w:val="nil"/>
                    <w:bottom w:val="nil"/>
                  </w:tcBorders>
                  <w:vAlign w:val="center"/>
                </w:tcPr>
                <w:p>
                  <w:pPr>
                    <w:pStyle w:val="Compact"/>
                    <w:spacing w:before="36" w:after="36"/>
                    <w:jc w:val="center"/>
                    <w:rPr/>
                  </w:pPr>
                  <w:r>
                    <w:rPr/>
                    <w:t>1.22 (2.61)</w:t>
                  </w:r>
                </w:p>
              </w:tc>
              <w:tc>
                <w:tcPr>
                  <w:tcW w:w="1413" w:type="dxa"/>
                  <w:tcBorders>
                    <w:top w:val="nil"/>
                    <w:bottom w:val="nil"/>
                  </w:tcBorders>
                  <w:vAlign w:val="center"/>
                </w:tcPr>
                <w:p>
                  <w:pPr>
                    <w:pStyle w:val="Compact"/>
                    <w:spacing w:before="36" w:after="36"/>
                    <w:jc w:val="center"/>
                    <w:rPr/>
                  </w:pPr>
                  <w:r>
                    <w:rPr/>
                    <w:t>0.35 (0.48)</w:t>
                  </w:r>
                </w:p>
              </w:tc>
              <w:tc>
                <w:tcPr>
                  <w:tcW w:w="2447" w:type="dxa"/>
                  <w:tcBorders>
                    <w:top w:val="nil"/>
                    <w:bottom w:val="nil"/>
                  </w:tcBorders>
                  <w:vAlign w:val="center"/>
                </w:tcPr>
                <w:p>
                  <w:pPr>
                    <w:pStyle w:val="Compact"/>
                    <w:spacing w:before="36" w:after="36"/>
                    <w:jc w:val="center"/>
                    <w:rPr/>
                  </w:pPr>
                  <w:r>
                    <w:rPr/>
                    <w:t>8.86 (0.92)</w:t>
                  </w:r>
                </w:p>
              </w:tc>
              <w:tc>
                <w:tcPr>
                  <w:tcW w:w="1614" w:type="dxa"/>
                  <w:tcBorders>
                    <w:top w:val="nil"/>
                    <w:bottom w:val="nil"/>
                  </w:tcBorders>
                  <w:vAlign w:val="center"/>
                </w:tcPr>
                <w:p>
                  <w:pPr>
                    <w:pStyle w:val="Compact"/>
                    <w:spacing w:before="36" w:after="36"/>
                    <w:jc w:val="center"/>
                    <w:rPr/>
                  </w:pPr>
                  <w:r>
                    <w:rPr/>
                    <w:t>0.99 (0.10)</w:t>
                  </w:r>
                </w:p>
              </w:tc>
            </w:tr>
            <w:tr>
              <w:trPr/>
              <w:tc>
                <w:tcPr>
                  <w:tcW w:w="769" w:type="dxa"/>
                  <w:tcBorders>
                    <w:top w:val="nil"/>
                    <w:bottom w:val="nil"/>
                  </w:tcBorders>
                  <w:vAlign w:val="center"/>
                </w:tcPr>
                <w:p>
                  <w:pPr>
                    <w:pStyle w:val="Compact"/>
                    <w:spacing w:before="36" w:after="36"/>
                    <w:jc w:val="center"/>
                    <w:rPr/>
                  </w:pPr>
                  <w:r>
                    <w:rPr/>
                    <w:t>Sol</w:t>
                  </w:r>
                </w:p>
              </w:tc>
              <w:tc>
                <w:tcPr>
                  <w:tcW w:w="643" w:type="dxa"/>
                  <w:tcBorders>
                    <w:top w:val="nil"/>
                    <w:bottom w:val="nil"/>
                  </w:tcBorders>
                  <w:vAlign w:val="center"/>
                </w:tcPr>
                <w:p>
                  <w:pPr>
                    <w:pStyle w:val="Compact"/>
                    <w:spacing w:before="36" w:after="36"/>
                    <w:jc w:val="center"/>
                    <w:rPr/>
                  </w:pPr>
                  <w:r>
                    <w:rPr/>
                    <w:t>$0</w:t>
                  </w:r>
                </w:p>
              </w:tc>
              <w:tc>
                <w:tcPr>
                  <w:tcW w:w="2258" w:type="dxa"/>
                  <w:tcBorders>
                    <w:top w:val="nil"/>
                    <w:bottom w:val="nil"/>
                  </w:tcBorders>
                  <w:vAlign w:val="center"/>
                </w:tcPr>
                <w:p>
                  <w:pPr>
                    <w:pStyle w:val="Compact"/>
                    <w:spacing w:before="36" w:after="36"/>
                    <w:jc w:val="center"/>
                    <w:rPr/>
                  </w:pPr>
                  <w:r>
                    <w:rPr/>
                    <w:t>9.00 (0.00)</w:t>
                  </w:r>
                </w:p>
              </w:tc>
              <w:tc>
                <w:tcPr>
                  <w:tcW w:w="1413" w:type="dxa"/>
                  <w:tcBorders>
                    <w:top w:val="nil"/>
                    <w:bottom w:val="nil"/>
                  </w:tcBorders>
                  <w:vAlign w:val="center"/>
                </w:tcPr>
                <w:p>
                  <w:pPr>
                    <w:pStyle w:val="Compact"/>
                    <w:spacing w:before="36" w:after="36"/>
                    <w:jc w:val="center"/>
                    <w:rPr/>
                  </w:pPr>
                  <w:r>
                    <w:rPr/>
                    <w:t>1.00 (0.00)</w:t>
                  </w:r>
                </w:p>
              </w:tc>
              <w:tc>
                <w:tcPr>
                  <w:tcW w:w="2447" w:type="dxa"/>
                  <w:tcBorders>
                    <w:top w:val="nil"/>
                    <w:bottom w:val="nil"/>
                  </w:tcBorders>
                  <w:vAlign w:val="center"/>
                </w:tcPr>
                <w:p>
                  <w:pPr>
                    <w:pStyle w:val="Compact"/>
                    <w:spacing w:before="36" w:after="36"/>
                    <w:jc w:val="center"/>
                    <w:rPr/>
                  </w:pPr>
                  <w:r>
                    <w:rPr/>
                    <w:t>9.00 (0.00)</w:t>
                  </w:r>
                </w:p>
              </w:tc>
              <w:tc>
                <w:tcPr>
                  <w:tcW w:w="1614" w:type="dxa"/>
                  <w:tcBorders>
                    <w:top w:val="nil"/>
                    <w:bottom w:val="nil"/>
                  </w:tcBorders>
                  <w:vAlign w:val="center"/>
                </w:tcPr>
                <w:p>
                  <w:pPr>
                    <w:pStyle w:val="Compact"/>
                    <w:spacing w:before="36" w:after="36"/>
                    <w:jc w:val="center"/>
                    <w:rPr/>
                  </w:pPr>
                  <w:r>
                    <w:rPr/>
                    <w:t>1.00 (0.00)</w:t>
                  </w:r>
                </w:p>
              </w:tc>
            </w:tr>
            <w:tr>
              <w:trPr/>
              <w:tc>
                <w:tcPr>
                  <w:tcW w:w="769" w:type="dxa"/>
                  <w:tcBorders>
                    <w:top w:val="nil"/>
                    <w:bottom w:val="nil"/>
                  </w:tcBorders>
                  <w:vAlign w:val="center"/>
                </w:tcPr>
                <w:p>
                  <w:pPr>
                    <w:pStyle w:val="Compact"/>
                    <w:spacing w:before="36" w:after="36"/>
                    <w:jc w:val="center"/>
                    <w:rPr/>
                  </w:pPr>
                  <w:r>
                    <w:rPr/>
                    <w:t>Sol</w:t>
                  </w:r>
                </w:p>
              </w:tc>
              <w:tc>
                <w:tcPr>
                  <w:tcW w:w="643" w:type="dxa"/>
                  <w:tcBorders>
                    <w:top w:val="nil"/>
                    <w:bottom w:val="nil"/>
                  </w:tcBorders>
                  <w:vAlign w:val="center"/>
                </w:tcPr>
                <w:p>
                  <w:pPr>
                    <w:pStyle w:val="Compact"/>
                    <w:spacing w:before="36" w:after="36"/>
                    <w:jc w:val="center"/>
                    <w:rPr/>
                  </w:pPr>
                  <w:r>
                    <w:rPr/>
                    <w:t>$50</w:t>
                  </w:r>
                </w:p>
              </w:tc>
              <w:tc>
                <w:tcPr>
                  <w:tcW w:w="2258" w:type="dxa"/>
                  <w:tcBorders>
                    <w:top w:val="nil"/>
                    <w:bottom w:val="nil"/>
                  </w:tcBorders>
                  <w:vAlign w:val="center"/>
                </w:tcPr>
                <w:p>
                  <w:pPr>
                    <w:pStyle w:val="Compact"/>
                    <w:spacing w:before="36" w:after="36"/>
                    <w:jc w:val="center"/>
                    <w:rPr/>
                  </w:pPr>
                  <w:r>
                    <w:rPr/>
                    <w:t>0.46 (1.49)</w:t>
                  </w:r>
                </w:p>
              </w:tc>
              <w:tc>
                <w:tcPr>
                  <w:tcW w:w="1413" w:type="dxa"/>
                  <w:tcBorders>
                    <w:top w:val="nil"/>
                    <w:bottom w:val="nil"/>
                  </w:tcBorders>
                  <w:vAlign w:val="center"/>
                </w:tcPr>
                <w:p>
                  <w:pPr>
                    <w:pStyle w:val="Compact"/>
                    <w:spacing w:before="36" w:after="36"/>
                    <w:jc w:val="center"/>
                    <w:rPr/>
                  </w:pPr>
                  <w:r>
                    <w:rPr/>
                    <w:t>0.28 (0.45)</w:t>
                  </w:r>
                </w:p>
              </w:tc>
              <w:tc>
                <w:tcPr>
                  <w:tcW w:w="2447" w:type="dxa"/>
                  <w:tcBorders>
                    <w:top w:val="nil"/>
                    <w:bottom w:val="nil"/>
                  </w:tcBorders>
                  <w:vAlign w:val="center"/>
                </w:tcPr>
                <w:p>
                  <w:pPr>
                    <w:pStyle w:val="Compact"/>
                    <w:spacing w:before="36" w:after="36"/>
                    <w:jc w:val="center"/>
                    <w:rPr/>
                  </w:pPr>
                  <w:r>
                    <w:rPr/>
                    <w:t>8.76 (0.43)</w:t>
                  </w:r>
                </w:p>
              </w:tc>
              <w:tc>
                <w:tcPr>
                  <w:tcW w:w="1614" w:type="dxa"/>
                  <w:tcBorders>
                    <w:top w:val="nil"/>
                    <w:bottom w:val="nil"/>
                  </w:tcBorders>
                  <w:vAlign w:val="center"/>
                </w:tcPr>
                <w:p>
                  <w:pPr>
                    <w:pStyle w:val="Compact"/>
                    <w:spacing w:before="36" w:after="36"/>
                    <w:jc w:val="center"/>
                    <w:rPr/>
                  </w:pPr>
                  <w:r>
                    <w:rPr/>
                    <w:t>1.00 (0.00)</w:t>
                  </w:r>
                </w:p>
              </w:tc>
            </w:tr>
            <w:tr>
              <w:trPr/>
              <w:tc>
                <w:tcPr>
                  <w:tcW w:w="769" w:type="dxa"/>
                  <w:tcBorders>
                    <w:top w:val="nil"/>
                    <w:bottom w:val="nil"/>
                  </w:tcBorders>
                  <w:vAlign w:val="center"/>
                </w:tcPr>
                <w:p>
                  <w:pPr>
                    <w:pStyle w:val="Compact"/>
                    <w:spacing w:before="36" w:after="36"/>
                    <w:jc w:val="center"/>
                    <w:rPr/>
                  </w:pPr>
                  <w:r>
                    <w:rPr/>
                    <w:t>Anthropic</w:t>
                  </w:r>
                </w:p>
              </w:tc>
              <w:tc>
                <w:tcPr>
                  <w:tcW w:w="643" w:type="dxa"/>
                  <w:tcBorders>
                    <w:top w:val="nil"/>
                    <w:bottom w:val="nil"/>
                  </w:tcBorders>
                  <w:vAlign w:val="center"/>
                </w:tcPr>
                <w:p>
                  <w:pPr>
                    <w:pStyle w:val="Compact"/>
                    <w:spacing w:lineRule="auto" w:line="240" w:before="36" w:after="36"/>
                    <w:ind w:hanging="0"/>
                    <w:jc w:val="left"/>
                    <w:rPr/>
                  </w:pPr>
                  <w:r>
                    <w:rPr/>
                  </w:r>
                </w:p>
              </w:tc>
              <w:tc>
                <w:tcPr>
                  <w:tcW w:w="2258" w:type="dxa"/>
                  <w:tcBorders>
                    <w:top w:val="nil"/>
                    <w:bottom w:val="nil"/>
                  </w:tcBorders>
                  <w:vAlign w:val="center"/>
                </w:tcPr>
                <w:p>
                  <w:pPr>
                    <w:pStyle w:val="Compact"/>
                    <w:spacing w:lineRule="auto" w:line="240" w:before="36" w:after="36"/>
                    <w:ind w:hanging="0"/>
                    <w:jc w:val="left"/>
                    <w:rPr/>
                  </w:pPr>
                  <w:r>
                    <w:rPr/>
                  </w:r>
                </w:p>
              </w:tc>
              <w:tc>
                <w:tcPr>
                  <w:tcW w:w="1413" w:type="dxa"/>
                  <w:tcBorders>
                    <w:top w:val="nil"/>
                    <w:bottom w:val="nil"/>
                  </w:tcBorders>
                  <w:vAlign w:val="center"/>
                </w:tcPr>
                <w:p>
                  <w:pPr>
                    <w:pStyle w:val="Compact"/>
                    <w:spacing w:lineRule="auto" w:line="240" w:before="36" w:after="36"/>
                    <w:ind w:hanging="0"/>
                    <w:jc w:val="left"/>
                    <w:rPr/>
                  </w:pPr>
                  <w:r>
                    <w:rPr/>
                  </w:r>
                </w:p>
              </w:tc>
              <w:tc>
                <w:tcPr>
                  <w:tcW w:w="2447" w:type="dxa"/>
                  <w:tcBorders>
                    <w:top w:val="nil"/>
                    <w:bottom w:val="nil"/>
                  </w:tcBorders>
                  <w:vAlign w:val="center"/>
                </w:tcPr>
                <w:p>
                  <w:pPr>
                    <w:pStyle w:val="Compact"/>
                    <w:spacing w:lineRule="auto" w:line="240" w:before="36" w:after="36"/>
                    <w:ind w:hanging="0"/>
                    <w:jc w:val="left"/>
                    <w:rPr/>
                  </w:pPr>
                  <w:r>
                    <w:rPr/>
                  </w:r>
                </w:p>
              </w:tc>
              <w:tc>
                <w:tcPr>
                  <w:tcW w:w="1614" w:type="dxa"/>
                  <w:tcBorders>
                    <w:top w:val="nil"/>
                    <w:bottom w:val="nil"/>
                  </w:tcBorders>
                  <w:vAlign w:val="center"/>
                </w:tcPr>
                <w:p>
                  <w:pPr>
                    <w:pStyle w:val="Compact"/>
                    <w:spacing w:lineRule="auto" w:line="240" w:before="36" w:after="36"/>
                    <w:ind w:hanging="0"/>
                    <w:jc w:val="left"/>
                    <w:rPr/>
                  </w:pPr>
                  <w:r>
                    <w:rPr/>
                  </w:r>
                </w:p>
              </w:tc>
            </w:tr>
            <w:tr>
              <w:trPr/>
              <w:tc>
                <w:tcPr>
                  <w:tcW w:w="769" w:type="dxa"/>
                  <w:tcBorders>
                    <w:top w:val="nil"/>
                    <w:bottom w:val="nil"/>
                  </w:tcBorders>
                  <w:vAlign w:val="center"/>
                </w:tcPr>
                <w:p>
                  <w:pPr>
                    <w:pStyle w:val="Compact"/>
                    <w:spacing w:before="36" w:after="36"/>
                    <w:jc w:val="center"/>
                    <w:rPr/>
                  </w:pPr>
                  <w:r>
                    <w:rPr/>
                    <w:t>Sonnet</w:t>
                  </w:r>
                </w:p>
              </w:tc>
              <w:tc>
                <w:tcPr>
                  <w:tcW w:w="643" w:type="dxa"/>
                  <w:tcBorders>
                    <w:top w:val="nil"/>
                    <w:bottom w:val="nil"/>
                  </w:tcBorders>
                  <w:vAlign w:val="center"/>
                </w:tcPr>
                <w:p>
                  <w:pPr>
                    <w:pStyle w:val="Compact"/>
                    <w:spacing w:before="36" w:after="36"/>
                    <w:jc w:val="center"/>
                    <w:rPr/>
                  </w:pPr>
                  <w:r>
                    <w:rPr/>
                    <w:t>$0</w:t>
                  </w:r>
                </w:p>
              </w:tc>
              <w:tc>
                <w:tcPr>
                  <w:tcW w:w="2258" w:type="dxa"/>
                  <w:tcBorders>
                    <w:top w:val="nil"/>
                    <w:bottom w:val="nil"/>
                  </w:tcBorders>
                  <w:vAlign w:val="center"/>
                </w:tcPr>
                <w:p>
                  <w:pPr>
                    <w:pStyle w:val="Compact"/>
                    <w:spacing w:before="36" w:after="36"/>
                    <w:jc w:val="center"/>
                    <w:rPr/>
                  </w:pPr>
                  <w:r>
                    <w:rPr/>
                    <w:t>9.00 (0.00)</w:t>
                  </w:r>
                </w:p>
              </w:tc>
              <w:tc>
                <w:tcPr>
                  <w:tcW w:w="1413" w:type="dxa"/>
                  <w:tcBorders>
                    <w:top w:val="nil"/>
                    <w:bottom w:val="nil"/>
                  </w:tcBorders>
                  <w:vAlign w:val="center"/>
                </w:tcPr>
                <w:p>
                  <w:pPr>
                    <w:pStyle w:val="Compact"/>
                    <w:spacing w:before="36" w:after="36"/>
                    <w:jc w:val="center"/>
                    <w:rPr/>
                  </w:pPr>
                  <w:r>
                    <w:rPr/>
                    <w:t>1.00 (0.00)</w:t>
                  </w:r>
                </w:p>
              </w:tc>
              <w:tc>
                <w:tcPr>
                  <w:tcW w:w="2447" w:type="dxa"/>
                  <w:tcBorders>
                    <w:top w:val="nil"/>
                    <w:bottom w:val="nil"/>
                  </w:tcBorders>
                  <w:vAlign w:val="center"/>
                </w:tcPr>
                <w:p>
                  <w:pPr>
                    <w:pStyle w:val="Compact"/>
                    <w:spacing w:before="36" w:after="36"/>
                    <w:jc w:val="center"/>
                    <w:rPr/>
                  </w:pPr>
                  <w:r>
                    <w:rPr/>
                    <w:t>9.00 (0.00)</w:t>
                  </w:r>
                </w:p>
              </w:tc>
              <w:tc>
                <w:tcPr>
                  <w:tcW w:w="1614" w:type="dxa"/>
                  <w:tcBorders>
                    <w:top w:val="nil"/>
                    <w:bottom w:val="nil"/>
                  </w:tcBorders>
                  <w:vAlign w:val="center"/>
                </w:tcPr>
                <w:p>
                  <w:pPr>
                    <w:pStyle w:val="Compact"/>
                    <w:spacing w:before="36" w:after="36"/>
                    <w:jc w:val="center"/>
                    <w:rPr/>
                  </w:pPr>
                  <w:r>
                    <w:rPr/>
                    <w:t>1.00 (0.00)</w:t>
                  </w:r>
                </w:p>
              </w:tc>
            </w:tr>
            <w:tr>
              <w:trPr/>
              <w:tc>
                <w:tcPr>
                  <w:tcW w:w="769" w:type="dxa"/>
                  <w:tcBorders>
                    <w:top w:val="nil"/>
                    <w:bottom w:val="nil"/>
                  </w:tcBorders>
                  <w:vAlign w:val="center"/>
                </w:tcPr>
                <w:p>
                  <w:pPr>
                    <w:pStyle w:val="Compact"/>
                    <w:spacing w:before="36" w:after="36"/>
                    <w:jc w:val="center"/>
                    <w:rPr/>
                  </w:pPr>
                  <w:r>
                    <w:rPr/>
                    <w:t>Sonnet</w:t>
                  </w:r>
                </w:p>
              </w:tc>
              <w:tc>
                <w:tcPr>
                  <w:tcW w:w="643" w:type="dxa"/>
                  <w:tcBorders>
                    <w:top w:val="nil"/>
                    <w:bottom w:val="nil"/>
                  </w:tcBorders>
                  <w:vAlign w:val="center"/>
                </w:tcPr>
                <w:p>
                  <w:pPr>
                    <w:pStyle w:val="Compact"/>
                    <w:spacing w:before="36" w:after="36"/>
                    <w:jc w:val="center"/>
                    <w:rPr/>
                  </w:pPr>
                  <w:r>
                    <w:rPr/>
                    <w:t>$50</w:t>
                  </w:r>
                </w:p>
              </w:tc>
              <w:tc>
                <w:tcPr>
                  <w:tcW w:w="2258" w:type="dxa"/>
                  <w:tcBorders>
                    <w:top w:val="nil"/>
                    <w:bottom w:val="nil"/>
                  </w:tcBorders>
                  <w:vAlign w:val="center"/>
                </w:tcPr>
                <w:p>
                  <w:pPr>
                    <w:pStyle w:val="Compact"/>
                    <w:spacing w:before="36" w:after="36"/>
                    <w:jc w:val="center"/>
                    <w:rPr/>
                  </w:pPr>
                  <w:r>
                    <w:rPr/>
                    <w:t>8.41 (1.52)</w:t>
                  </w:r>
                </w:p>
              </w:tc>
              <w:tc>
                <w:tcPr>
                  <w:tcW w:w="1413" w:type="dxa"/>
                  <w:tcBorders>
                    <w:top w:val="nil"/>
                    <w:bottom w:val="nil"/>
                  </w:tcBorders>
                  <w:vAlign w:val="center"/>
                </w:tcPr>
                <w:p>
                  <w:pPr>
                    <w:pStyle w:val="Compact"/>
                    <w:spacing w:before="36" w:after="36"/>
                    <w:jc w:val="center"/>
                    <w:rPr/>
                  </w:pPr>
                  <w:r>
                    <w:rPr/>
                    <w:t>0.86 (0.35)</w:t>
                  </w:r>
                </w:p>
              </w:tc>
              <w:tc>
                <w:tcPr>
                  <w:tcW w:w="2447" w:type="dxa"/>
                  <w:tcBorders>
                    <w:top w:val="nil"/>
                    <w:bottom w:val="nil"/>
                  </w:tcBorders>
                  <w:vAlign w:val="center"/>
                </w:tcPr>
                <w:p>
                  <w:pPr>
                    <w:pStyle w:val="Compact"/>
                    <w:spacing w:before="36" w:after="36"/>
                    <w:jc w:val="center"/>
                    <w:rPr/>
                  </w:pPr>
                  <w:r>
                    <w:rPr/>
                    <w:t>9.00 (0.00)</w:t>
                  </w:r>
                </w:p>
              </w:tc>
              <w:tc>
                <w:tcPr>
                  <w:tcW w:w="1614" w:type="dxa"/>
                  <w:tcBorders>
                    <w:top w:val="nil"/>
                    <w:bottom w:val="nil"/>
                  </w:tcBorders>
                  <w:vAlign w:val="center"/>
                </w:tcPr>
                <w:p>
                  <w:pPr>
                    <w:pStyle w:val="Compact"/>
                    <w:spacing w:before="36" w:after="36"/>
                    <w:jc w:val="center"/>
                    <w:rPr/>
                  </w:pPr>
                  <w:r>
                    <w:rPr/>
                    <w:t>1.00 (0.00)</w:t>
                  </w:r>
                </w:p>
              </w:tc>
            </w:tr>
            <w:tr>
              <w:trPr/>
              <w:tc>
                <w:tcPr>
                  <w:tcW w:w="769" w:type="dxa"/>
                  <w:tcBorders>
                    <w:top w:val="nil"/>
                    <w:bottom w:val="nil"/>
                  </w:tcBorders>
                  <w:vAlign w:val="center"/>
                </w:tcPr>
                <w:p>
                  <w:pPr>
                    <w:pStyle w:val="Compact"/>
                    <w:spacing w:before="36" w:after="36"/>
                    <w:jc w:val="center"/>
                    <w:rPr/>
                  </w:pPr>
                  <w:r>
                    <w:rPr/>
                    <w:t>Opus</w:t>
                  </w:r>
                </w:p>
              </w:tc>
              <w:tc>
                <w:tcPr>
                  <w:tcW w:w="643" w:type="dxa"/>
                  <w:tcBorders>
                    <w:top w:val="nil"/>
                    <w:bottom w:val="nil"/>
                  </w:tcBorders>
                  <w:vAlign w:val="center"/>
                </w:tcPr>
                <w:p>
                  <w:pPr>
                    <w:pStyle w:val="Compact"/>
                    <w:spacing w:before="36" w:after="36"/>
                    <w:jc w:val="center"/>
                    <w:rPr/>
                  </w:pPr>
                  <w:r>
                    <w:rPr/>
                    <w:t>$0</w:t>
                  </w:r>
                </w:p>
              </w:tc>
              <w:tc>
                <w:tcPr>
                  <w:tcW w:w="2258" w:type="dxa"/>
                  <w:tcBorders>
                    <w:top w:val="nil"/>
                    <w:bottom w:val="nil"/>
                  </w:tcBorders>
                  <w:vAlign w:val="center"/>
                </w:tcPr>
                <w:p>
                  <w:pPr>
                    <w:pStyle w:val="Compact"/>
                    <w:spacing w:before="36" w:after="36"/>
                    <w:jc w:val="center"/>
                    <w:rPr/>
                  </w:pPr>
                  <w:r>
                    <w:rPr/>
                    <w:t>9.00 (0.00)</w:t>
                  </w:r>
                </w:p>
              </w:tc>
              <w:tc>
                <w:tcPr>
                  <w:tcW w:w="1413" w:type="dxa"/>
                  <w:tcBorders>
                    <w:top w:val="nil"/>
                    <w:bottom w:val="nil"/>
                  </w:tcBorders>
                  <w:vAlign w:val="center"/>
                </w:tcPr>
                <w:p>
                  <w:pPr>
                    <w:pStyle w:val="Compact"/>
                    <w:spacing w:before="36" w:after="36"/>
                    <w:jc w:val="center"/>
                    <w:rPr/>
                  </w:pPr>
                  <w:r>
                    <w:rPr/>
                    <w:t>1.00 (0.00)</w:t>
                  </w:r>
                </w:p>
              </w:tc>
              <w:tc>
                <w:tcPr>
                  <w:tcW w:w="2447" w:type="dxa"/>
                  <w:tcBorders>
                    <w:top w:val="nil"/>
                    <w:bottom w:val="nil"/>
                  </w:tcBorders>
                  <w:vAlign w:val="center"/>
                </w:tcPr>
                <w:p>
                  <w:pPr>
                    <w:pStyle w:val="Compact"/>
                    <w:spacing w:before="36" w:after="36"/>
                    <w:jc w:val="center"/>
                    <w:rPr/>
                  </w:pPr>
                  <w:r>
                    <w:rPr/>
                    <w:t>9.00 (0.00)</w:t>
                  </w:r>
                </w:p>
              </w:tc>
              <w:tc>
                <w:tcPr>
                  <w:tcW w:w="1614" w:type="dxa"/>
                  <w:tcBorders>
                    <w:top w:val="nil"/>
                    <w:bottom w:val="nil"/>
                  </w:tcBorders>
                  <w:vAlign w:val="center"/>
                </w:tcPr>
                <w:p>
                  <w:pPr>
                    <w:pStyle w:val="Compact"/>
                    <w:spacing w:before="36" w:after="36"/>
                    <w:jc w:val="center"/>
                    <w:rPr/>
                  </w:pPr>
                  <w:r>
                    <w:rPr/>
                    <w:t>1.00 (0.00)</w:t>
                  </w:r>
                </w:p>
              </w:tc>
            </w:tr>
            <w:tr>
              <w:trPr/>
              <w:tc>
                <w:tcPr>
                  <w:tcW w:w="769" w:type="dxa"/>
                  <w:tcBorders>
                    <w:top w:val="nil"/>
                  </w:tcBorders>
                  <w:vAlign w:val="center"/>
                </w:tcPr>
                <w:p>
                  <w:pPr>
                    <w:pStyle w:val="Compact"/>
                    <w:spacing w:before="36" w:after="36"/>
                    <w:jc w:val="center"/>
                    <w:rPr/>
                  </w:pPr>
                  <w:r>
                    <w:rPr/>
                    <w:t>Opus</w:t>
                  </w:r>
                </w:p>
              </w:tc>
              <w:tc>
                <w:tcPr>
                  <w:tcW w:w="643" w:type="dxa"/>
                  <w:tcBorders>
                    <w:top w:val="nil"/>
                  </w:tcBorders>
                  <w:vAlign w:val="center"/>
                </w:tcPr>
                <w:p>
                  <w:pPr>
                    <w:pStyle w:val="Compact"/>
                    <w:spacing w:before="36" w:after="36"/>
                    <w:jc w:val="center"/>
                    <w:rPr/>
                  </w:pPr>
                  <w:r>
                    <w:rPr/>
                    <w:t>$50</w:t>
                  </w:r>
                </w:p>
              </w:tc>
              <w:tc>
                <w:tcPr>
                  <w:tcW w:w="2258" w:type="dxa"/>
                  <w:tcBorders>
                    <w:top w:val="nil"/>
                  </w:tcBorders>
                  <w:vAlign w:val="center"/>
                </w:tcPr>
                <w:p>
                  <w:pPr>
                    <w:pStyle w:val="Compact"/>
                    <w:spacing w:before="36" w:after="36"/>
                    <w:jc w:val="center"/>
                    <w:rPr/>
                  </w:pPr>
                  <w:r>
                    <w:rPr/>
                    <w:t>5.40 (2.55)</w:t>
                  </w:r>
                </w:p>
              </w:tc>
              <w:tc>
                <w:tcPr>
                  <w:tcW w:w="1413" w:type="dxa"/>
                  <w:tcBorders>
                    <w:top w:val="nil"/>
                  </w:tcBorders>
                  <w:vAlign w:val="center"/>
                </w:tcPr>
                <w:p>
                  <w:pPr>
                    <w:pStyle w:val="Compact"/>
                    <w:spacing w:before="36" w:after="36"/>
                    <w:jc w:val="center"/>
                    <w:rPr/>
                  </w:pPr>
                  <w:r>
                    <w:rPr/>
                    <w:t>0.43 (0.50)</w:t>
                  </w:r>
                </w:p>
              </w:tc>
              <w:tc>
                <w:tcPr>
                  <w:tcW w:w="2447" w:type="dxa"/>
                  <w:tcBorders>
                    <w:top w:val="nil"/>
                  </w:tcBorders>
                  <w:vAlign w:val="center"/>
                </w:tcPr>
                <w:p>
                  <w:pPr>
                    <w:pStyle w:val="Compact"/>
                    <w:spacing w:before="36" w:after="36"/>
                    <w:jc w:val="center"/>
                    <w:rPr/>
                  </w:pPr>
                  <w:r>
                    <w:rPr/>
                    <w:t>7.55 (1.32)</w:t>
                  </w:r>
                </w:p>
              </w:tc>
              <w:tc>
                <w:tcPr>
                  <w:tcW w:w="1614" w:type="dxa"/>
                  <w:tcBorders>
                    <w:top w:val="nil"/>
                  </w:tcBorders>
                  <w:vAlign w:val="center"/>
                </w:tcPr>
                <w:p>
                  <w:pPr>
                    <w:pStyle w:val="Compact"/>
                    <w:spacing w:before="36" w:after="36"/>
                    <w:jc w:val="center"/>
                    <w:rPr/>
                  </w:pPr>
                  <w:r>
                    <w:rPr/>
                    <w:t>1.00 (0.00)</w:t>
                  </w:r>
                  <w:bookmarkStart w:id="157" w:name="apptbl-s2b-descriptives"/>
                  <w:bookmarkEnd w:id="157"/>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200</m:t>
        </m:r>
      </m:oMath>
      <w:r>
        <w:rPr/>
        <w:t xml:space="preserve"> sessions across eight LLMs from three providers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100</m:t>
        </m:r>
      </m:oMath>
      <w:r>
        <w:rPr/>
        <w:t xml:space="preserve"> independent Monte Carlo sessions per cell). Means with standard deviation in parentheses. Diagnostic acquisitions are the combined count of </w:t>
      </w:r>
      <w:r>
        <w:rPr>
          <w:i/>
          <w:iCs/>
        </w:rPr>
        <w:t>list_price</w:t>
      </w:r>
      <w:r>
        <w:rPr/>
        <w:t xml:space="preserve">, </w:t>
      </w:r>
      <w:r>
        <w:rPr>
          <w:i/>
          <w:iCs/>
        </w:rPr>
        <w:t>discount_percentage</w:t>
      </w:r>
      <w:r>
        <w:rPr/>
        <w:t xml:space="preserve">, and </w:t>
      </w:r>
      <w:r>
        <w:rPr>
          <w:i/>
          <w:iCs/>
        </w:rPr>
        <w:t>weight</w:t>
      </w:r>
      <w:r>
        <w:rPr/>
        <w:t xml:space="preserve"> across the three alternatives (maximum = 9). Choice Optimality is the proportion of sessions selecting the normatively superior alternative.</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W22: Moderated mediation structural path estimates by LLM (Study 2 Tool-Lab)</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524"/>
              <w:gridCol w:w="1904"/>
              <w:gridCol w:w="1902"/>
              <w:gridCol w:w="1909"/>
              <w:gridCol w:w="1905"/>
            </w:tblGrid>
            <w:tr>
              <w:trPr>
                <w:tblHeader w:val="true"/>
              </w:trPr>
              <w:tc>
                <w:tcPr>
                  <w:tcW w:w="1524" w:type="dxa"/>
                  <w:tcBorders/>
                  <w:vAlign w:val="center"/>
                </w:tcPr>
                <w:p>
                  <w:pPr>
                    <w:pStyle w:val="Compact"/>
                    <w:spacing w:before="36" w:after="36"/>
                    <w:jc w:val="center"/>
                    <w:rPr>
                      <w:b w:val="false"/>
                    </w:rPr>
                  </w:pPr>
                  <w:r>
                    <w:rPr>
                      <w:b w:val="false"/>
                    </w:rPr>
                    <w:t>LLM</w:t>
                  </w:r>
                </w:p>
              </w:tc>
              <w:tc>
                <w:tcPr>
                  <w:tcW w:w="1904"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a</m:t>
                        </m:r>
                      </m:e>
                      <m:sub>
                        <m:r>
                          <w:rPr>
                            <w:rFonts w:ascii="Cambria Math" w:hAnsi="Cambria Math"/>
                          </w:rPr>
                          <m:t xml:space="preserve">1</m:t>
                        </m:r>
                      </m:sub>
                    </m:sSub>
                  </m:oMath>
                  <w:r>
                    <w:rPr>
                      <w:b w:val="false"/>
                    </w:rPr>
                    <w:t xml:space="preserve"> </w:t>
                  </w:r>
                  <w:r>
                    <w:rPr>
                      <w:b w:val="false"/>
                    </w:rPr>
                    <w:t>(Cost: Unit Price)</w:t>
                  </w:r>
                </w:p>
              </w:tc>
              <w:tc>
                <w:tcPr>
                  <w:tcW w:w="1902"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a</m:t>
                        </m:r>
                      </m:e>
                      <m:sub>
                        <m:r>
                          <w:rPr>
                            <w:rFonts w:ascii="Cambria Math" w:hAnsi="Cambria Math"/>
                          </w:rPr>
                          <m:t xml:space="preserve">3</m:t>
                        </m:r>
                      </m:sub>
                    </m:sSub>
                  </m:oMath>
                  <w:r>
                    <w:rPr>
                      <w:b w:val="false"/>
                    </w:rPr>
                    <w:t xml:space="preserve"> </w:t>
                  </w:r>
                  <w:r>
                    <w:rPr>
                      <w:b w:val="false"/>
                    </w:rPr>
                    <w:t xml:space="preserve">(Cost </w:t>
                  </w:r>
                  <w:r>
                    <w:rPr>
                      <w:b w:val="false"/>
                    </w:rPr>
                  </w:r>
                  <m:oMath xmlns:m="http://schemas.openxmlformats.org/officeDocument/2006/math">
                    <m:r>
                      <w:rPr>
                        <w:rFonts w:ascii="Cambria Math" w:hAnsi="Cambria Math"/>
                      </w:rPr>
                      <m:t xml:space="preserve">×</m:t>
                    </m:r>
                  </m:oMath>
                  <w:r>
                    <w:rPr>
                      <w:b w:val="false"/>
                    </w:rPr>
                    <w:t xml:space="preserve"> Deal)</w:t>
                  </w:r>
                </w:p>
              </w:tc>
              <w:tc>
                <w:tcPr>
                  <w:tcW w:w="1909" w:type="dxa"/>
                  <w:tcBorders/>
                  <w:vAlign w:val="center"/>
                </w:tcPr>
                <w:p>
                  <w:pPr>
                    <w:pStyle w:val="Compact"/>
                    <w:spacing w:before="36" w:after="36"/>
                    <w:jc w:val="center"/>
                    <w:rPr>
                      <w:b w:val="false"/>
                    </w:rPr>
                  </w:pPr>
                  <w:r>
                    <w:rPr>
                      <w:b w:val="false"/>
                    </w:rPr>
                  </w:r>
                  <m:oMath xmlns:m="http://schemas.openxmlformats.org/officeDocument/2006/math">
                    <m:sSub>
                      <m:e>
                        <m:r>
                          <w:rPr>
                            <w:rFonts w:ascii="Cambria Math" w:hAnsi="Cambria Math"/>
                          </w:rPr>
                          <m:t xml:space="preserve">b</m:t>
                        </m:r>
                      </m:e>
                      <m:sub>
                        <m:r>
                          <w:rPr>
                            <w:rFonts w:ascii="Cambria Math" w:hAnsi="Cambria Math"/>
                          </w:rPr>
                          <m:t xml:space="preserve">1</m:t>
                        </m:r>
                      </m:sub>
                    </m:sSub>
                  </m:oMath>
                  <w:r>
                    <w:rPr>
                      <w:b w:val="false"/>
                    </w:rPr>
                    <w:t xml:space="preserve"> </w:t>
                  </w:r>
                  <w:r>
                    <w:rPr>
                      <w:b w:val="false"/>
                    </w:rPr>
                    <w:t>(Diagnostic Search)</w:t>
                  </w:r>
                </w:p>
              </w:tc>
              <w:tc>
                <w:tcPr>
                  <w:tcW w:w="1905" w:type="dxa"/>
                  <w:tcBorders/>
                  <w:vAlign w:val="center"/>
                </w:tcPr>
                <w:p>
                  <w:pPr>
                    <w:pStyle w:val="Compact"/>
                    <w:spacing w:before="36" w:after="36"/>
                    <w:jc w:val="center"/>
                    <w:rPr>
                      <w:b w:val="false"/>
                    </w:rPr>
                  </w:pPr>
                  <w:r>
                    <w:rPr>
                      <w:b w:val="false"/>
                    </w:rPr>
                  </w:r>
                  <m:oMath xmlns:m="http://schemas.openxmlformats.org/officeDocument/2006/math">
                    <m:sSup>
                      <m:e>
                        <m:r>
                          <w:rPr>
                            <w:rFonts w:ascii="Cambria Math" w:hAnsi="Cambria Math"/>
                          </w:rPr>
                          <m:t xml:space="preserve">c</m:t>
                        </m:r>
                      </m:e>
                      <m:sup>
                        <m:r>
                          <w:rPr>
                            <w:rFonts w:ascii="Cambria Math" w:hAnsi="Cambria Math"/>
                          </w:rPr>
                          <m:t xml:space="preserve">′</m:t>
                        </m:r>
                      </m:sup>
                    </m:sSup>
                  </m:oMath>
                  <w:r>
                    <w:rPr>
                      <w:b w:val="false"/>
                    </w:rPr>
                    <w:t xml:space="preserve"> </w:t>
                  </w:r>
                  <w:r>
                    <w:rPr>
                      <w:b w:val="false"/>
                    </w:rPr>
                    <w:t>(Direct Effect)</w:t>
                  </w:r>
                </w:p>
              </w:tc>
            </w:tr>
            <w:tr>
              <w:trPr/>
              <w:tc>
                <w:tcPr>
                  <w:tcW w:w="1524" w:type="dxa"/>
                  <w:tcBorders>
                    <w:top w:val="nil"/>
                    <w:bottom w:val="nil"/>
                  </w:tcBorders>
                  <w:vAlign w:val="center"/>
                </w:tcPr>
                <w:p>
                  <w:pPr>
                    <w:pStyle w:val="Compact"/>
                    <w:spacing w:before="36" w:after="36"/>
                    <w:jc w:val="center"/>
                    <w:rPr/>
                  </w:pPr>
                  <w:r>
                    <w:rPr/>
                    <w:t>Claude Opus 5</w:t>
                  </w:r>
                </w:p>
              </w:tc>
              <w:tc>
                <w:tcPr>
                  <w:tcW w:w="1904" w:type="dxa"/>
                  <w:tcBorders>
                    <w:top w:val="nil"/>
                    <w:bottom w:val="nil"/>
                  </w:tcBorders>
                  <w:vAlign w:val="center"/>
                </w:tcPr>
                <w:p>
                  <w:pPr>
                    <w:pStyle w:val="Compact"/>
                    <w:spacing w:before="36" w:after="36"/>
                    <w:jc w:val="center"/>
                    <w:rPr/>
                  </w:pPr>
                  <w:r>
                    <w:rPr/>
                    <w:t>-1.423 [-1.708, -1.143]*</w:t>
                  </w:r>
                </w:p>
              </w:tc>
              <w:tc>
                <w:tcPr>
                  <w:tcW w:w="1902" w:type="dxa"/>
                  <w:tcBorders>
                    <w:top w:val="nil"/>
                    <w:bottom w:val="nil"/>
                  </w:tcBorders>
                  <w:vAlign w:val="center"/>
                </w:tcPr>
                <w:p>
                  <w:pPr>
                    <w:pStyle w:val="Compact"/>
                    <w:spacing w:before="36" w:after="36"/>
                    <w:jc w:val="center"/>
                    <w:rPr/>
                  </w:pPr>
                  <w:r>
                    <w:rPr/>
                    <w:t>-2.178 [-2.587, -1.770]*</w:t>
                  </w:r>
                </w:p>
              </w:tc>
              <w:tc>
                <w:tcPr>
                  <w:tcW w:w="1909" w:type="dxa"/>
                  <w:tcBorders>
                    <w:top w:val="nil"/>
                    <w:bottom w:val="nil"/>
                  </w:tcBorders>
                  <w:vAlign w:val="center"/>
                </w:tcPr>
                <w:p>
                  <w:pPr>
                    <w:pStyle w:val="Compact"/>
                    <w:spacing w:before="36" w:after="36"/>
                    <w:jc w:val="center"/>
                    <w:rPr/>
                  </w:pPr>
                  <w:r>
                    <w:rPr/>
                    <w:t>0.143 [0.127, 0.160]*</w:t>
                  </w:r>
                </w:p>
              </w:tc>
              <w:tc>
                <w:tcPr>
                  <w:tcW w:w="1905" w:type="dxa"/>
                  <w:tcBorders>
                    <w:top w:val="nil"/>
                    <w:bottom w:val="nil"/>
                  </w:tcBorders>
                  <w:vAlign w:val="center"/>
                </w:tcPr>
                <w:p>
                  <w:pPr>
                    <w:pStyle w:val="Compact"/>
                    <w:spacing w:before="36" w:after="36"/>
                    <w:jc w:val="center"/>
                    <w:rPr/>
                  </w:pPr>
                  <w:r>
                    <w:rPr/>
                    <w:t>0.044 [-0.016, 0.117]</w:t>
                  </w:r>
                </w:p>
              </w:tc>
            </w:tr>
            <w:tr>
              <w:trPr/>
              <w:tc>
                <w:tcPr>
                  <w:tcW w:w="1524" w:type="dxa"/>
                  <w:tcBorders>
                    <w:top w:val="nil"/>
                    <w:bottom w:val="nil"/>
                  </w:tcBorders>
                  <w:vAlign w:val="center"/>
                </w:tcPr>
                <w:p>
                  <w:pPr>
                    <w:pStyle w:val="Compact"/>
                    <w:spacing w:before="36" w:after="36"/>
                    <w:jc w:val="center"/>
                    <w:rPr/>
                  </w:pPr>
                  <w:r>
                    <w:rPr/>
                    <w:t>Claude Sonnet 5</w:t>
                  </w:r>
                </w:p>
              </w:tc>
              <w:tc>
                <w:tcPr>
                  <w:tcW w:w="1904" w:type="dxa"/>
                  <w:tcBorders>
                    <w:top w:val="nil"/>
                    <w:bottom w:val="nil"/>
                  </w:tcBorders>
                  <w:vAlign w:val="center"/>
                </w:tcPr>
                <w:p>
                  <w:pPr>
                    <w:pStyle w:val="Compact"/>
                    <w:spacing w:before="36" w:after="36"/>
                    <w:jc w:val="center"/>
                    <w:rPr/>
                  </w:pPr>
                  <w:r>
                    <w:rPr/>
                    <w:t>0.005 [-0.282, 0.299]</w:t>
                  </w:r>
                </w:p>
              </w:tc>
              <w:tc>
                <w:tcPr>
                  <w:tcW w:w="1902" w:type="dxa"/>
                  <w:tcBorders>
                    <w:top w:val="nil"/>
                    <w:bottom w:val="nil"/>
                  </w:tcBorders>
                  <w:vAlign w:val="center"/>
                </w:tcPr>
                <w:p>
                  <w:pPr>
                    <w:pStyle w:val="Compact"/>
                    <w:spacing w:before="36" w:after="36"/>
                    <w:jc w:val="center"/>
                    <w:rPr/>
                  </w:pPr>
                  <w:r>
                    <w:rPr/>
                    <w:t>-0.600 [-1.023, -0.192]*</w:t>
                  </w:r>
                </w:p>
              </w:tc>
              <w:tc>
                <w:tcPr>
                  <w:tcW w:w="1909" w:type="dxa"/>
                  <w:tcBorders>
                    <w:top w:val="nil"/>
                    <w:bottom w:val="nil"/>
                  </w:tcBorders>
                  <w:vAlign w:val="center"/>
                </w:tcPr>
                <w:p>
                  <w:pPr>
                    <w:pStyle w:val="Compact"/>
                    <w:spacing w:before="36" w:after="36"/>
                    <w:jc w:val="center"/>
                    <w:rPr/>
                  </w:pPr>
                  <w:r>
                    <w:rPr/>
                    <w:t>0.200 [0.167, 0.232]*</w:t>
                  </w:r>
                </w:p>
              </w:tc>
              <w:tc>
                <w:tcPr>
                  <w:tcW w:w="1905" w:type="dxa"/>
                  <w:tcBorders>
                    <w:top w:val="nil"/>
                    <w:bottom w:val="nil"/>
                  </w:tcBorders>
                  <w:vAlign w:val="center"/>
                </w:tcPr>
                <w:p>
                  <w:pPr>
                    <w:pStyle w:val="Compact"/>
                    <w:spacing w:before="36" w:after="36"/>
                    <w:jc w:val="center"/>
                    <w:rPr/>
                  </w:pPr>
                  <w:r>
                    <w:rPr/>
                    <w:t>-0.005 [-0.050, 0.039]</w:t>
                  </w:r>
                </w:p>
              </w:tc>
            </w:tr>
            <w:tr>
              <w:trPr/>
              <w:tc>
                <w:tcPr>
                  <w:tcW w:w="1524" w:type="dxa"/>
                  <w:tcBorders>
                    <w:top w:val="nil"/>
                    <w:bottom w:val="nil"/>
                  </w:tcBorders>
                  <w:vAlign w:val="center"/>
                </w:tcPr>
                <w:p>
                  <w:pPr>
                    <w:pStyle w:val="Compact"/>
                    <w:spacing w:before="36" w:after="36"/>
                    <w:jc w:val="center"/>
                    <w:rPr/>
                  </w:pPr>
                  <w:r>
                    <w:rPr/>
                    <w:t>Gemini 3.1 Flash</w:t>
                  </w:r>
                </w:p>
              </w:tc>
              <w:tc>
                <w:tcPr>
                  <w:tcW w:w="1904" w:type="dxa"/>
                  <w:tcBorders>
                    <w:top w:val="nil"/>
                    <w:bottom w:val="nil"/>
                  </w:tcBorders>
                  <w:vAlign w:val="center"/>
                </w:tcPr>
                <w:p>
                  <w:pPr>
                    <w:pStyle w:val="Compact"/>
                    <w:spacing w:before="36" w:after="36"/>
                    <w:jc w:val="center"/>
                    <w:rPr/>
                  </w:pPr>
                  <w:r>
                    <w:rPr/>
                    <w:t>-2.914 [-3.209, -2.621]*</w:t>
                  </w:r>
                </w:p>
              </w:tc>
              <w:tc>
                <w:tcPr>
                  <w:tcW w:w="1902" w:type="dxa"/>
                  <w:tcBorders>
                    <w:top w:val="nil"/>
                    <w:bottom w:val="nil"/>
                  </w:tcBorders>
                  <w:vAlign w:val="center"/>
                </w:tcPr>
                <w:p>
                  <w:pPr>
                    <w:pStyle w:val="Compact"/>
                    <w:spacing w:before="36" w:after="36"/>
                    <w:jc w:val="center"/>
                    <w:rPr/>
                  </w:pPr>
                  <w:r>
                    <w:rPr/>
                    <w:t>-4.962 [-5.370, -4.554]*</w:t>
                  </w:r>
                </w:p>
              </w:tc>
              <w:tc>
                <w:tcPr>
                  <w:tcW w:w="1909" w:type="dxa"/>
                  <w:tcBorders>
                    <w:top w:val="nil"/>
                    <w:bottom w:val="nil"/>
                  </w:tcBorders>
                  <w:vAlign w:val="center"/>
                </w:tcPr>
                <w:p>
                  <w:pPr>
                    <w:pStyle w:val="Compact"/>
                    <w:spacing w:before="36" w:after="36"/>
                    <w:jc w:val="center"/>
                    <w:rPr/>
                  </w:pPr>
                  <w:r>
                    <w:rPr/>
                    <w:t>0.081 [0.071, 0.090]*</w:t>
                  </w:r>
                </w:p>
              </w:tc>
              <w:tc>
                <w:tcPr>
                  <w:tcW w:w="1905" w:type="dxa"/>
                  <w:tcBorders>
                    <w:top w:val="nil"/>
                    <w:bottom w:val="nil"/>
                  </w:tcBorders>
                  <w:vAlign w:val="center"/>
                </w:tcPr>
                <w:p>
                  <w:pPr>
                    <w:pStyle w:val="Compact"/>
                    <w:spacing w:before="36" w:after="36"/>
                    <w:jc w:val="center"/>
                    <w:rPr/>
                  </w:pPr>
                  <w:r>
                    <w:rPr/>
                    <w:t>-0.009 [-0.068, 0.047]</w:t>
                  </w:r>
                </w:p>
              </w:tc>
            </w:tr>
            <w:tr>
              <w:trPr/>
              <w:tc>
                <w:tcPr>
                  <w:tcW w:w="1524" w:type="dxa"/>
                  <w:tcBorders>
                    <w:top w:val="nil"/>
                    <w:bottom w:val="nil"/>
                  </w:tcBorders>
                  <w:vAlign w:val="center"/>
                </w:tcPr>
                <w:p>
                  <w:pPr>
                    <w:pStyle w:val="Compact"/>
                    <w:spacing w:before="36" w:after="36"/>
                    <w:jc w:val="center"/>
                    <w:rPr/>
                  </w:pPr>
                  <w:r>
                    <w:rPr/>
                    <w:t>Gemini 3.1 Flash Lite</w:t>
                  </w:r>
                </w:p>
              </w:tc>
              <w:tc>
                <w:tcPr>
                  <w:tcW w:w="1904" w:type="dxa"/>
                  <w:tcBorders>
                    <w:top w:val="nil"/>
                    <w:bottom w:val="nil"/>
                  </w:tcBorders>
                  <w:vAlign w:val="center"/>
                </w:tcPr>
                <w:p>
                  <w:pPr>
                    <w:pStyle w:val="Compact"/>
                    <w:spacing w:before="36" w:after="36"/>
                    <w:jc w:val="center"/>
                    <w:rPr/>
                  </w:pPr>
                  <w:r>
                    <w:rPr/>
                    <w:t>-0.861 [-1.154, -0.569]*</w:t>
                  </w:r>
                </w:p>
              </w:tc>
              <w:tc>
                <w:tcPr>
                  <w:tcW w:w="1902" w:type="dxa"/>
                  <w:tcBorders>
                    <w:top w:val="nil"/>
                    <w:bottom w:val="nil"/>
                  </w:tcBorders>
                  <w:vAlign w:val="center"/>
                </w:tcPr>
                <w:p>
                  <w:pPr>
                    <w:pStyle w:val="Compact"/>
                    <w:spacing w:before="36" w:after="36"/>
                    <w:jc w:val="center"/>
                    <w:rPr/>
                  </w:pPr>
                  <w:r>
                    <w:rPr/>
                    <w:t>-0.320 [-0.726, 0.087]</w:t>
                  </w:r>
                </w:p>
              </w:tc>
              <w:tc>
                <w:tcPr>
                  <w:tcW w:w="1909" w:type="dxa"/>
                  <w:tcBorders>
                    <w:top w:val="nil"/>
                    <w:bottom w:val="nil"/>
                  </w:tcBorders>
                  <w:vAlign w:val="center"/>
                </w:tcPr>
                <w:p>
                  <w:pPr>
                    <w:pStyle w:val="Compact"/>
                    <w:spacing w:before="36" w:after="36"/>
                    <w:jc w:val="center"/>
                    <w:rPr/>
                  </w:pPr>
                  <w:r>
                    <w:rPr/>
                    <w:t>-0.051 [-0.074, -0.028]*</w:t>
                  </w:r>
                </w:p>
              </w:tc>
              <w:tc>
                <w:tcPr>
                  <w:tcW w:w="1905" w:type="dxa"/>
                  <w:tcBorders>
                    <w:top w:val="nil"/>
                    <w:bottom w:val="nil"/>
                  </w:tcBorders>
                  <w:vAlign w:val="center"/>
                </w:tcPr>
                <w:p>
                  <w:pPr>
                    <w:pStyle w:val="Compact"/>
                    <w:spacing w:before="36" w:after="36"/>
                    <w:jc w:val="center"/>
                    <w:rPr/>
                  </w:pPr>
                  <w:r>
                    <w:rPr/>
                    <w:t>-0.014 [-0.063, 0.031]</w:t>
                  </w:r>
                </w:p>
              </w:tc>
            </w:tr>
            <w:tr>
              <w:trPr/>
              <w:tc>
                <w:tcPr>
                  <w:tcW w:w="1524" w:type="dxa"/>
                  <w:tcBorders>
                    <w:top w:val="nil"/>
                    <w:bottom w:val="nil"/>
                  </w:tcBorders>
                  <w:vAlign w:val="center"/>
                </w:tcPr>
                <w:p>
                  <w:pPr>
                    <w:pStyle w:val="Compact"/>
                    <w:spacing w:before="36" w:after="36"/>
                    <w:jc w:val="center"/>
                    <w:rPr/>
                  </w:pPr>
                  <w:r>
                    <w:rPr/>
                    <w:t>Gemini 3.1 Pro</w:t>
                  </w:r>
                </w:p>
              </w:tc>
              <w:tc>
                <w:tcPr>
                  <w:tcW w:w="1904" w:type="dxa"/>
                  <w:tcBorders>
                    <w:top w:val="nil"/>
                    <w:bottom w:val="nil"/>
                  </w:tcBorders>
                  <w:vAlign w:val="center"/>
                </w:tcPr>
                <w:p>
                  <w:pPr>
                    <w:pStyle w:val="Compact"/>
                    <w:spacing w:before="36" w:after="36"/>
                    <w:jc w:val="center"/>
                    <w:rPr/>
                  </w:pPr>
                  <w:r>
                    <w:rPr/>
                    <w:t>-0.209 [-0.494, 0.082]</w:t>
                  </w:r>
                </w:p>
              </w:tc>
              <w:tc>
                <w:tcPr>
                  <w:tcW w:w="1902" w:type="dxa"/>
                  <w:tcBorders>
                    <w:top w:val="nil"/>
                    <w:bottom w:val="nil"/>
                  </w:tcBorders>
                  <w:vAlign w:val="center"/>
                </w:tcPr>
                <w:p>
                  <w:pPr>
                    <w:pStyle w:val="Compact"/>
                    <w:spacing w:before="36" w:after="36"/>
                    <w:jc w:val="center"/>
                    <w:rPr/>
                  </w:pPr>
                  <w:r>
                    <w:rPr/>
                    <w:t>-3.619 [-4.027, -3.220]*</w:t>
                  </w:r>
                </w:p>
              </w:tc>
              <w:tc>
                <w:tcPr>
                  <w:tcW w:w="1909" w:type="dxa"/>
                  <w:tcBorders>
                    <w:top w:val="nil"/>
                    <w:bottom w:val="nil"/>
                  </w:tcBorders>
                  <w:vAlign w:val="center"/>
                </w:tcPr>
                <w:p>
                  <w:pPr>
                    <w:pStyle w:val="Compact"/>
                    <w:spacing w:before="36" w:after="36"/>
                    <w:jc w:val="center"/>
                    <w:rPr/>
                  </w:pPr>
                  <w:r>
                    <w:rPr/>
                    <w:t>0.064 [0.053, 0.075]*</w:t>
                  </w:r>
                </w:p>
              </w:tc>
              <w:tc>
                <w:tcPr>
                  <w:tcW w:w="1905" w:type="dxa"/>
                  <w:tcBorders>
                    <w:top w:val="nil"/>
                    <w:bottom w:val="nil"/>
                  </w:tcBorders>
                  <w:vAlign w:val="center"/>
                </w:tcPr>
                <w:p>
                  <w:pPr>
                    <w:pStyle w:val="Compact"/>
                    <w:spacing w:before="36" w:after="36"/>
                    <w:jc w:val="center"/>
                    <w:rPr/>
                  </w:pPr>
                  <w:r>
                    <w:rPr/>
                    <w:t>-0.009 [-0.054, 0.035]</w:t>
                  </w:r>
                </w:p>
              </w:tc>
            </w:tr>
            <w:tr>
              <w:trPr/>
              <w:tc>
                <w:tcPr>
                  <w:tcW w:w="1524" w:type="dxa"/>
                  <w:tcBorders>
                    <w:top w:val="nil"/>
                    <w:bottom w:val="nil"/>
                  </w:tcBorders>
                  <w:vAlign w:val="center"/>
                </w:tcPr>
                <w:p>
                  <w:pPr>
                    <w:pStyle w:val="Compact"/>
                    <w:spacing w:before="36" w:after="36"/>
                    <w:jc w:val="center"/>
                    <w:rPr/>
                  </w:pPr>
                  <w:r>
                    <w:rPr/>
                    <w:t>GPT-5.6 Luna</w:t>
                  </w:r>
                </w:p>
              </w:tc>
              <w:tc>
                <w:tcPr>
                  <w:tcW w:w="1904" w:type="dxa"/>
                  <w:tcBorders>
                    <w:top w:val="nil"/>
                    <w:bottom w:val="nil"/>
                  </w:tcBorders>
                  <w:vAlign w:val="center"/>
                </w:tcPr>
                <w:p>
                  <w:pPr>
                    <w:pStyle w:val="Compact"/>
                    <w:spacing w:before="36" w:after="36"/>
                    <w:jc w:val="center"/>
                    <w:rPr/>
                  </w:pPr>
                  <w:r>
                    <w:rPr/>
                    <w:t>-0.019 [-0.304, 0.276]</w:t>
                  </w:r>
                </w:p>
              </w:tc>
              <w:tc>
                <w:tcPr>
                  <w:tcW w:w="1902" w:type="dxa"/>
                  <w:tcBorders>
                    <w:top w:val="nil"/>
                    <w:bottom w:val="nil"/>
                  </w:tcBorders>
                  <w:vAlign w:val="center"/>
                </w:tcPr>
                <w:p>
                  <w:pPr>
                    <w:pStyle w:val="Compact"/>
                    <w:spacing w:before="36" w:after="36"/>
                    <w:jc w:val="center"/>
                    <w:rPr/>
                  </w:pPr>
                  <w:r>
                    <w:rPr/>
                    <w:t>0.011 [-0.396, 0.424]</w:t>
                  </w:r>
                </w:p>
              </w:tc>
              <w:tc>
                <w:tcPr>
                  <w:tcW w:w="1909" w:type="dxa"/>
                  <w:tcBorders>
                    <w:top w:val="nil"/>
                    <w:bottom w:val="nil"/>
                  </w:tcBorders>
                  <w:vAlign w:val="center"/>
                </w:tcPr>
                <w:p>
                  <w:pPr>
                    <w:pStyle w:val="Compact"/>
                    <w:spacing w:before="36" w:after="36"/>
                    <w:jc w:val="center"/>
                    <w:rPr/>
                  </w:pPr>
                  <w:r>
                    <w:rPr/>
                    <w:t>0.049 [-0.043, 0.131]</w:t>
                  </w:r>
                </w:p>
              </w:tc>
              <w:tc>
                <w:tcPr>
                  <w:tcW w:w="1905" w:type="dxa"/>
                  <w:tcBorders>
                    <w:top w:val="nil"/>
                    <w:bottom w:val="nil"/>
                  </w:tcBorders>
                  <w:vAlign w:val="center"/>
                </w:tcPr>
                <w:p>
                  <w:pPr>
                    <w:pStyle w:val="Compact"/>
                    <w:spacing w:before="36" w:after="36"/>
                    <w:jc w:val="center"/>
                    <w:rPr/>
                  </w:pPr>
                  <w:r>
                    <w:rPr/>
                    <w:t>0.006 [-0.034, 0.051]</w:t>
                  </w:r>
                </w:p>
              </w:tc>
            </w:tr>
            <w:tr>
              <w:trPr/>
              <w:tc>
                <w:tcPr>
                  <w:tcW w:w="1524" w:type="dxa"/>
                  <w:tcBorders>
                    <w:top w:val="nil"/>
                    <w:bottom w:val="nil"/>
                  </w:tcBorders>
                  <w:vAlign w:val="center"/>
                </w:tcPr>
                <w:p>
                  <w:pPr>
                    <w:pStyle w:val="Compact"/>
                    <w:spacing w:before="36" w:after="36"/>
                    <w:jc w:val="center"/>
                    <w:rPr/>
                  </w:pPr>
                  <w:r>
                    <w:rPr/>
                    <w:t>GPT-5.6 Sol</w:t>
                  </w:r>
                </w:p>
              </w:tc>
              <w:tc>
                <w:tcPr>
                  <w:tcW w:w="1904" w:type="dxa"/>
                  <w:tcBorders>
                    <w:top w:val="nil"/>
                    <w:bottom w:val="nil"/>
                  </w:tcBorders>
                  <w:vAlign w:val="center"/>
                </w:tcPr>
                <w:p>
                  <w:pPr>
                    <w:pStyle w:val="Compact"/>
                    <w:spacing w:before="36" w:after="36"/>
                    <w:jc w:val="center"/>
                    <w:rPr/>
                  </w:pPr>
                  <w:r>
                    <w:rPr/>
                    <w:t>-0.250 [-0.539, 0.042]</w:t>
                  </w:r>
                </w:p>
              </w:tc>
              <w:tc>
                <w:tcPr>
                  <w:tcW w:w="1902" w:type="dxa"/>
                  <w:tcBorders>
                    <w:top w:val="nil"/>
                    <w:bottom w:val="nil"/>
                  </w:tcBorders>
                  <w:vAlign w:val="center"/>
                </w:tcPr>
                <w:p>
                  <w:pPr>
                    <w:pStyle w:val="Compact"/>
                    <w:spacing w:before="36" w:after="36"/>
                    <w:jc w:val="center"/>
                    <w:rPr/>
                  </w:pPr>
                  <w:r>
                    <w:rPr/>
                    <w:t>-8.279 [-8.682, -7.864]*</w:t>
                  </w:r>
                </w:p>
              </w:tc>
              <w:tc>
                <w:tcPr>
                  <w:tcW w:w="1909" w:type="dxa"/>
                  <w:tcBorders>
                    <w:top w:val="nil"/>
                    <w:bottom w:val="nil"/>
                  </w:tcBorders>
                  <w:vAlign w:val="center"/>
                </w:tcPr>
                <w:p>
                  <w:pPr>
                    <w:pStyle w:val="Compact"/>
                    <w:spacing w:before="36" w:after="36"/>
                    <w:jc w:val="center"/>
                    <w:rPr/>
                  </w:pPr>
                  <w:r>
                    <w:rPr/>
                    <w:t>0.076 [0.066, 0.085]*</w:t>
                  </w:r>
                </w:p>
              </w:tc>
              <w:tc>
                <w:tcPr>
                  <w:tcW w:w="1905" w:type="dxa"/>
                  <w:tcBorders>
                    <w:top w:val="nil"/>
                    <w:bottom w:val="nil"/>
                  </w:tcBorders>
                  <w:vAlign w:val="center"/>
                </w:tcPr>
                <w:p>
                  <w:pPr>
                    <w:pStyle w:val="Compact"/>
                    <w:spacing w:before="36" w:after="36"/>
                    <w:jc w:val="center"/>
                    <w:rPr/>
                  </w:pPr>
                  <w:r>
                    <w:rPr/>
                    <w:t>-0.023 [-0.082, 0.027]</w:t>
                  </w:r>
                </w:p>
              </w:tc>
            </w:tr>
            <w:tr>
              <w:trPr/>
              <w:tc>
                <w:tcPr>
                  <w:tcW w:w="1524" w:type="dxa"/>
                  <w:tcBorders>
                    <w:top w:val="nil"/>
                  </w:tcBorders>
                  <w:vAlign w:val="center"/>
                </w:tcPr>
                <w:p>
                  <w:pPr>
                    <w:pStyle w:val="Compact"/>
                    <w:spacing w:before="36" w:after="36"/>
                    <w:jc w:val="center"/>
                    <w:rPr/>
                  </w:pPr>
                  <w:r>
                    <w:rPr/>
                    <w:t>GPT-5.6 Terra</w:t>
                  </w:r>
                </w:p>
              </w:tc>
              <w:tc>
                <w:tcPr>
                  <w:tcW w:w="1904" w:type="dxa"/>
                  <w:tcBorders>
                    <w:top w:val="nil"/>
                  </w:tcBorders>
                  <w:vAlign w:val="center"/>
                </w:tcPr>
                <w:p>
                  <w:pPr>
                    <w:pStyle w:val="Compact"/>
                    <w:spacing w:before="36" w:after="36"/>
                    <w:jc w:val="center"/>
                    <w:rPr/>
                  </w:pPr>
                  <w:r>
                    <w:rPr/>
                    <w:t>-0.147 [-0.428, 0.134]</w:t>
                  </w:r>
                </w:p>
              </w:tc>
              <w:tc>
                <w:tcPr>
                  <w:tcW w:w="1902" w:type="dxa"/>
                  <w:tcBorders>
                    <w:top w:val="nil"/>
                  </w:tcBorders>
                  <w:vAlign w:val="center"/>
                </w:tcPr>
                <w:p>
                  <w:pPr>
                    <w:pStyle w:val="Compact"/>
                    <w:spacing w:before="36" w:after="36"/>
                    <w:jc w:val="center"/>
                    <w:rPr/>
                  </w:pPr>
                  <w:r>
                    <w:rPr/>
                    <w:t>-7.624 [-8.026, -7.222]*</w:t>
                  </w:r>
                </w:p>
              </w:tc>
              <w:tc>
                <w:tcPr>
                  <w:tcW w:w="1909" w:type="dxa"/>
                  <w:tcBorders>
                    <w:top w:val="nil"/>
                  </w:tcBorders>
                  <w:vAlign w:val="center"/>
                </w:tcPr>
                <w:p>
                  <w:pPr>
                    <w:pStyle w:val="Compact"/>
                    <w:spacing w:before="36" w:after="36"/>
                    <w:jc w:val="center"/>
                    <w:rPr/>
                  </w:pPr>
                  <w:r>
                    <w:rPr/>
                    <w:t>0.067 [0.056, 0.076]*</w:t>
                  </w:r>
                </w:p>
              </w:tc>
              <w:tc>
                <w:tcPr>
                  <w:tcW w:w="1905" w:type="dxa"/>
                  <w:tcBorders>
                    <w:top w:val="nil"/>
                  </w:tcBorders>
                  <w:vAlign w:val="center"/>
                </w:tcPr>
                <w:p>
                  <w:pPr>
                    <w:pStyle w:val="Compact"/>
                    <w:spacing w:before="36" w:after="36"/>
                    <w:jc w:val="center"/>
                    <w:rPr/>
                  </w:pPr>
                  <w:r>
                    <w:rPr/>
                    <w:t>-0.042 [-0.105, 0.009]</w:t>
                  </w:r>
                  <w:bookmarkStart w:id="158" w:name="apptbl-s2b-permodel-paths"/>
                  <w:bookmarkEnd w:id="158"/>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200</m:t>
        </m:r>
      </m:oMath>
      <w:r>
        <w:rPr/>
        <w:t xml:space="preserve"> sessions across eight large language models (400 sessions per LLM: 100 per prompt framing </w:t>
      </w:r>
      <w:r>
        <w:rPr/>
      </w:r>
      <m:oMath xmlns:m="http://schemas.openxmlformats.org/officeDocument/2006/math">
        <m:r>
          <w:rPr>
            <w:rFonts w:ascii="Cambria Math" w:hAnsi="Cambria Math"/>
          </w:rPr>
          <m:t xml:space="preserve">×</m:t>
        </m:r>
      </m:oMath>
      <w:r>
        <w:rPr/>
        <w:t xml:space="preserve"> cost condition). Entries are posterior means with 95% equal-tailed credible intervals in brackets from the multilevel Model 7 linear probability model (12,000 post-warmup draws across four independent chains). Path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oMath>
      <w:r>
        <w:rPr/>
        <w:t xml:space="preserve"> is the simple slope of acquisition cost under explicit unit-price instructions (in cells);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oMath>
      <w:r>
        <w:rPr/>
        <w:t xml:space="preserve"> is the first-stage moderation interaction of cost by ambiguous deal framing (in cells);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oMath>
      <w:r>
        <w:rPr/>
        <w:t xml:space="preserve"> is the marginal effect of diagnostic search depth on choice optimality probability; </w:t>
      </w:r>
      <w:r>
        <w:rPr/>
      </w:r>
      <m:oMath xmlns:m="http://schemas.openxmlformats.org/officeDocument/2006/math">
        <m:sSup>
          <m:e>
            <m:r>
              <w:rPr>
                <w:rFonts w:ascii="Cambria Math" w:hAnsi="Cambria Math"/>
              </w:rPr>
              <m:t xml:space="preserve">c</m:t>
            </m:r>
          </m:e>
          <m:sup>
            <m:r>
              <w:rPr>
                <w:rFonts w:ascii="Cambria Math" w:hAnsi="Cambria Math"/>
              </w:rPr>
              <m:t xml:space="preserve">′</m:t>
            </m:r>
          </m:sup>
        </m:sSup>
      </m:oMath>
      <w:r>
        <w:rPr/>
        <w:t xml:space="preserve"> is the unmoderated direct effect of acquisition cost on choice optimality. An asterisk (*) indicates that the 95% credible interval excludes zero.</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W23: Conditional indirect effects and index of moderated mediation by LLM (Study 2 Tool-Lab)</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524"/>
              <w:gridCol w:w="1904"/>
              <w:gridCol w:w="1902"/>
              <w:gridCol w:w="1909"/>
              <w:gridCol w:w="1905"/>
            </w:tblGrid>
            <w:tr>
              <w:trPr>
                <w:tblHeader w:val="true"/>
              </w:trPr>
              <w:tc>
                <w:tcPr>
                  <w:tcW w:w="1524" w:type="dxa"/>
                  <w:tcBorders/>
                  <w:vAlign w:val="center"/>
                </w:tcPr>
                <w:p>
                  <w:pPr>
                    <w:pStyle w:val="Compact"/>
                    <w:spacing w:before="36" w:after="36"/>
                    <w:jc w:val="center"/>
                    <w:rPr>
                      <w:b w:val="false"/>
                    </w:rPr>
                  </w:pPr>
                  <w:r>
                    <w:rPr>
                      <w:b w:val="false"/>
                    </w:rPr>
                    <w:t>LLM</w:t>
                  </w:r>
                </w:p>
              </w:tc>
              <w:tc>
                <w:tcPr>
                  <w:tcW w:w="1904" w:type="dxa"/>
                  <w:tcBorders/>
                  <w:vAlign w:val="center"/>
                </w:tcPr>
                <w:p>
                  <w:pPr>
                    <w:pStyle w:val="Compact"/>
                    <w:spacing w:before="36" w:after="36"/>
                    <w:jc w:val="center"/>
                    <w:rPr>
                      <w:b w:val="false"/>
                    </w:rPr>
                  </w:pPr>
                  <w:r>
                    <w:rPr>
                      <w:b w:val="false"/>
                    </w:rPr>
                    <w:t>Indirect (Unit Price)</w:t>
                  </w:r>
                </w:p>
              </w:tc>
              <w:tc>
                <w:tcPr>
                  <w:tcW w:w="1902" w:type="dxa"/>
                  <w:tcBorders/>
                  <w:vAlign w:val="center"/>
                </w:tcPr>
                <w:p>
                  <w:pPr>
                    <w:pStyle w:val="Compact"/>
                    <w:spacing w:before="36" w:after="36"/>
                    <w:jc w:val="center"/>
                    <w:rPr>
                      <w:b w:val="false"/>
                    </w:rPr>
                  </w:pPr>
                  <w:r>
                    <w:rPr>
                      <w:b w:val="false"/>
                    </w:rPr>
                    <w:t>Indirect (Deal Prompt)</w:t>
                  </w:r>
                </w:p>
              </w:tc>
              <w:tc>
                <w:tcPr>
                  <w:tcW w:w="1909" w:type="dxa"/>
                  <w:tcBorders/>
                  <w:vAlign w:val="center"/>
                </w:tcPr>
                <w:p>
                  <w:pPr>
                    <w:pStyle w:val="Compact"/>
                    <w:spacing w:before="36" w:after="36"/>
                    <w:jc w:val="center"/>
                    <w:rPr>
                      <w:b w:val="false"/>
                    </w:rPr>
                  </w:pPr>
                  <w:r>
                    <w:rPr>
                      <w:b w:val="false"/>
                    </w:rPr>
                    <w:t>Index of Moderated Mediation (IMM)</w:t>
                  </w:r>
                </w:p>
              </w:tc>
              <w:tc>
                <w:tcPr>
                  <w:tcW w:w="1905" w:type="dxa"/>
                  <w:tcBorders/>
                  <w:vAlign w:val="center"/>
                </w:tcPr>
                <w:p>
                  <w:pPr>
                    <w:pStyle w:val="Compact"/>
                    <w:spacing w:before="36" w:after="36"/>
                    <w:jc w:val="center"/>
                    <w:rPr>
                      <w:b w:val="false"/>
                    </w:rPr>
                  </w:pPr>
                  <w:r>
                    <w:rPr>
                      <w:b w:val="false"/>
                    </w:rPr>
                    <w:t>Total Effect (Deal)</w:t>
                  </w:r>
                </w:p>
              </w:tc>
            </w:tr>
            <w:tr>
              <w:trPr/>
              <w:tc>
                <w:tcPr>
                  <w:tcW w:w="1524" w:type="dxa"/>
                  <w:tcBorders>
                    <w:top w:val="nil"/>
                    <w:bottom w:val="nil"/>
                  </w:tcBorders>
                  <w:vAlign w:val="center"/>
                </w:tcPr>
                <w:p>
                  <w:pPr>
                    <w:pStyle w:val="Compact"/>
                    <w:spacing w:before="36" w:after="36"/>
                    <w:jc w:val="center"/>
                    <w:rPr/>
                  </w:pPr>
                  <w:r>
                    <w:rPr/>
                    <w:t>Claude Opus 5</w:t>
                  </w:r>
                </w:p>
              </w:tc>
              <w:tc>
                <w:tcPr>
                  <w:tcW w:w="1904" w:type="dxa"/>
                  <w:tcBorders>
                    <w:top w:val="nil"/>
                    <w:bottom w:val="nil"/>
                  </w:tcBorders>
                  <w:vAlign w:val="center"/>
                </w:tcPr>
                <w:p>
                  <w:pPr>
                    <w:pStyle w:val="Compact"/>
                    <w:spacing w:before="36" w:after="36"/>
                    <w:jc w:val="center"/>
                    <w:rPr/>
                  </w:pPr>
                  <w:r>
                    <w:rPr/>
                    <w:t>-0.204 [-0.253, -0.158]*</w:t>
                  </w:r>
                </w:p>
              </w:tc>
              <w:tc>
                <w:tcPr>
                  <w:tcW w:w="1902" w:type="dxa"/>
                  <w:tcBorders>
                    <w:top w:val="nil"/>
                    <w:bottom w:val="nil"/>
                  </w:tcBorders>
                  <w:vAlign w:val="center"/>
                </w:tcPr>
                <w:p>
                  <w:pPr>
                    <w:pStyle w:val="Compact"/>
                    <w:spacing w:before="36" w:after="36"/>
                    <w:jc w:val="center"/>
                    <w:rPr/>
                  </w:pPr>
                  <w:r>
                    <w:rPr/>
                    <w:t>-0.516 [-0.591, -0.444]*</w:t>
                  </w:r>
                </w:p>
              </w:tc>
              <w:tc>
                <w:tcPr>
                  <w:tcW w:w="1909" w:type="dxa"/>
                  <w:tcBorders>
                    <w:top w:val="nil"/>
                    <w:bottom w:val="nil"/>
                  </w:tcBorders>
                  <w:vAlign w:val="center"/>
                </w:tcPr>
                <w:p>
                  <w:pPr>
                    <w:pStyle w:val="Compact"/>
                    <w:spacing w:before="36" w:after="36"/>
                    <w:jc w:val="center"/>
                    <w:rPr/>
                  </w:pPr>
                  <w:r>
                    <w:rPr/>
                    <w:t>-0.312 [-0.383, -0.246]*</w:t>
                  </w:r>
                </w:p>
              </w:tc>
              <w:tc>
                <w:tcPr>
                  <w:tcW w:w="1905" w:type="dxa"/>
                  <w:tcBorders>
                    <w:top w:val="nil"/>
                    <w:bottom w:val="nil"/>
                  </w:tcBorders>
                  <w:vAlign w:val="center"/>
                </w:tcPr>
                <w:p>
                  <w:pPr>
                    <w:pStyle w:val="Compact"/>
                    <w:spacing w:before="36" w:after="36"/>
                    <w:jc w:val="center"/>
                    <w:rPr/>
                  </w:pPr>
                  <w:r>
                    <w:rPr/>
                    <w:t>-0.471 [-0.540, -0.401]*</w:t>
                  </w:r>
                </w:p>
              </w:tc>
            </w:tr>
            <w:tr>
              <w:trPr/>
              <w:tc>
                <w:tcPr>
                  <w:tcW w:w="1524" w:type="dxa"/>
                  <w:tcBorders>
                    <w:top w:val="nil"/>
                    <w:bottom w:val="nil"/>
                  </w:tcBorders>
                  <w:vAlign w:val="center"/>
                </w:tcPr>
                <w:p>
                  <w:pPr>
                    <w:pStyle w:val="Compact"/>
                    <w:spacing w:before="36" w:after="36"/>
                    <w:jc w:val="center"/>
                    <w:rPr/>
                  </w:pPr>
                  <w:r>
                    <w:rPr/>
                    <w:t>Claude Sonnet 5</w:t>
                  </w:r>
                </w:p>
              </w:tc>
              <w:tc>
                <w:tcPr>
                  <w:tcW w:w="1904" w:type="dxa"/>
                  <w:tcBorders>
                    <w:top w:val="nil"/>
                    <w:bottom w:val="nil"/>
                  </w:tcBorders>
                  <w:vAlign w:val="center"/>
                </w:tcPr>
                <w:p>
                  <w:pPr>
                    <w:pStyle w:val="Compact"/>
                    <w:spacing w:before="36" w:after="36"/>
                    <w:jc w:val="center"/>
                    <w:rPr/>
                  </w:pPr>
                  <w:r>
                    <w:rPr/>
                    <w:t>0.001 [-0.056, 0.060]</w:t>
                  </w:r>
                </w:p>
              </w:tc>
              <w:tc>
                <w:tcPr>
                  <w:tcW w:w="1902" w:type="dxa"/>
                  <w:tcBorders>
                    <w:top w:val="nil"/>
                    <w:bottom w:val="nil"/>
                  </w:tcBorders>
                  <w:vAlign w:val="center"/>
                </w:tcPr>
                <w:p>
                  <w:pPr>
                    <w:pStyle w:val="Compact"/>
                    <w:spacing w:before="36" w:after="36"/>
                    <w:jc w:val="center"/>
                    <w:rPr/>
                  </w:pPr>
                  <w:r>
                    <w:rPr/>
                    <w:t>-0.119 [-0.185, -0.056]*</w:t>
                  </w:r>
                </w:p>
              </w:tc>
              <w:tc>
                <w:tcPr>
                  <w:tcW w:w="1909" w:type="dxa"/>
                  <w:tcBorders>
                    <w:top w:val="nil"/>
                    <w:bottom w:val="nil"/>
                  </w:tcBorders>
                  <w:vAlign w:val="center"/>
                </w:tcPr>
                <w:p>
                  <w:pPr>
                    <w:pStyle w:val="Compact"/>
                    <w:spacing w:before="36" w:after="36"/>
                    <w:jc w:val="center"/>
                    <w:rPr/>
                  </w:pPr>
                  <w:r>
                    <w:rPr/>
                    <w:t>-0.120 [-0.207, -0.038]*</w:t>
                  </w:r>
                </w:p>
              </w:tc>
              <w:tc>
                <w:tcPr>
                  <w:tcW w:w="1905" w:type="dxa"/>
                  <w:tcBorders>
                    <w:top w:val="nil"/>
                    <w:bottom w:val="nil"/>
                  </w:tcBorders>
                  <w:vAlign w:val="center"/>
                </w:tcPr>
                <w:p>
                  <w:pPr>
                    <w:pStyle w:val="Compact"/>
                    <w:spacing w:before="36" w:after="36"/>
                    <w:jc w:val="center"/>
                    <w:rPr/>
                  </w:pPr>
                  <w:r>
                    <w:rPr/>
                    <w:t>-0.124 [-0.201, -0.049]*</w:t>
                  </w:r>
                </w:p>
              </w:tc>
            </w:tr>
            <w:tr>
              <w:trPr/>
              <w:tc>
                <w:tcPr>
                  <w:tcW w:w="1524" w:type="dxa"/>
                  <w:tcBorders>
                    <w:top w:val="nil"/>
                    <w:bottom w:val="nil"/>
                  </w:tcBorders>
                  <w:vAlign w:val="center"/>
                </w:tcPr>
                <w:p>
                  <w:pPr>
                    <w:pStyle w:val="Compact"/>
                    <w:spacing w:before="36" w:after="36"/>
                    <w:jc w:val="center"/>
                    <w:rPr/>
                  </w:pPr>
                  <w:r>
                    <w:rPr/>
                    <w:t>Gemini 3.1 Flash</w:t>
                  </w:r>
                </w:p>
              </w:tc>
              <w:tc>
                <w:tcPr>
                  <w:tcW w:w="1904" w:type="dxa"/>
                  <w:tcBorders>
                    <w:top w:val="nil"/>
                    <w:bottom w:val="nil"/>
                  </w:tcBorders>
                  <w:vAlign w:val="center"/>
                </w:tcPr>
                <w:p>
                  <w:pPr>
                    <w:pStyle w:val="Compact"/>
                    <w:spacing w:before="36" w:after="36"/>
                    <w:jc w:val="center"/>
                    <w:rPr/>
                  </w:pPr>
                  <w:r>
                    <w:rPr/>
                    <w:t>-0.235 [-0.272, -0.200]*</w:t>
                  </w:r>
                </w:p>
              </w:tc>
              <w:tc>
                <w:tcPr>
                  <w:tcW w:w="1902" w:type="dxa"/>
                  <w:tcBorders>
                    <w:top w:val="nil"/>
                    <w:bottom w:val="nil"/>
                  </w:tcBorders>
                  <w:vAlign w:val="center"/>
                </w:tcPr>
                <w:p>
                  <w:pPr>
                    <w:pStyle w:val="Compact"/>
                    <w:spacing w:before="36" w:after="36"/>
                    <w:jc w:val="center"/>
                    <w:rPr/>
                  </w:pPr>
                  <w:r>
                    <w:rPr/>
                    <w:t>-0.635 [-0.711, -0.559]*</w:t>
                  </w:r>
                </w:p>
              </w:tc>
              <w:tc>
                <w:tcPr>
                  <w:tcW w:w="1909" w:type="dxa"/>
                  <w:tcBorders>
                    <w:top w:val="nil"/>
                    <w:bottom w:val="nil"/>
                  </w:tcBorders>
                  <w:vAlign w:val="center"/>
                </w:tcPr>
                <w:p>
                  <w:pPr>
                    <w:pStyle w:val="Compact"/>
                    <w:spacing w:before="36" w:after="36"/>
                    <w:jc w:val="center"/>
                    <w:rPr/>
                  </w:pPr>
                  <w:r>
                    <w:rPr/>
                    <w:t>-0.400 [-0.456, -0.345]*</w:t>
                  </w:r>
                </w:p>
              </w:tc>
              <w:tc>
                <w:tcPr>
                  <w:tcW w:w="1905" w:type="dxa"/>
                  <w:tcBorders>
                    <w:top w:val="nil"/>
                    <w:bottom w:val="nil"/>
                  </w:tcBorders>
                  <w:vAlign w:val="center"/>
                </w:tcPr>
                <w:p>
                  <w:pPr>
                    <w:pStyle w:val="Compact"/>
                    <w:spacing w:before="36" w:after="36"/>
                    <w:jc w:val="center"/>
                    <w:rPr/>
                  </w:pPr>
                  <w:r>
                    <w:rPr/>
                    <w:t>-0.644 [-0.706, -0.583]*</w:t>
                  </w:r>
                </w:p>
              </w:tc>
            </w:tr>
            <w:tr>
              <w:trPr/>
              <w:tc>
                <w:tcPr>
                  <w:tcW w:w="1524" w:type="dxa"/>
                  <w:tcBorders>
                    <w:top w:val="nil"/>
                    <w:bottom w:val="nil"/>
                  </w:tcBorders>
                  <w:vAlign w:val="center"/>
                </w:tcPr>
                <w:p>
                  <w:pPr>
                    <w:pStyle w:val="Compact"/>
                    <w:spacing w:before="36" w:after="36"/>
                    <w:jc w:val="center"/>
                    <w:rPr/>
                  </w:pPr>
                  <w:r>
                    <w:rPr/>
                    <w:t>Gemini 3.1 Flash Lite</w:t>
                  </w:r>
                </w:p>
              </w:tc>
              <w:tc>
                <w:tcPr>
                  <w:tcW w:w="1904" w:type="dxa"/>
                  <w:tcBorders>
                    <w:top w:val="nil"/>
                    <w:bottom w:val="nil"/>
                  </w:tcBorders>
                  <w:vAlign w:val="center"/>
                </w:tcPr>
                <w:p>
                  <w:pPr>
                    <w:pStyle w:val="Compact"/>
                    <w:spacing w:before="36" w:after="36"/>
                    <w:jc w:val="center"/>
                    <w:rPr/>
                  </w:pPr>
                  <w:r>
                    <w:rPr/>
                    <w:t>0.044 [0.021, 0.071]*</w:t>
                  </w:r>
                </w:p>
              </w:tc>
              <w:tc>
                <w:tcPr>
                  <w:tcW w:w="1902" w:type="dxa"/>
                  <w:tcBorders>
                    <w:top w:val="nil"/>
                    <w:bottom w:val="nil"/>
                  </w:tcBorders>
                  <w:vAlign w:val="center"/>
                </w:tcPr>
                <w:p>
                  <w:pPr>
                    <w:pStyle w:val="Compact"/>
                    <w:spacing w:before="36" w:after="36"/>
                    <w:jc w:val="center"/>
                    <w:rPr/>
                  </w:pPr>
                  <w:r>
                    <w:rPr/>
                    <w:t>0.060 [0.031, 0.094]*</w:t>
                  </w:r>
                </w:p>
              </w:tc>
              <w:tc>
                <w:tcPr>
                  <w:tcW w:w="1909" w:type="dxa"/>
                  <w:tcBorders>
                    <w:top w:val="nil"/>
                    <w:bottom w:val="nil"/>
                  </w:tcBorders>
                  <w:vAlign w:val="center"/>
                </w:tcPr>
                <w:p>
                  <w:pPr>
                    <w:pStyle w:val="Compact"/>
                    <w:spacing w:before="36" w:after="36"/>
                    <w:jc w:val="center"/>
                    <w:rPr/>
                  </w:pPr>
                  <w:r>
                    <w:rPr/>
                    <w:t>0.016 [-0.004, 0.041]</w:t>
                  </w:r>
                </w:p>
              </w:tc>
              <w:tc>
                <w:tcPr>
                  <w:tcW w:w="1905" w:type="dxa"/>
                  <w:tcBorders>
                    <w:top w:val="nil"/>
                    <w:bottom w:val="nil"/>
                  </w:tcBorders>
                  <w:vAlign w:val="center"/>
                </w:tcPr>
                <w:p>
                  <w:pPr>
                    <w:pStyle w:val="Compact"/>
                    <w:spacing w:before="36" w:after="36"/>
                    <w:jc w:val="center"/>
                    <w:rPr/>
                  </w:pPr>
                  <w:r>
                    <w:rPr/>
                    <w:t>0.046 [-0.002, 0.094]</w:t>
                  </w:r>
                </w:p>
              </w:tc>
            </w:tr>
            <w:tr>
              <w:trPr/>
              <w:tc>
                <w:tcPr>
                  <w:tcW w:w="1524" w:type="dxa"/>
                  <w:tcBorders>
                    <w:top w:val="nil"/>
                    <w:bottom w:val="nil"/>
                  </w:tcBorders>
                  <w:vAlign w:val="center"/>
                </w:tcPr>
                <w:p>
                  <w:pPr>
                    <w:pStyle w:val="Compact"/>
                    <w:spacing w:before="36" w:after="36"/>
                    <w:jc w:val="center"/>
                    <w:rPr/>
                  </w:pPr>
                  <w:r>
                    <w:rPr/>
                    <w:t>Gemini 3.1 Pro</w:t>
                  </w:r>
                </w:p>
              </w:tc>
              <w:tc>
                <w:tcPr>
                  <w:tcW w:w="1904" w:type="dxa"/>
                  <w:tcBorders>
                    <w:top w:val="nil"/>
                    <w:bottom w:val="nil"/>
                  </w:tcBorders>
                  <w:vAlign w:val="center"/>
                </w:tcPr>
                <w:p>
                  <w:pPr>
                    <w:pStyle w:val="Compact"/>
                    <w:spacing w:before="36" w:after="36"/>
                    <w:jc w:val="center"/>
                    <w:rPr/>
                  </w:pPr>
                  <w:r>
                    <w:rPr/>
                    <w:t>-0.013 [-0.032, 0.005]</w:t>
                  </w:r>
                </w:p>
              </w:tc>
              <w:tc>
                <w:tcPr>
                  <w:tcW w:w="1902" w:type="dxa"/>
                  <w:tcBorders>
                    <w:top w:val="nil"/>
                    <w:bottom w:val="nil"/>
                  </w:tcBorders>
                  <w:vAlign w:val="center"/>
                </w:tcPr>
                <w:p>
                  <w:pPr>
                    <w:pStyle w:val="Compact"/>
                    <w:spacing w:before="36" w:after="36"/>
                    <w:jc w:val="center"/>
                    <w:rPr/>
                  </w:pPr>
                  <w:r>
                    <w:rPr/>
                    <w:t>-0.246 [-0.292, -0.202]*</w:t>
                  </w:r>
                </w:p>
              </w:tc>
              <w:tc>
                <w:tcPr>
                  <w:tcW w:w="1909" w:type="dxa"/>
                  <w:tcBorders>
                    <w:top w:val="nil"/>
                    <w:bottom w:val="nil"/>
                  </w:tcBorders>
                  <w:vAlign w:val="center"/>
                </w:tcPr>
                <w:p>
                  <w:pPr>
                    <w:pStyle w:val="Compact"/>
                    <w:spacing w:before="36" w:after="36"/>
                    <w:jc w:val="center"/>
                    <w:rPr/>
                  </w:pPr>
                  <w:r>
                    <w:rPr/>
                    <w:t>-0.233 [-0.281, -0.187]*</w:t>
                  </w:r>
                </w:p>
              </w:tc>
              <w:tc>
                <w:tcPr>
                  <w:tcW w:w="1905" w:type="dxa"/>
                  <w:tcBorders>
                    <w:top w:val="nil"/>
                    <w:bottom w:val="nil"/>
                  </w:tcBorders>
                  <w:vAlign w:val="center"/>
                </w:tcPr>
                <w:p>
                  <w:pPr>
                    <w:pStyle w:val="Compact"/>
                    <w:spacing w:before="36" w:after="36"/>
                    <w:jc w:val="center"/>
                    <w:rPr/>
                  </w:pPr>
                  <w:r>
                    <w:rPr/>
                    <w:t>-0.255 [-0.308, -0.203]*</w:t>
                  </w:r>
                </w:p>
              </w:tc>
            </w:tr>
            <w:tr>
              <w:trPr/>
              <w:tc>
                <w:tcPr>
                  <w:tcW w:w="1524" w:type="dxa"/>
                  <w:tcBorders>
                    <w:top w:val="nil"/>
                    <w:bottom w:val="nil"/>
                  </w:tcBorders>
                  <w:vAlign w:val="center"/>
                </w:tcPr>
                <w:p>
                  <w:pPr>
                    <w:pStyle w:val="Compact"/>
                    <w:spacing w:before="36" w:after="36"/>
                    <w:jc w:val="center"/>
                    <w:rPr/>
                  </w:pPr>
                  <w:r>
                    <w:rPr/>
                    <w:t>GPT-5.6 Luna</w:t>
                  </w:r>
                </w:p>
              </w:tc>
              <w:tc>
                <w:tcPr>
                  <w:tcW w:w="1904" w:type="dxa"/>
                  <w:tcBorders>
                    <w:top w:val="nil"/>
                    <w:bottom w:val="nil"/>
                  </w:tcBorders>
                  <w:vAlign w:val="center"/>
                </w:tcPr>
                <w:p>
                  <w:pPr>
                    <w:pStyle w:val="Compact"/>
                    <w:spacing w:before="36" w:after="36"/>
                    <w:jc w:val="center"/>
                    <w:rPr/>
                  </w:pPr>
                  <w:r>
                    <w:rPr/>
                    <w:t>-0.001 [-0.023, 0.020]</w:t>
                  </w:r>
                </w:p>
              </w:tc>
              <w:tc>
                <w:tcPr>
                  <w:tcW w:w="1902" w:type="dxa"/>
                  <w:tcBorders>
                    <w:top w:val="nil"/>
                    <w:bottom w:val="nil"/>
                  </w:tcBorders>
                  <w:vAlign w:val="center"/>
                </w:tcPr>
                <w:p>
                  <w:pPr>
                    <w:pStyle w:val="Compact"/>
                    <w:spacing w:before="36" w:after="36"/>
                    <w:jc w:val="center"/>
                    <w:rPr/>
                  </w:pPr>
                  <w:r>
                    <w:rPr/>
                    <w:t>0.000 [-0.023, 0.021]</w:t>
                  </w:r>
                </w:p>
              </w:tc>
              <w:tc>
                <w:tcPr>
                  <w:tcW w:w="1909" w:type="dxa"/>
                  <w:tcBorders>
                    <w:top w:val="nil"/>
                    <w:bottom w:val="nil"/>
                  </w:tcBorders>
                  <w:vAlign w:val="center"/>
                </w:tcPr>
                <w:p>
                  <w:pPr>
                    <w:pStyle w:val="Compact"/>
                    <w:spacing w:before="36" w:after="36"/>
                    <w:jc w:val="center"/>
                    <w:rPr/>
                  </w:pPr>
                  <w:r>
                    <w:rPr/>
                    <w:t>0.000 [-0.029, 0.031]</w:t>
                  </w:r>
                </w:p>
              </w:tc>
              <w:tc>
                <w:tcPr>
                  <w:tcW w:w="1905" w:type="dxa"/>
                  <w:tcBorders>
                    <w:top w:val="nil"/>
                    <w:bottom w:val="nil"/>
                  </w:tcBorders>
                  <w:vAlign w:val="center"/>
                </w:tcPr>
                <w:p>
                  <w:pPr>
                    <w:pStyle w:val="Compact"/>
                    <w:spacing w:before="36" w:after="36"/>
                    <w:jc w:val="center"/>
                    <w:rPr/>
                  </w:pPr>
                  <w:r>
                    <w:rPr/>
                    <w:t>0.006 [-0.041, 0.055]</w:t>
                  </w:r>
                </w:p>
              </w:tc>
            </w:tr>
            <w:tr>
              <w:trPr/>
              <w:tc>
                <w:tcPr>
                  <w:tcW w:w="1524" w:type="dxa"/>
                  <w:tcBorders>
                    <w:top w:val="nil"/>
                    <w:bottom w:val="nil"/>
                  </w:tcBorders>
                  <w:vAlign w:val="center"/>
                </w:tcPr>
                <w:p>
                  <w:pPr>
                    <w:pStyle w:val="Compact"/>
                    <w:spacing w:before="36" w:after="36"/>
                    <w:jc w:val="center"/>
                    <w:rPr/>
                  </w:pPr>
                  <w:r>
                    <w:rPr/>
                    <w:t>GPT-5.6 Sol</w:t>
                  </w:r>
                </w:p>
              </w:tc>
              <w:tc>
                <w:tcPr>
                  <w:tcW w:w="1904" w:type="dxa"/>
                  <w:tcBorders>
                    <w:top w:val="nil"/>
                    <w:bottom w:val="nil"/>
                  </w:tcBorders>
                  <w:vAlign w:val="center"/>
                </w:tcPr>
                <w:p>
                  <w:pPr>
                    <w:pStyle w:val="Compact"/>
                    <w:spacing w:before="36" w:after="36"/>
                    <w:jc w:val="center"/>
                    <w:rPr/>
                  </w:pPr>
                  <w:r>
                    <w:rPr/>
                    <w:t>-0.019 [-0.041, 0.003]</w:t>
                  </w:r>
                </w:p>
              </w:tc>
              <w:tc>
                <w:tcPr>
                  <w:tcW w:w="1902" w:type="dxa"/>
                  <w:tcBorders>
                    <w:top w:val="nil"/>
                    <w:bottom w:val="nil"/>
                  </w:tcBorders>
                  <w:vAlign w:val="center"/>
                </w:tcPr>
                <w:p>
                  <w:pPr>
                    <w:pStyle w:val="Compact"/>
                    <w:spacing w:before="36" w:after="36"/>
                    <w:jc w:val="center"/>
                    <w:rPr/>
                  </w:pPr>
                  <w:r>
                    <w:rPr/>
                    <w:t>-0.645 [-0.733, -0.557]*</w:t>
                  </w:r>
                </w:p>
              </w:tc>
              <w:tc>
                <w:tcPr>
                  <w:tcW w:w="1909" w:type="dxa"/>
                  <w:tcBorders>
                    <w:top w:val="nil"/>
                    <w:bottom w:val="nil"/>
                  </w:tcBorders>
                  <w:vAlign w:val="center"/>
                </w:tcPr>
                <w:p>
                  <w:pPr>
                    <w:pStyle w:val="Compact"/>
                    <w:spacing w:before="36" w:after="36"/>
                    <w:jc w:val="center"/>
                    <w:rPr/>
                  </w:pPr>
                  <w:r>
                    <w:rPr/>
                    <w:t>-0.626 [-0.715, -0.538]*</w:t>
                  </w:r>
                </w:p>
              </w:tc>
              <w:tc>
                <w:tcPr>
                  <w:tcW w:w="1905" w:type="dxa"/>
                  <w:tcBorders>
                    <w:top w:val="nil"/>
                    <w:bottom w:val="nil"/>
                  </w:tcBorders>
                  <w:vAlign w:val="center"/>
                </w:tcPr>
                <w:p>
                  <w:pPr>
                    <w:pStyle w:val="Compact"/>
                    <w:spacing w:before="36" w:after="36"/>
                    <w:jc w:val="center"/>
                    <w:rPr/>
                  </w:pPr>
                  <w:r>
                    <w:rPr/>
                    <w:t>-0.669 [-0.741, -0.598]*</w:t>
                  </w:r>
                </w:p>
              </w:tc>
            </w:tr>
            <w:tr>
              <w:trPr/>
              <w:tc>
                <w:tcPr>
                  <w:tcW w:w="1524" w:type="dxa"/>
                  <w:tcBorders>
                    <w:top w:val="nil"/>
                  </w:tcBorders>
                  <w:vAlign w:val="center"/>
                </w:tcPr>
                <w:p>
                  <w:pPr>
                    <w:pStyle w:val="Compact"/>
                    <w:spacing w:before="36" w:after="36"/>
                    <w:jc w:val="center"/>
                    <w:rPr/>
                  </w:pPr>
                  <w:r>
                    <w:rPr/>
                    <w:t>GPT-5.6 Terra</w:t>
                  </w:r>
                </w:p>
              </w:tc>
              <w:tc>
                <w:tcPr>
                  <w:tcW w:w="1904" w:type="dxa"/>
                  <w:tcBorders>
                    <w:top w:val="nil"/>
                  </w:tcBorders>
                  <w:vAlign w:val="center"/>
                </w:tcPr>
                <w:p>
                  <w:pPr>
                    <w:pStyle w:val="Compact"/>
                    <w:spacing w:before="36" w:after="36"/>
                    <w:jc w:val="center"/>
                    <w:rPr/>
                  </w:pPr>
                  <w:r>
                    <w:rPr/>
                    <w:t>-0.010 [-0.029, 0.009]</w:t>
                  </w:r>
                </w:p>
              </w:tc>
              <w:tc>
                <w:tcPr>
                  <w:tcW w:w="1902" w:type="dxa"/>
                  <w:tcBorders>
                    <w:top w:val="nil"/>
                  </w:tcBorders>
                  <w:vAlign w:val="center"/>
                </w:tcPr>
                <w:p>
                  <w:pPr>
                    <w:pStyle w:val="Compact"/>
                    <w:spacing w:before="36" w:after="36"/>
                    <w:jc w:val="center"/>
                    <w:rPr/>
                  </w:pPr>
                  <w:r>
                    <w:rPr/>
                    <w:t>-0.517 [-0.597, -0.436]*</w:t>
                  </w:r>
                </w:p>
              </w:tc>
              <w:tc>
                <w:tcPr>
                  <w:tcW w:w="1909" w:type="dxa"/>
                  <w:tcBorders>
                    <w:top w:val="nil"/>
                  </w:tcBorders>
                  <w:vAlign w:val="center"/>
                </w:tcPr>
                <w:p>
                  <w:pPr>
                    <w:pStyle w:val="Compact"/>
                    <w:spacing w:before="36" w:after="36"/>
                    <w:jc w:val="center"/>
                    <w:rPr/>
                  </w:pPr>
                  <w:r>
                    <w:rPr/>
                    <w:t>-0.508 [-0.588, -0.425]*</w:t>
                  </w:r>
                </w:p>
              </w:tc>
              <w:tc>
                <w:tcPr>
                  <w:tcW w:w="1905" w:type="dxa"/>
                  <w:tcBorders>
                    <w:top w:val="nil"/>
                  </w:tcBorders>
                  <w:vAlign w:val="center"/>
                </w:tcPr>
                <w:p>
                  <w:pPr>
                    <w:pStyle w:val="Compact"/>
                    <w:spacing w:before="36" w:after="36"/>
                    <w:jc w:val="center"/>
                    <w:rPr/>
                  </w:pPr>
                  <w:r>
                    <w:rPr/>
                    <w:t>-0.560 [-0.626, -0.493]*</w:t>
                  </w:r>
                  <w:bookmarkStart w:id="159" w:name="apptbl-s2b-permodel-indirect"/>
                  <w:bookmarkEnd w:id="159"/>
                </w:p>
              </w:tc>
            </w:tr>
          </w:tbl>
          <w:p>
            <w:pPr>
              <w:pStyle w:val="Normal"/>
              <w:spacing w:before="0" w:after="200"/>
              <w:jc w:val="left"/>
              <w:rPr>
                <w:sz w:val="24"/>
              </w:rPr>
            </w:pPr>
            <w:r>
              <w:rPr>
                <w:sz w:val="24"/>
              </w:rPr>
            </w:r>
          </w:p>
        </w:tc>
      </w:tr>
    </w:tbl>
    <w:p>
      <w:pPr>
        <w:pStyle w:val="BodyText"/>
        <w:rPr/>
      </w:pPr>
      <w:r>
        <w:rPr>
          <w:i/>
          <w:iCs/>
        </w:rPr>
        <w:t>Note.</w:t>
      </w:r>
      <w:r>
        <w:rPr/>
        <w:t xml:space="preserve"> Entries are posterior means with 95% equal-tailed credible intervals in brackets. All values are expressed in probability units. Indirect (Unit Price) is </w:t>
      </w:r>
      <w:r>
        <w:rPr/>
      </w:r>
      <m:oMath xmlns:m="http://schemas.openxmlformats.org/officeDocument/2006/math">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 xml:space="preserve">; Indirect (Deal Prompt) is </w:t>
      </w:r>
      <w:r>
        <w:rPr/>
      </w:r>
      <m:oMath xmlns:m="http://schemas.openxmlformats.org/officeDocument/2006/math">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 the Index of Moderated Mediation (IMM) is the difference in indirect effects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 xml:space="preserve">), quantifying the amplification of the search-mediated penalty under ambiguous framing. Total Effect (Deal) is </w:t>
      </w:r>
      <w:r>
        <w:rPr/>
      </w:r>
      <m:oMath xmlns:m="http://schemas.openxmlformats.org/officeDocument/2006/math">
        <m:sSup>
          <m:e>
            <m:r>
              <w:rPr>
                <w:rFonts w:ascii="Cambria Math" w:hAnsi="Cambria Math"/>
              </w:rPr>
              <m:t xml:space="preserve">c</m:t>
            </m:r>
          </m:e>
          <m:sup>
            <m:r>
              <w:rPr>
                <w:rFonts w:ascii="Cambria Math" w:hAnsi="Cambria Math"/>
              </w:rPr>
              <m:t xml:space="preserve">′</m:t>
            </m:r>
          </m:sup>
        </m:sSup>
        <m: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 An asterisk (*) indicates that the 95% credible interval excludes zero.</w:t>
      </w:r>
      <w:bookmarkEnd w:id="139"/>
      <w:bookmarkEnd w:id="156"/>
    </w:p>
    <w:p>
      <w:pPr>
        <w:pStyle w:val="Heading1"/>
        <w:rPr/>
      </w:pPr>
      <w:r>
        <w:rPr/>
        <w:t>Web appendix F: LLM configurations</w:t>
      </w:r>
    </w:p>
    <w:p>
      <w:pPr>
        <w:pStyle w:val="Heading2"/>
        <w:rPr/>
      </w:pPr>
      <w:bookmarkStart w:id="160" w:name="X49458c856b919d90c236833efb63d576a3dbac0"/>
      <w:r>
        <w:rPr/>
        <w:t>Experimental parameters and default decoding configuration</w:t>
      </w:r>
    </w:p>
    <w:p>
      <w:pPr>
        <w:pStyle w:val="FirstParagraph"/>
        <w:rPr/>
      </w:pPr>
      <w:r>
        <w:rPr/>
        <w:t>We retain the provider’s default decoding configuration because our estimand is the behavior of LLMs as deployed in realistic agentic settings. This choice is increasingly not ours to make, as in July 2026 Google deprecated sampling parameters (e.g., temperature, top-p, and top-k), with the API ignoring these parameters and rejecting them in future releases (Google 2026). Anthropic has similarly deprecated custom sampling parameters (Anthropic 2026). Therefore, throughout all studies reported in the paper, we have used the provider default sampling parameters.</w:t>
      </w:r>
      <w:bookmarkEnd w:id="160"/>
    </w:p>
    <w:p>
      <w:pPr>
        <w:pStyle w:val="Heading2"/>
        <w:rPr/>
      </w:pPr>
      <w:bookmarkStart w:id="161" w:name="Xed9d0d2ceda1e8b97461fd1badca6edc3133342"/>
      <w:r>
        <w:rPr/>
        <w:t>Application programming interfaces and client libraries</w:t>
      </w:r>
    </w:p>
    <w:p>
      <w:pPr>
        <w:pStyle w:val="FirstParagraph"/>
        <w:rPr/>
      </w:pPr>
      <w:r>
        <w:rPr/>
        <w:t>All experimental queries were dispatched programmatically using official provider client libraries. Google Gemini models were accessed via the Google GenAI Python SDK (</w:t>
      </w:r>
      <w:r>
        <w:rPr>
          <w:i/>
          <w:iCs/>
        </w:rPr>
        <w:t>google-genai</w:t>
      </w:r>
      <w:r>
        <w:rPr/>
        <w:t xml:space="preserve">) utilizing the unified </w:t>
      </w:r>
      <w:r>
        <w:rPr>
          <w:i/>
          <w:iCs/>
        </w:rPr>
        <w:t>models.generate_content</w:t>
      </w:r>
      <w:r>
        <w:rPr/>
        <w:t xml:space="preserve"> interface. OpenAI models were queried via the OpenAI Python SDK (</w:t>
      </w:r>
      <w:r>
        <w:rPr>
          <w:i/>
          <w:iCs/>
        </w:rPr>
        <w:t>openai</w:t>
      </w:r>
      <w:r>
        <w:rPr/>
        <w:t>) using the Responses interface (</w:t>
      </w:r>
      <w:r>
        <w:rPr>
          <w:i/>
          <w:iCs/>
        </w:rPr>
        <w:t>client.responses.create</w:t>
      </w:r>
      <w:r>
        <w:rPr/>
        <w:t xml:space="preserve"> and </w:t>
      </w:r>
      <w:r>
        <w:rPr>
          <w:i/>
          <w:iCs/>
        </w:rPr>
        <w:t>client.responses.parse</w:t>
      </w:r>
      <w:r>
        <w:rPr/>
        <w:t>), which integrates structured output validation with native reasoning controls. Anthropic models were executed via the Anthropic Python SDK (</w:t>
      </w:r>
      <w:r>
        <w:rPr>
          <w:i/>
          <w:iCs/>
        </w:rPr>
        <w:t>anthropic</w:t>
      </w:r>
      <w:r>
        <w:rPr/>
        <w:t>) through the Messages API (</w:t>
      </w:r>
      <w:r>
        <w:rPr>
          <w:i/>
          <w:iCs/>
        </w:rPr>
        <w:t>client.messages.create</w:t>
      </w:r>
      <w:r>
        <w:rPr/>
        <w:t>).</w:t>
      </w:r>
      <w:bookmarkEnd w:id="161"/>
    </w:p>
    <w:p>
      <w:pPr>
        <w:pStyle w:val="Heading2"/>
        <w:rPr/>
      </w:pPr>
      <w:bookmarkStart w:id="162" w:name="Xf1af3346ae8f2ea0d638b311716c2a09d722197"/>
      <w:r>
        <w:rPr/>
        <w:t>Model identifiers, sampling parameters, and reasoning efforts</w:t>
      </w:r>
    </w:p>
    <w:p>
      <w:pPr>
        <w:pStyle w:val="FirstParagraph"/>
        <w:rPr/>
      </w:pPr>
      <w:r>
        <w:rPr/>
        <w:t>The experimental suite encompasses seven frontier models across three major families.</w:t>
      </w:r>
    </w:p>
    <w:p>
      <w:pPr>
        <w:pStyle w:val="BodyText"/>
        <w:rPr/>
      </w:pPr>
      <w:r>
        <w:rPr>
          <w:b/>
          <w:bCs/>
        </w:rPr>
        <w:t>Google Gemini family.</w:t>
      </w:r>
      <w:r>
        <w:rPr/>
        <w:t xml:space="preserve"> Gemini 3.1 Pro (API model identifier </w:t>
      </w:r>
      <w:r>
        <w:rPr>
          <w:i/>
          <w:iCs/>
        </w:rPr>
        <w:t>gemini-3.1-pro-preview</w:t>
      </w:r>
      <w:r>
        <w:rPr/>
        <w:t xml:space="preserve">) and Gemini 3.1 Flash Lite (API model identifier </w:t>
      </w:r>
      <w:r>
        <w:rPr>
          <w:i/>
          <w:iCs/>
        </w:rPr>
        <w:t>gemini-3.1-flash-lite</w:t>
      </w:r>
      <w:r>
        <w:rPr/>
        <w:t xml:space="preserve">) were queried using standard provider defaults, including a default sampling temperature of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1.0</m:t>
        </m:r>
      </m:oMath>
      <w:r>
        <w:rPr/>
        <w:t xml:space="preserve"> and nucleus sampling threshold of top-</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0.95</m:t>
        </m:r>
      </m:oMath>
      <w:r>
        <w:rPr/>
        <w:t xml:space="preserve">. For Gemini 3.1 Pro, the default thinking level was </w:t>
      </w:r>
      <w:r>
        <w:rPr>
          <w:i/>
          <w:iCs/>
        </w:rPr>
        <w:t>high</w:t>
      </w:r>
      <w:r>
        <w:rPr/>
        <w:t xml:space="preserve">, whereas Gemini 3.1 Flash Lite defaults to </w:t>
      </w:r>
      <w:r>
        <w:rPr>
          <w:i/>
          <w:iCs/>
        </w:rPr>
        <w:t>minimal</w:t>
      </w:r>
      <w:r>
        <w:rPr/>
        <w:t xml:space="preserve"> thinking level.</w:t>
      </w:r>
    </w:p>
    <w:p>
      <w:pPr>
        <w:pStyle w:val="BodyText"/>
        <w:rPr/>
      </w:pPr>
      <w:r>
        <w:rPr>
          <w:b/>
          <w:bCs/>
        </w:rPr>
        <w:t>OpenAI GPT-5.6 family.</w:t>
      </w:r>
      <w:r>
        <w:rPr/>
        <w:t xml:space="preserve"> GPT-5.6 Luna (API model identifier </w:t>
      </w:r>
      <w:r>
        <w:rPr>
          <w:i/>
          <w:iCs/>
        </w:rPr>
        <w:t>gpt-5.6-luna</w:t>
      </w:r>
      <w:r>
        <w:rPr/>
        <w:t xml:space="preserve">), GPT-5.6 Terra (API model identifier </w:t>
      </w:r>
      <w:r>
        <w:rPr>
          <w:i/>
          <w:iCs/>
        </w:rPr>
        <w:t>gpt-5.6-terra</w:t>
      </w:r>
      <w:r>
        <w:rPr/>
        <w:t xml:space="preserve">), and GPT-5.6 Sol (API model identifier </w:t>
      </w:r>
      <w:r>
        <w:rPr>
          <w:i/>
          <w:iCs/>
        </w:rPr>
        <w:t>gpt-5.6-sol</w:t>
      </w:r>
      <w:r>
        <w:rPr/>
        <w:t xml:space="preserve">) were queried using default sampling parameters with temperature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1.0</m:t>
        </m:r>
      </m:oMath>
      <w:r>
        <w:rPr/>
        <w:t>, top-</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1.0</m:t>
        </m:r>
      </m:oMath>
      <w:r>
        <w:rPr/>
        <w:t xml:space="preserve">, and null presence and frequency penalties. All three GPT-5.6 variants were executed under default </w:t>
      </w:r>
      <w:r>
        <w:rPr>
          <w:i/>
          <w:iCs/>
        </w:rPr>
        <w:t>medium</w:t>
      </w:r>
      <w:r>
        <w:rPr/>
        <w:t xml:space="preserve"> reasoning effort (</w:t>
      </w:r>
      <w:r>
        <w:rPr>
          <w:i/>
          <w:iCs/>
        </w:rPr>
        <w:t>reasoning={“effort”: “medium”, “summary”: “auto”}</w:t>
      </w:r>
      <w:r>
        <w:rPr/>
        <w:t>), allowing internal chain-of-thought processing before emitting final choices.</w:t>
      </w:r>
    </w:p>
    <w:p>
      <w:pPr>
        <w:pStyle w:val="BodyText"/>
        <w:rPr/>
      </w:pPr>
      <w:r>
        <w:rPr>
          <w:b/>
          <w:bCs/>
        </w:rPr>
        <w:t>Anthropic Claude family.</w:t>
      </w:r>
      <w:r>
        <w:rPr/>
        <w:t xml:space="preserve"> Claude Sonnet 5 (API model identifier </w:t>
      </w:r>
      <w:r>
        <w:rPr>
          <w:i/>
          <w:iCs/>
        </w:rPr>
        <w:t>claude-sonnet-5</w:t>
      </w:r>
      <w:r>
        <w:rPr/>
        <w:t xml:space="preserve">) and Claude Opus 5 (API model identifier </w:t>
      </w:r>
      <w:r>
        <w:rPr>
          <w:i/>
          <w:iCs/>
        </w:rPr>
        <w:t>claude-opus-5</w:t>
      </w:r>
      <w:r>
        <w:rPr/>
        <w:t xml:space="preserve">) were evaluated using default generation parameters, comprising temperature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1.0</m:t>
        </m:r>
      </m:oMath>
      <w:r>
        <w:rPr/>
        <w:t>, top-</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1.0</m:t>
        </m:r>
      </m:oMath>
      <w:r>
        <w:rPr/>
        <w:t>. Both Claude models operated under adaptive thinking mode (</w:t>
      </w:r>
      <w:r>
        <w:rPr>
          <w:i/>
          <w:iCs/>
        </w:rPr>
        <w:t>thinking={“type”: “adaptive”, “display”: “summarized”}</w:t>
      </w:r>
      <w:r>
        <w:rPr/>
        <w:t xml:space="preserve">) with default </w:t>
      </w:r>
      <w:r>
        <w:rPr>
          <w:i/>
          <w:iCs/>
        </w:rPr>
        <w:t>high</w:t>
      </w:r>
      <w:r>
        <w:rPr/>
        <w:t xml:space="preserve"> reasoning effort allocation (</w:t>
      </w:r>
      <w:r>
        <w:rPr>
          <w:i/>
          <w:iCs/>
        </w:rPr>
        <w:t>output_config={“effort”: “high”}</w:t>
      </w:r>
      <w:r>
        <w:rPr/>
        <w:t>).</w:t>
      </w:r>
      <w:bookmarkEnd w:id="162"/>
    </w:p>
    <w:p>
      <w:pPr>
        <w:pStyle w:val="Heading2"/>
        <w:rPr/>
      </w:pPr>
      <w:r>
        <w:rPr/>
        <w:t>Output structure and replication controls</w:t>
      </w:r>
    </w:p>
    <w:p>
      <w:pPr>
        <w:pStyle w:val="FirstParagraph"/>
        <w:rPr/>
      </w:pPr>
      <w:r>
        <w:rPr/>
        <w:t>Across all discrete choice and interactive Tool-Lab experiments, outputs were constrained to valid JSON structures matching Pydantic schemas without restricting the internal latent sampling distribution. Because autoregressive sampling produces stochastic variation across independent queries at default temperature, each experimental cell was evaluated over 100 independent Monte Carlo sessions with zero state retention between trials.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W24: Large language model specifications, default sampling parameters, and reasoning efforts {#apptbl-model-specifications}</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013"/>
              <w:gridCol w:w="1016"/>
              <w:gridCol w:w="1015"/>
              <w:gridCol w:w="1016"/>
              <w:gridCol w:w="1020"/>
              <w:gridCol w:w="1016"/>
              <w:gridCol w:w="1016"/>
              <w:gridCol w:w="1016"/>
              <w:gridCol w:w="1016"/>
            </w:tblGrid>
            <w:tr>
              <w:trPr>
                <w:tblHeader w:val="true"/>
              </w:trPr>
              <w:tc>
                <w:tcPr>
                  <w:tcW w:w="1013" w:type="dxa"/>
                  <w:tcBorders/>
                  <w:vAlign w:val="center"/>
                </w:tcPr>
                <w:p>
                  <w:pPr>
                    <w:pStyle w:val="Compact"/>
                    <w:spacing w:before="36" w:after="36"/>
                    <w:jc w:val="center"/>
                    <w:rPr>
                      <w:b w:val="false"/>
                    </w:rPr>
                  </w:pPr>
                  <w:r>
                    <w:rPr>
                      <w:b w:val="false"/>
                    </w:rPr>
                    <w:t>Provider</w:t>
                  </w:r>
                </w:p>
              </w:tc>
              <w:tc>
                <w:tcPr>
                  <w:tcW w:w="1016" w:type="dxa"/>
                  <w:tcBorders/>
                  <w:vAlign w:val="center"/>
                </w:tcPr>
                <w:p>
                  <w:pPr>
                    <w:pStyle w:val="Compact"/>
                    <w:spacing w:before="36" w:after="36"/>
                    <w:jc w:val="center"/>
                    <w:rPr>
                      <w:b w:val="false"/>
                    </w:rPr>
                  </w:pPr>
                  <w:r>
                    <w:rPr>
                      <w:b w:val="false"/>
                    </w:rPr>
                    <w:t>Model name</w:t>
                  </w:r>
                </w:p>
              </w:tc>
              <w:tc>
                <w:tcPr>
                  <w:tcW w:w="1015" w:type="dxa"/>
                  <w:tcBorders/>
                  <w:vAlign w:val="center"/>
                </w:tcPr>
                <w:p>
                  <w:pPr>
                    <w:pStyle w:val="Compact"/>
                    <w:spacing w:before="36" w:after="36"/>
                    <w:jc w:val="center"/>
                    <w:rPr>
                      <w:b w:val="false"/>
                    </w:rPr>
                  </w:pPr>
                  <w:r>
                    <w:rPr>
                      <w:b w:val="false"/>
                    </w:rPr>
                    <w:t>API identifier</w:t>
                  </w:r>
                </w:p>
              </w:tc>
              <w:tc>
                <w:tcPr>
                  <w:tcW w:w="1016" w:type="dxa"/>
                  <w:tcBorders/>
                  <w:vAlign w:val="center"/>
                </w:tcPr>
                <w:p>
                  <w:pPr>
                    <w:pStyle w:val="Compact"/>
                    <w:spacing w:before="36" w:after="36"/>
                    <w:jc w:val="center"/>
                    <w:rPr>
                      <w:b w:val="false"/>
                    </w:rPr>
                  </w:pPr>
                  <w:r>
                    <w:rPr>
                      <w:b w:val="false"/>
                    </w:rPr>
                    <w:t>Client library</w:t>
                  </w:r>
                </w:p>
              </w:tc>
              <w:tc>
                <w:tcPr>
                  <w:tcW w:w="1020" w:type="dxa"/>
                  <w:tcBorders/>
                  <w:vAlign w:val="center"/>
                </w:tcPr>
                <w:p>
                  <w:pPr>
                    <w:pStyle w:val="Compact"/>
                    <w:spacing w:before="36" w:after="36"/>
                    <w:jc w:val="center"/>
                    <w:rPr>
                      <w:b w:val="false"/>
                    </w:rPr>
                  </w:pPr>
                  <w:r>
                    <w:rPr>
                      <w:b w:val="false"/>
                    </w:rPr>
                    <w:t>API endpoint</w:t>
                  </w:r>
                </w:p>
              </w:tc>
              <w:tc>
                <w:tcPr>
                  <w:tcW w:w="1016" w:type="dxa"/>
                  <w:tcBorders/>
                  <w:vAlign w:val="center"/>
                </w:tcPr>
                <w:p>
                  <w:pPr>
                    <w:pStyle w:val="Compact"/>
                    <w:spacing w:before="36" w:after="36"/>
                    <w:jc w:val="center"/>
                    <w:rPr>
                      <w:b w:val="false"/>
                    </w:rPr>
                  </w:pPr>
                  <w:r>
                    <w:rPr>
                      <w:b w:val="false"/>
                    </w:rPr>
                    <w:t>Default reasoning effort</w:t>
                  </w:r>
                </w:p>
              </w:tc>
              <w:tc>
                <w:tcPr>
                  <w:tcW w:w="1016" w:type="dxa"/>
                  <w:tcBorders/>
                  <w:vAlign w:val="center"/>
                </w:tcPr>
                <w:p>
                  <w:pPr>
                    <w:pStyle w:val="Compact"/>
                    <w:spacing w:before="36" w:after="36"/>
                    <w:jc w:val="center"/>
                    <w:rPr>
                      <w:b w:val="false"/>
                    </w:rPr>
                  </w:pPr>
                  <w:r>
                    <w:rPr>
                      <w:b w:val="false"/>
                    </w:rPr>
                    <w:t>Temperature</w:t>
                  </w:r>
                </w:p>
              </w:tc>
              <w:tc>
                <w:tcPr>
                  <w:tcW w:w="1016" w:type="dxa"/>
                  <w:tcBorders/>
                  <w:vAlign w:val="center"/>
                </w:tcPr>
                <w:p>
                  <w:pPr>
                    <w:pStyle w:val="Compact"/>
                    <w:spacing w:before="36" w:after="36"/>
                    <w:jc w:val="center"/>
                    <w:rPr>
                      <w:b w:val="false"/>
                    </w:rPr>
                  </w:pPr>
                  <w:r>
                    <w:rPr>
                      <w:b w:val="false"/>
                    </w:rPr>
                    <w:t>Top-</w:t>
                  </w:r>
                  <w:r>
                    <w:rPr>
                      <w:b w:val="false"/>
                    </w:rPr>
                  </w:r>
                  <m:oMath xmlns:m="http://schemas.openxmlformats.org/officeDocument/2006/math">
                    <m:r>
                      <w:rPr>
                        <w:rFonts w:ascii="Cambria Math" w:hAnsi="Cambria Math"/>
                      </w:rPr>
                      <m:t xml:space="preserve">p</m:t>
                    </m:r>
                  </m:oMath>
                </w:p>
              </w:tc>
              <w:tc>
                <w:tcPr>
                  <w:tcW w:w="1016" w:type="dxa"/>
                  <w:tcBorders/>
                  <w:vAlign w:val="center"/>
                </w:tcPr>
                <w:p>
                  <w:pPr>
                    <w:pStyle w:val="Compact"/>
                    <w:spacing w:before="36" w:after="36"/>
                    <w:jc w:val="center"/>
                    <w:rPr>
                      <w:b w:val="false"/>
                    </w:rPr>
                  </w:pPr>
                  <w:r>
                    <w:rPr>
                      <w:b w:val="false"/>
                    </w:rPr>
                    <w:t>Max output tokens</w:t>
                  </w:r>
                </w:p>
              </w:tc>
            </w:tr>
            <w:tr>
              <w:trPr/>
              <w:tc>
                <w:tcPr>
                  <w:tcW w:w="1013" w:type="dxa"/>
                  <w:tcBorders>
                    <w:top w:val="nil"/>
                    <w:bottom w:val="nil"/>
                  </w:tcBorders>
                  <w:vAlign w:val="center"/>
                </w:tcPr>
                <w:p>
                  <w:pPr>
                    <w:pStyle w:val="Compact"/>
                    <w:spacing w:before="36" w:after="36"/>
                    <w:jc w:val="center"/>
                    <w:rPr/>
                  </w:pPr>
                  <w:r>
                    <w:rPr/>
                    <w:t>Google</w:t>
                  </w:r>
                </w:p>
              </w:tc>
              <w:tc>
                <w:tcPr>
                  <w:tcW w:w="1016" w:type="dxa"/>
                  <w:tcBorders>
                    <w:top w:val="nil"/>
                    <w:bottom w:val="nil"/>
                  </w:tcBorders>
                  <w:vAlign w:val="center"/>
                </w:tcPr>
                <w:p>
                  <w:pPr>
                    <w:pStyle w:val="Compact"/>
                    <w:spacing w:before="36" w:after="36"/>
                    <w:jc w:val="center"/>
                    <w:rPr/>
                  </w:pPr>
                  <w:r>
                    <w:rPr/>
                    <w:t>Gemini 3.1 Flash Lite</w:t>
                  </w:r>
                </w:p>
              </w:tc>
              <w:tc>
                <w:tcPr>
                  <w:tcW w:w="1015" w:type="dxa"/>
                  <w:tcBorders>
                    <w:top w:val="nil"/>
                    <w:bottom w:val="nil"/>
                  </w:tcBorders>
                  <w:vAlign w:val="center"/>
                </w:tcPr>
                <w:p>
                  <w:pPr>
                    <w:pStyle w:val="Compact"/>
                    <w:spacing w:before="36" w:after="36"/>
                    <w:jc w:val="center"/>
                    <w:rPr/>
                  </w:pPr>
                  <w:r>
                    <w:rPr>
                      <w:i/>
                      <w:iCs/>
                    </w:rPr>
                    <w:t>gemini-3.1-flash-lite</w:t>
                  </w:r>
                </w:p>
              </w:tc>
              <w:tc>
                <w:tcPr>
                  <w:tcW w:w="1016" w:type="dxa"/>
                  <w:tcBorders>
                    <w:top w:val="nil"/>
                    <w:bottom w:val="nil"/>
                  </w:tcBorders>
                  <w:vAlign w:val="center"/>
                </w:tcPr>
                <w:p>
                  <w:pPr>
                    <w:pStyle w:val="Compact"/>
                    <w:spacing w:before="36" w:after="36"/>
                    <w:jc w:val="center"/>
                    <w:rPr/>
                  </w:pPr>
                  <w:r>
                    <w:rPr>
                      <w:i/>
                      <w:iCs/>
                    </w:rPr>
                    <w:t>google-genai</w:t>
                  </w:r>
                </w:p>
              </w:tc>
              <w:tc>
                <w:tcPr>
                  <w:tcW w:w="1020" w:type="dxa"/>
                  <w:tcBorders>
                    <w:top w:val="nil"/>
                    <w:bottom w:val="nil"/>
                  </w:tcBorders>
                  <w:vAlign w:val="center"/>
                </w:tcPr>
                <w:p>
                  <w:pPr>
                    <w:pStyle w:val="Compact"/>
                    <w:spacing w:before="36" w:after="36"/>
                    <w:jc w:val="center"/>
                    <w:rPr/>
                  </w:pPr>
                  <w:r>
                    <w:rPr>
                      <w:i/>
                      <w:iCs/>
                    </w:rPr>
                    <w:t>models.generate_content</w:t>
                  </w:r>
                </w:p>
              </w:tc>
              <w:tc>
                <w:tcPr>
                  <w:tcW w:w="1016" w:type="dxa"/>
                  <w:tcBorders>
                    <w:top w:val="nil"/>
                    <w:bottom w:val="nil"/>
                  </w:tcBorders>
                  <w:vAlign w:val="center"/>
                </w:tcPr>
                <w:p>
                  <w:pPr>
                    <w:pStyle w:val="Compact"/>
                    <w:spacing w:before="36" w:after="36"/>
                    <w:jc w:val="center"/>
                    <w:rPr/>
                  </w:pPr>
                  <w:r>
                    <w:rPr/>
                    <w:t>Minimal</w:t>
                  </w:r>
                </w:p>
              </w:tc>
              <w:tc>
                <w:tcPr>
                  <w:tcW w:w="1016" w:type="dxa"/>
                  <w:tcBorders>
                    <w:top w:val="nil"/>
                    <w:bottom w:val="nil"/>
                  </w:tcBorders>
                  <w:vAlign w:val="center"/>
                </w:tcPr>
                <w:p>
                  <w:pPr>
                    <w:pStyle w:val="Compact"/>
                    <w:spacing w:before="36" w:after="36"/>
                    <w:jc w:val="center"/>
                    <w:rPr/>
                  </w:pPr>
                  <w:r>
                    <w:rPr/>
                    <w:t>1.0</w:t>
                  </w:r>
                </w:p>
              </w:tc>
              <w:tc>
                <w:tcPr>
                  <w:tcW w:w="1016" w:type="dxa"/>
                  <w:tcBorders>
                    <w:top w:val="nil"/>
                    <w:bottom w:val="nil"/>
                  </w:tcBorders>
                  <w:vAlign w:val="center"/>
                </w:tcPr>
                <w:p>
                  <w:pPr>
                    <w:pStyle w:val="Compact"/>
                    <w:spacing w:before="36" w:after="36"/>
                    <w:jc w:val="center"/>
                    <w:rPr/>
                  </w:pPr>
                  <w:r>
                    <w:rPr/>
                    <w:t>0.95</w:t>
                  </w:r>
                </w:p>
              </w:tc>
              <w:tc>
                <w:tcPr>
                  <w:tcW w:w="1016" w:type="dxa"/>
                  <w:tcBorders>
                    <w:top w:val="nil"/>
                    <w:bottom w:val="nil"/>
                  </w:tcBorders>
                  <w:vAlign w:val="center"/>
                </w:tcPr>
                <w:p>
                  <w:pPr>
                    <w:pStyle w:val="Compact"/>
                    <w:spacing w:before="36" w:after="36"/>
                    <w:jc w:val="center"/>
                    <w:rPr/>
                  </w:pPr>
                  <w:r>
                    <w:rPr/>
                    <w:t>-</w:t>
                  </w:r>
                </w:p>
              </w:tc>
            </w:tr>
            <w:tr>
              <w:trPr/>
              <w:tc>
                <w:tcPr>
                  <w:tcW w:w="1013" w:type="dxa"/>
                  <w:tcBorders>
                    <w:top w:val="nil"/>
                    <w:bottom w:val="nil"/>
                  </w:tcBorders>
                  <w:vAlign w:val="center"/>
                </w:tcPr>
                <w:p>
                  <w:pPr>
                    <w:pStyle w:val="Compact"/>
                    <w:spacing w:before="36" w:after="36"/>
                    <w:jc w:val="center"/>
                    <w:rPr/>
                  </w:pPr>
                  <w:r>
                    <w:rPr/>
                    <w:t>Google</w:t>
                  </w:r>
                </w:p>
              </w:tc>
              <w:tc>
                <w:tcPr>
                  <w:tcW w:w="1016" w:type="dxa"/>
                  <w:tcBorders>
                    <w:top w:val="nil"/>
                    <w:bottom w:val="nil"/>
                  </w:tcBorders>
                  <w:vAlign w:val="center"/>
                </w:tcPr>
                <w:p>
                  <w:pPr>
                    <w:pStyle w:val="Compact"/>
                    <w:spacing w:before="36" w:after="36"/>
                    <w:jc w:val="center"/>
                    <w:rPr/>
                  </w:pPr>
                  <w:r>
                    <w:rPr/>
                    <w:t>Gemini 3.1 Pro</w:t>
                  </w:r>
                </w:p>
              </w:tc>
              <w:tc>
                <w:tcPr>
                  <w:tcW w:w="1015" w:type="dxa"/>
                  <w:tcBorders>
                    <w:top w:val="nil"/>
                    <w:bottom w:val="nil"/>
                  </w:tcBorders>
                  <w:vAlign w:val="center"/>
                </w:tcPr>
                <w:p>
                  <w:pPr>
                    <w:pStyle w:val="Compact"/>
                    <w:spacing w:before="36" w:after="36"/>
                    <w:jc w:val="center"/>
                    <w:rPr/>
                  </w:pPr>
                  <w:r>
                    <w:rPr>
                      <w:i/>
                      <w:iCs/>
                    </w:rPr>
                    <w:t>gemini-3.1-pro-preview</w:t>
                  </w:r>
                </w:p>
              </w:tc>
              <w:tc>
                <w:tcPr>
                  <w:tcW w:w="1016" w:type="dxa"/>
                  <w:tcBorders>
                    <w:top w:val="nil"/>
                    <w:bottom w:val="nil"/>
                  </w:tcBorders>
                  <w:vAlign w:val="center"/>
                </w:tcPr>
                <w:p>
                  <w:pPr>
                    <w:pStyle w:val="Compact"/>
                    <w:spacing w:before="36" w:after="36"/>
                    <w:jc w:val="center"/>
                    <w:rPr/>
                  </w:pPr>
                  <w:r>
                    <w:rPr>
                      <w:i/>
                      <w:iCs/>
                    </w:rPr>
                    <w:t>google-genai</w:t>
                  </w:r>
                </w:p>
              </w:tc>
              <w:tc>
                <w:tcPr>
                  <w:tcW w:w="1020" w:type="dxa"/>
                  <w:tcBorders>
                    <w:top w:val="nil"/>
                    <w:bottom w:val="nil"/>
                  </w:tcBorders>
                  <w:vAlign w:val="center"/>
                </w:tcPr>
                <w:p>
                  <w:pPr>
                    <w:pStyle w:val="Compact"/>
                    <w:spacing w:before="36" w:after="36"/>
                    <w:jc w:val="center"/>
                    <w:rPr/>
                  </w:pPr>
                  <w:r>
                    <w:rPr>
                      <w:i/>
                      <w:iCs/>
                    </w:rPr>
                    <w:t>models.generate_content</w:t>
                  </w:r>
                </w:p>
              </w:tc>
              <w:tc>
                <w:tcPr>
                  <w:tcW w:w="1016" w:type="dxa"/>
                  <w:tcBorders>
                    <w:top w:val="nil"/>
                    <w:bottom w:val="nil"/>
                  </w:tcBorders>
                  <w:vAlign w:val="center"/>
                </w:tcPr>
                <w:p>
                  <w:pPr>
                    <w:pStyle w:val="Compact"/>
                    <w:spacing w:before="36" w:after="36"/>
                    <w:jc w:val="center"/>
                    <w:rPr/>
                  </w:pPr>
                  <w:r>
                    <w:rPr/>
                    <w:t>High</w:t>
                  </w:r>
                </w:p>
              </w:tc>
              <w:tc>
                <w:tcPr>
                  <w:tcW w:w="1016" w:type="dxa"/>
                  <w:tcBorders>
                    <w:top w:val="nil"/>
                    <w:bottom w:val="nil"/>
                  </w:tcBorders>
                  <w:vAlign w:val="center"/>
                </w:tcPr>
                <w:p>
                  <w:pPr>
                    <w:pStyle w:val="Compact"/>
                    <w:spacing w:before="36" w:after="36"/>
                    <w:jc w:val="center"/>
                    <w:rPr/>
                  </w:pPr>
                  <w:r>
                    <w:rPr/>
                    <w:t>1.0</w:t>
                  </w:r>
                </w:p>
              </w:tc>
              <w:tc>
                <w:tcPr>
                  <w:tcW w:w="1016" w:type="dxa"/>
                  <w:tcBorders>
                    <w:top w:val="nil"/>
                    <w:bottom w:val="nil"/>
                  </w:tcBorders>
                  <w:vAlign w:val="center"/>
                </w:tcPr>
                <w:p>
                  <w:pPr>
                    <w:pStyle w:val="Compact"/>
                    <w:spacing w:before="36" w:after="36"/>
                    <w:jc w:val="center"/>
                    <w:rPr/>
                  </w:pPr>
                  <w:r>
                    <w:rPr/>
                    <w:t>0.95</w:t>
                  </w:r>
                </w:p>
              </w:tc>
              <w:tc>
                <w:tcPr>
                  <w:tcW w:w="1016" w:type="dxa"/>
                  <w:tcBorders>
                    <w:top w:val="nil"/>
                    <w:bottom w:val="nil"/>
                  </w:tcBorders>
                  <w:vAlign w:val="center"/>
                </w:tcPr>
                <w:p>
                  <w:pPr>
                    <w:pStyle w:val="Compact"/>
                    <w:spacing w:before="36" w:after="36"/>
                    <w:jc w:val="center"/>
                    <w:rPr/>
                  </w:pPr>
                  <w:r>
                    <w:rPr/>
                    <w:t>-</w:t>
                  </w:r>
                </w:p>
              </w:tc>
            </w:tr>
            <w:tr>
              <w:trPr/>
              <w:tc>
                <w:tcPr>
                  <w:tcW w:w="1013" w:type="dxa"/>
                  <w:tcBorders>
                    <w:top w:val="nil"/>
                    <w:bottom w:val="nil"/>
                  </w:tcBorders>
                  <w:vAlign w:val="center"/>
                </w:tcPr>
                <w:p>
                  <w:pPr>
                    <w:pStyle w:val="Compact"/>
                    <w:spacing w:before="36" w:after="36"/>
                    <w:jc w:val="center"/>
                    <w:rPr/>
                  </w:pPr>
                  <w:r>
                    <w:rPr/>
                    <w:t>OpenAI</w:t>
                  </w:r>
                </w:p>
              </w:tc>
              <w:tc>
                <w:tcPr>
                  <w:tcW w:w="1016" w:type="dxa"/>
                  <w:tcBorders>
                    <w:top w:val="nil"/>
                    <w:bottom w:val="nil"/>
                  </w:tcBorders>
                  <w:vAlign w:val="center"/>
                </w:tcPr>
                <w:p>
                  <w:pPr>
                    <w:pStyle w:val="Compact"/>
                    <w:spacing w:before="36" w:after="36"/>
                    <w:jc w:val="center"/>
                    <w:rPr/>
                  </w:pPr>
                  <w:r>
                    <w:rPr/>
                    <w:t>GPT-5.6 Luna</w:t>
                  </w:r>
                </w:p>
              </w:tc>
              <w:tc>
                <w:tcPr>
                  <w:tcW w:w="1015" w:type="dxa"/>
                  <w:tcBorders>
                    <w:top w:val="nil"/>
                    <w:bottom w:val="nil"/>
                  </w:tcBorders>
                  <w:vAlign w:val="center"/>
                </w:tcPr>
                <w:p>
                  <w:pPr>
                    <w:pStyle w:val="Compact"/>
                    <w:spacing w:before="36" w:after="36"/>
                    <w:jc w:val="center"/>
                    <w:rPr/>
                  </w:pPr>
                  <w:r>
                    <w:rPr>
                      <w:i/>
                      <w:iCs/>
                    </w:rPr>
                    <w:t>gpt-5.6-luna</w:t>
                  </w:r>
                </w:p>
              </w:tc>
              <w:tc>
                <w:tcPr>
                  <w:tcW w:w="1016" w:type="dxa"/>
                  <w:tcBorders>
                    <w:top w:val="nil"/>
                    <w:bottom w:val="nil"/>
                  </w:tcBorders>
                  <w:vAlign w:val="center"/>
                </w:tcPr>
                <w:p>
                  <w:pPr>
                    <w:pStyle w:val="Compact"/>
                    <w:spacing w:before="36" w:after="36"/>
                    <w:jc w:val="center"/>
                    <w:rPr/>
                  </w:pPr>
                  <w:r>
                    <w:rPr>
                      <w:i/>
                      <w:iCs/>
                    </w:rPr>
                    <w:t>openai</w:t>
                  </w:r>
                </w:p>
              </w:tc>
              <w:tc>
                <w:tcPr>
                  <w:tcW w:w="1020" w:type="dxa"/>
                  <w:tcBorders>
                    <w:top w:val="nil"/>
                    <w:bottom w:val="nil"/>
                  </w:tcBorders>
                  <w:vAlign w:val="center"/>
                </w:tcPr>
                <w:p>
                  <w:pPr>
                    <w:pStyle w:val="Compact"/>
                    <w:spacing w:before="36" w:after="36"/>
                    <w:jc w:val="center"/>
                    <w:rPr/>
                  </w:pPr>
                  <w:r>
                    <w:rPr>
                      <w:i/>
                      <w:iCs/>
                    </w:rPr>
                    <w:t>client.responses.create</w:t>
                  </w:r>
                </w:p>
              </w:tc>
              <w:tc>
                <w:tcPr>
                  <w:tcW w:w="1016" w:type="dxa"/>
                  <w:tcBorders>
                    <w:top w:val="nil"/>
                    <w:bottom w:val="nil"/>
                  </w:tcBorders>
                  <w:vAlign w:val="center"/>
                </w:tcPr>
                <w:p>
                  <w:pPr>
                    <w:pStyle w:val="Compact"/>
                    <w:spacing w:before="36" w:after="36"/>
                    <w:jc w:val="center"/>
                    <w:rPr/>
                  </w:pPr>
                  <w:r>
                    <w:rPr/>
                    <w:t>Medium</w:t>
                  </w:r>
                </w:p>
              </w:tc>
              <w:tc>
                <w:tcPr>
                  <w:tcW w:w="1016" w:type="dxa"/>
                  <w:tcBorders>
                    <w:top w:val="nil"/>
                    <w:bottom w:val="nil"/>
                  </w:tcBorders>
                  <w:vAlign w:val="center"/>
                </w:tcPr>
                <w:p>
                  <w:pPr>
                    <w:pStyle w:val="Compact"/>
                    <w:spacing w:before="36" w:after="36"/>
                    <w:jc w:val="center"/>
                    <w:rPr/>
                  </w:pPr>
                  <w:r>
                    <w:rPr/>
                    <w:t>1.0</w:t>
                  </w:r>
                </w:p>
              </w:tc>
              <w:tc>
                <w:tcPr>
                  <w:tcW w:w="1016" w:type="dxa"/>
                  <w:tcBorders>
                    <w:top w:val="nil"/>
                    <w:bottom w:val="nil"/>
                  </w:tcBorders>
                  <w:vAlign w:val="center"/>
                </w:tcPr>
                <w:p>
                  <w:pPr>
                    <w:pStyle w:val="Compact"/>
                    <w:spacing w:before="36" w:after="36"/>
                    <w:jc w:val="center"/>
                    <w:rPr/>
                  </w:pPr>
                  <w:r>
                    <w:rPr/>
                    <w:t>1.0</w:t>
                  </w:r>
                </w:p>
              </w:tc>
              <w:tc>
                <w:tcPr>
                  <w:tcW w:w="1016" w:type="dxa"/>
                  <w:tcBorders>
                    <w:top w:val="nil"/>
                    <w:bottom w:val="nil"/>
                  </w:tcBorders>
                  <w:vAlign w:val="center"/>
                </w:tcPr>
                <w:p>
                  <w:pPr>
                    <w:pStyle w:val="Compact"/>
                    <w:spacing w:before="36" w:after="36"/>
                    <w:jc w:val="center"/>
                    <w:rPr/>
                  </w:pPr>
                  <w:r>
                    <w:rPr/>
                    <w:t>-</w:t>
                  </w:r>
                </w:p>
              </w:tc>
            </w:tr>
            <w:tr>
              <w:trPr/>
              <w:tc>
                <w:tcPr>
                  <w:tcW w:w="1013" w:type="dxa"/>
                  <w:tcBorders>
                    <w:top w:val="nil"/>
                    <w:bottom w:val="nil"/>
                  </w:tcBorders>
                  <w:vAlign w:val="center"/>
                </w:tcPr>
                <w:p>
                  <w:pPr>
                    <w:pStyle w:val="Compact"/>
                    <w:spacing w:before="36" w:after="36"/>
                    <w:jc w:val="center"/>
                    <w:rPr/>
                  </w:pPr>
                  <w:r>
                    <w:rPr/>
                    <w:t>OpenAI</w:t>
                  </w:r>
                </w:p>
              </w:tc>
              <w:tc>
                <w:tcPr>
                  <w:tcW w:w="1016" w:type="dxa"/>
                  <w:tcBorders>
                    <w:top w:val="nil"/>
                    <w:bottom w:val="nil"/>
                  </w:tcBorders>
                  <w:vAlign w:val="center"/>
                </w:tcPr>
                <w:p>
                  <w:pPr>
                    <w:pStyle w:val="Compact"/>
                    <w:spacing w:before="36" w:after="36"/>
                    <w:jc w:val="center"/>
                    <w:rPr/>
                  </w:pPr>
                  <w:r>
                    <w:rPr/>
                    <w:t>GPT-5.6 Terra</w:t>
                  </w:r>
                </w:p>
              </w:tc>
              <w:tc>
                <w:tcPr>
                  <w:tcW w:w="1015" w:type="dxa"/>
                  <w:tcBorders>
                    <w:top w:val="nil"/>
                    <w:bottom w:val="nil"/>
                  </w:tcBorders>
                  <w:vAlign w:val="center"/>
                </w:tcPr>
                <w:p>
                  <w:pPr>
                    <w:pStyle w:val="Compact"/>
                    <w:spacing w:before="36" w:after="36"/>
                    <w:jc w:val="center"/>
                    <w:rPr/>
                  </w:pPr>
                  <w:r>
                    <w:rPr>
                      <w:i/>
                      <w:iCs/>
                    </w:rPr>
                    <w:t>gpt-5.6-terra</w:t>
                  </w:r>
                </w:p>
              </w:tc>
              <w:tc>
                <w:tcPr>
                  <w:tcW w:w="1016" w:type="dxa"/>
                  <w:tcBorders>
                    <w:top w:val="nil"/>
                    <w:bottom w:val="nil"/>
                  </w:tcBorders>
                  <w:vAlign w:val="center"/>
                </w:tcPr>
                <w:p>
                  <w:pPr>
                    <w:pStyle w:val="Compact"/>
                    <w:spacing w:before="36" w:after="36"/>
                    <w:jc w:val="center"/>
                    <w:rPr/>
                  </w:pPr>
                  <w:r>
                    <w:rPr>
                      <w:i/>
                      <w:iCs/>
                    </w:rPr>
                    <w:t>openai</w:t>
                  </w:r>
                </w:p>
              </w:tc>
              <w:tc>
                <w:tcPr>
                  <w:tcW w:w="1020" w:type="dxa"/>
                  <w:tcBorders>
                    <w:top w:val="nil"/>
                    <w:bottom w:val="nil"/>
                  </w:tcBorders>
                  <w:vAlign w:val="center"/>
                </w:tcPr>
                <w:p>
                  <w:pPr>
                    <w:pStyle w:val="Compact"/>
                    <w:spacing w:before="36" w:after="36"/>
                    <w:jc w:val="center"/>
                    <w:rPr/>
                  </w:pPr>
                  <w:r>
                    <w:rPr>
                      <w:i/>
                      <w:iCs/>
                    </w:rPr>
                    <w:t>client.responses.create</w:t>
                  </w:r>
                </w:p>
              </w:tc>
              <w:tc>
                <w:tcPr>
                  <w:tcW w:w="1016" w:type="dxa"/>
                  <w:tcBorders>
                    <w:top w:val="nil"/>
                    <w:bottom w:val="nil"/>
                  </w:tcBorders>
                  <w:vAlign w:val="center"/>
                </w:tcPr>
                <w:p>
                  <w:pPr>
                    <w:pStyle w:val="Compact"/>
                    <w:spacing w:before="36" w:after="36"/>
                    <w:jc w:val="center"/>
                    <w:rPr/>
                  </w:pPr>
                  <w:r>
                    <w:rPr/>
                    <w:t>Medium</w:t>
                  </w:r>
                </w:p>
              </w:tc>
              <w:tc>
                <w:tcPr>
                  <w:tcW w:w="1016" w:type="dxa"/>
                  <w:tcBorders>
                    <w:top w:val="nil"/>
                    <w:bottom w:val="nil"/>
                  </w:tcBorders>
                  <w:vAlign w:val="center"/>
                </w:tcPr>
                <w:p>
                  <w:pPr>
                    <w:pStyle w:val="Compact"/>
                    <w:spacing w:before="36" w:after="36"/>
                    <w:jc w:val="center"/>
                    <w:rPr/>
                  </w:pPr>
                  <w:r>
                    <w:rPr/>
                    <w:t>1.0</w:t>
                  </w:r>
                </w:p>
              </w:tc>
              <w:tc>
                <w:tcPr>
                  <w:tcW w:w="1016" w:type="dxa"/>
                  <w:tcBorders>
                    <w:top w:val="nil"/>
                    <w:bottom w:val="nil"/>
                  </w:tcBorders>
                  <w:vAlign w:val="center"/>
                </w:tcPr>
                <w:p>
                  <w:pPr>
                    <w:pStyle w:val="Compact"/>
                    <w:spacing w:before="36" w:after="36"/>
                    <w:jc w:val="center"/>
                    <w:rPr/>
                  </w:pPr>
                  <w:r>
                    <w:rPr/>
                    <w:t>1.0</w:t>
                  </w:r>
                </w:p>
              </w:tc>
              <w:tc>
                <w:tcPr>
                  <w:tcW w:w="1016" w:type="dxa"/>
                  <w:tcBorders>
                    <w:top w:val="nil"/>
                    <w:bottom w:val="nil"/>
                  </w:tcBorders>
                  <w:vAlign w:val="center"/>
                </w:tcPr>
                <w:p>
                  <w:pPr>
                    <w:pStyle w:val="Compact"/>
                    <w:spacing w:before="36" w:after="36"/>
                    <w:jc w:val="center"/>
                    <w:rPr/>
                  </w:pPr>
                  <w:r>
                    <w:rPr/>
                    <w:t>-</w:t>
                  </w:r>
                </w:p>
              </w:tc>
            </w:tr>
            <w:tr>
              <w:trPr/>
              <w:tc>
                <w:tcPr>
                  <w:tcW w:w="1013" w:type="dxa"/>
                  <w:tcBorders>
                    <w:top w:val="nil"/>
                    <w:bottom w:val="nil"/>
                  </w:tcBorders>
                  <w:vAlign w:val="center"/>
                </w:tcPr>
                <w:p>
                  <w:pPr>
                    <w:pStyle w:val="Compact"/>
                    <w:spacing w:before="36" w:after="36"/>
                    <w:jc w:val="center"/>
                    <w:rPr/>
                  </w:pPr>
                  <w:r>
                    <w:rPr/>
                    <w:t>OpenAI</w:t>
                  </w:r>
                </w:p>
              </w:tc>
              <w:tc>
                <w:tcPr>
                  <w:tcW w:w="1016" w:type="dxa"/>
                  <w:tcBorders>
                    <w:top w:val="nil"/>
                    <w:bottom w:val="nil"/>
                  </w:tcBorders>
                  <w:vAlign w:val="center"/>
                </w:tcPr>
                <w:p>
                  <w:pPr>
                    <w:pStyle w:val="Compact"/>
                    <w:spacing w:before="36" w:after="36"/>
                    <w:jc w:val="center"/>
                    <w:rPr/>
                  </w:pPr>
                  <w:r>
                    <w:rPr/>
                    <w:t>GPT-5.6 Sol</w:t>
                  </w:r>
                </w:p>
              </w:tc>
              <w:tc>
                <w:tcPr>
                  <w:tcW w:w="1015" w:type="dxa"/>
                  <w:tcBorders>
                    <w:top w:val="nil"/>
                    <w:bottom w:val="nil"/>
                  </w:tcBorders>
                  <w:vAlign w:val="center"/>
                </w:tcPr>
                <w:p>
                  <w:pPr>
                    <w:pStyle w:val="Compact"/>
                    <w:spacing w:before="36" w:after="36"/>
                    <w:jc w:val="center"/>
                    <w:rPr/>
                  </w:pPr>
                  <w:r>
                    <w:rPr>
                      <w:i/>
                      <w:iCs/>
                    </w:rPr>
                    <w:t>gpt-5.6-sol</w:t>
                  </w:r>
                </w:p>
              </w:tc>
              <w:tc>
                <w:tcPr>
                  <w:tcW w:w="1016" w:type="dxa"/>
                  <w:tcBorders>
                    <w:top w:val="nil"/>
                    <w:bottom w:val="nil"/>
                  </w:tcBorders>
                  <w:vAlign w:val="center"/>
                </w:tcPr>
                <w:p>
                  <w:pPr>
                    <w:pStyle w:val="Compact"/>
                    <w:spacing w:before="36" w:after="36"/>
                    <w:jc w:val="center"/>
                    <w:rPr/>
                  </w:pPr>
                  <w:r>
                    <w:rPr>
                      <w:i/>
                      <w:iCs/>
                    </w:rPr>
                    <w:t>openai</w:t>
                  </w:r>
                </w:p>
              </w:tc>
              <w:tc>
                <w:tcPr>
                  <w:tcW w:w="1020" w:type="dxa"/>
                  <w:tcBorders>
                    <w:top w:val="nil"/>
                    <w:bottom w:val="nil"/>
                  </w:tcBorders>
                  <w:vAlign w:val="center"/>
                </w:tcPr>
                <w:p>
                  <w:pPr>
                    <w:pStyle w:val="Compact"/>
                    <w:spacing w:before="36" w:after="36"/>
                    <w:jc w:val="center"/>
                    <w:rPr/>
                  </w:pPr>
                  <w:r>
                    <w:rPr>
                      <w:i/>
                      <w:iCs/>
                    </w:rPr>
                    <w:t>client.responses.create</w:t>
                  </w:r>
                </w:p>
              </w:tc>
              <w:tc>
                <w:tcPr>
                  <w:tcW w:w="1016" w:type="dxa"/>
                  <w:tcBorders>
                    <w:top w:val="nil"/>
                    <w:bottom w:val="nil"/>
                  </w:tcBorders>
                  <w:vAlign w:val="center"/>
                </w:tcPr>
                <w:p>
                  <w:pPr>
                    <w:pStyle w:val="Compact"/>
                    <w:spacing w:before="36" w:after="36"/>
                    <w:jc w:val="center"/>
                    <w:rPr/>
                  </w:pPr>
                  <w:r>
                    <w:rPr/>
                    <w:t>Medium</w:t>
                  </w:r>
                </w:p>
              </w:tc>
              <w:tc>
                <w:tcPr>
                  <w:tcW w:w="1016" w:type="dxa"/>
                  <w:tcBorders>
                    <w:top w:val="nil"/>
                    <w:bottom w:val="nil"/>
                  </w:tcBorders>
                  <w:vAlign w:val="center"/>
                </w:tcPr>
                <w:p>
                  <w:pPr>
                    <w:pStyle w:val="Compact"/>
                    <w:spacing w:before="36" w:after="36"/>
                    <w:jc w:val="center"/>
                    <w:rPr/>
                  </w:pPr>
                  <w:r>
                    <w:rPr/>
                    <w:t>1.0</w:t>
                  </w:r>
                </w:p>
              </w:tc>
              <w:tc>
                <w:tcPr>
                  <w:tcW w:w="1016" w:type="dxa"/>
                  <w:tcBorders>
                    <w:top w:val="nil"/>
                    <w:bottom w:val="nil"/>
                  </w:tcBorders>
                  <w:vAlign w:val="center"/>
                </w:tcPr>
                <w:p>
                  <w:pPr>
                    <w:pStyle w:val="Compact"/>
                    <w:spacing w:before="36" w:after="36"/>
                    <w:jc w:val="center"/>
                    <w:rPr/>
                  </w:pPr>
                  <w:r>
                    <w:rPr/>
                    <w:t>1.0</w:t>
                  </w:r>
                </w:p>
              </w:tc>
              <w:tc>
                <w:tcPr>
                  <w:tcW w:w="1016" w:type="dxa"/>
                  <w:tcBorders>
                    <w:top w:val="nil"/>
                    <w:bottom w:val="nil"/>
                  </w:tcBorders>
                  <w:vAlign w:val="center"/>
                </w:tcPr>
                <w:p>
                  <w:pPr>
                    <w:pStyle w:val="Compact"/>
                    <w:spacing w:before="36" w:after="36"/>
                    <w:jc w:val="center"/>
                    <w:rPr/>
                  </w:pPr>
                  <w:r>
                    <w:rPr/>
                    <w:t>-</w:t>
                  </w:r>
                </w:p>
              </w:tc>
            </w:tr>
            <w:tr>
              <w:trPr/>
              <w:tc>
                <w:tcPr>
                  <w:tcW w:w="1013" w:type="dxa"/>
                  <w:tcBorders>
                    <w:top w:val="nil"/>
                    <w:bottom w:val="nil"/>
                  </w:tcBorders>
                  <w:vAlign w:val="center"/>
                </w:tcPr>
                <w:p>
                  <w:pPr>
                    <w:pStyle w:val="Compact"/>
                    <w:spacing w:before="36" w:after="36"/>
                    <w:jc w:val="center"/>
                    <w:rPr/>
                  </w:pPr>
                  <w:r>
                    <w:rPr/>
                    <w:t>Anthropic</w:t>
                  </w:r>
                </w:p>
              </w:tc>
              <w:tc>
                <w:tcPr>
                  <w:tcW w:w="1016" w:type="dxa"/>
                  <w:tcBorders>
                    <w:top w:val="nil"/>
                    <w:bottom w:val="nil"/>
                  </w:tcBorders>
                  <w:vAlign w:val="center"/>
                </w:tcPr>
                <w:p>
                  <w:pPr>
                    <w:pStyle w:val="Compact"/>
                    <w:spacing w:before="36" w:after="36"/>
                    <w:jc w:val="center"/>
                    <w:rPr/>
                  </w:pPr>
                  <w:r>
                    <w:rPr/>
                    <w:t>Claude Sonnet 5</w:t>
                  </w:r>
                </w:p>
              </w:tc>
              <w:tc>
                <w:tcPr>
                  <w:tcW w:w="1015" w:type="dxa"/>
                  <w:tcBorders>
                    <w:top w:val="nil"/>
                    <w:bottom w:val="nil"/>
                  </w:tcBorders>
                  <w:vAlign w:val="center"/>
                </w:tcPr>
                <w:p>
                  <w:pPr>
                    <w:pStyle w:val="Compact"/>
                    <w:spacing w:before="36" w:after="36"/>
                    <w:jc w:val="center"/>
                    <w:rPr/>
                  </w:pPr>
                  <w:r>
                    <w:rPr>
                      <w:i/>
                      <w:iCs/>
                    </w:rPr>
                    <w:t>claude-sonnet-5</w:t>
                  </w:r>
                </w:p>
              </w:tc>
              <w:tc>
                <w:tcPr>
                  <w:tcW w:w="1016" w:type="dxa"/>
                  <w:tcBorders>
                    <w:top w:val="nil"/>
                    <w:bottom w:val="nil"/>
                  </w:tcBorders>
                  <w:vAlign w:val="center"/>
                </w:tcPr>
                <w:p>
                  <w:pPr>
                    <w:pStyle w:val="Compact"/>
                    <w:spacing w:before="36" w:after="36"/>
                    <w:jc w:val="center"/>
                    <w:rPr/>
                  </w:pPr>
                  <w:r>
                    <w:rPr>
                      <w:i/>
                      <w:iCs/>
                    </w:rPr>
                    <w:t>anthropic</w:t>
                  </w:r>
                </w:p>
              </w:tc>
              <w:tc>
                <w:tcPr>
                  <w:tcW w:w="1020" w:type="dxa"/>
                  <w:tcBorders>
                    <w:top w:val="nil"/>
                    <w:bottom w:val="nil"/>
                  </w:tcBorders>
                  <w:vAlign w:val="center"/>
                </w:tcPr>
                <w:p>
                  <w:pPr>
                    <w:pStyle w:val="Compact"/>
                    <w:spacing w:before="36" w:after="36"/>
                    <w:jc w:val="center"/>
                    <w:rPr/>
                  </w:pPr>
                  <w:r>
                    <w:rPr>
                      <w:i/>
                      <w:iCs/>
                    </w:rPr>
                    <w:t>client.messages.create</w:t>
                  </w:r>
                </w:p>
              </w:tc>
              <w:tc>
                <w:tcPr>
                  <w:tcW w:w="1016" w:type="dxa"/>
                  <w:tcBorders>
                    <w:top w:val="nil"/>
                    <w:bottom w:val="nil"/>
                  </w:tcBorders>
                  <w:vAlign w:val="center"/>
                </w:tcPr>
                <w:p>
                  <w:pPr>
                    <w:pStyle w:val="Compact"/>
                    <w:spacing w:before="36" w:after="36"/>
                    <w:jc w:val="center"/>
                    <w:rPr/>
                  </w:pPr>
                  <w:r>
                    <w:rPr/>
                    <w:t>High (adaptive)</w:t>
                  </w:r>
                </w:p>
              </w:tc>
              <w:tc>
                <w:tcPr>
                  <w:tcW w:w="1016" w:type="dxa"/>
                  <w:tcBorders>
                    <w:top w:val="nil"/>
                    <w:bottom w:val="nil"/>
                  </w:tcBorders>
                  <w:vAlign w:val="center"/>
                </w:tcPr>
                <w:p>
                  <w:pPr>
                    <w:pStyle w:val="Compact"/>
                    <w:spacing w:before="36" w:after="36"/>
                    <w:jc w:val="center"/>
                    <w:rPr/>
                  </w:pPr>
                  <w:r>
                    <w:rPr/>
                    <w:t>1.0</w:t>
                  </w:r>
                </w:p>
              </w:tc>
              <w:tc>
                <w:tcPr>
                  <w:tcW w:w="1016" w:type="dxa"/>
                  <w:tcBorders>
                    <w:top w:val="nil"/>
                    <w:bottom w:val="nil"/>
                  </w:tcBorders>
                  <w:vAlign w:val="center"/>
                </w:tcPr>
                <w:p>
                  <w:pPr>
                    <w:pStyle w:val="Compact"/>
                    <w:spacing w:before="36" w:after="36"/>
                    <w:jc w:val="center"/>
                    <w:rPr/>
                  </w:pPr>
                  <w:r>
                    <w:rPr/>
                    <w:t>1.0</w:t>
                  </w:r>
                </w:p>
              </w:tc>
              <w:tc>
                <w:tcPr>
                  <w:tcW w:w="1016" w:type="dxa"/>
                  <w:tcBorders>
                    <w:top w:val="nil"/>
                    <w:bottom w:val="nil"/>
                  </w:tcBorders>
                  <w:vAlign w:val="center"/>
                </w:tcPr>
                <w:p>
                  <w:pPr>
                    <w:pStyle w:val="Compact"/>
                    <w:spacing w:before="36" w:after="36"/>
                    <w:jc w:val="center"/>
                    <w:rPr/>
                  </w:pPr>
                  <w:r>
                    <w:rPr/>
                    <w:t>10,000</w:t>
                  </w:r>
                </w:p>
              </w:tc>
            </w:tr>
            <w:tr>
              <w:trPr/>
              <w:tc>
                <w:tcPr>
                  <w:tcW w:w="1013" w:type="dxa"/>
                  <w:tcBorders>
                    <w:top w:val="nil"/>
                  </w:tcBorders>
                  <w:vAlign w:val="center"/>
                </w:tcPr>
                <w:p>
                  <w:pPr>
                    <w:pStyle w:val="Compact"/>
                    <w:spacing w:before="36" w:after="36"/>
                    <w:jc w:val="center"/>
                    <w:rPr/>
                  </w:pPr>
                  <w:r>
                    <w:rPr/>
                    <w:t>Anthropic</w:t>
                  </w:r>
                </w:p>
              </w:tc>
              <w:tc>
                <w:tcPr>
                  <w:tcW w:w="1016" w:type="dxa"/>
                  <w:tcBorders>
                    <w:top w:val="nil"/>
                  </w:tcBorders>
                  <w:vAlign w:val="center"/>
                </w:tcPr>
                <w:p>
                  <w:pPr>
                    <w:pStyle w:val="Compact"/>
                    <w:spacing w:before="36" w:after="36"/>
                    <w:jc w:val="center"/>
                    <w:rPr/>
                  </w:pPr>
                  <w:r>
                    <w:rPr/>
                    <w:t>Claude Opus 5</w:t>
                  </w:r>
                </w:p>
              </w:tc>
              <w:tc>
                <w:tcPr>
                  <w:tcW w:w="1015" w:type="dxa"/>
                  <w:tcBorders>
                    <w:top w:val="nil"/>
                  </w:tcBorders>
                  <w:vAlign w:val="center"/>
                </w:tcPr>
                <w:p>
                  <w:pPr>
                    <w:pStyle w:val="Compact"/>
                    <w:spacing w:before="36" w:after="36"/>
                    <w:jc w:val="center"/>
                    <w:rPr/>
                  </w:pPr>
                  <w:r>
                    <w:rPr>
                      <w:i/>
                      <w:iCs/>
                    </w:rPr>
                    <w:t>claude-opus-5</w:t>
                  </w:r>
                </w:p>
              </w:tc>
              <w:tc>
                <w:tcPr>
                  <w:tcW w:w="1016" w:type="dxa"/>
                  <w:tcBorders>
                    <w:top w:val="nil"/>
                  </w:tcBorders>
                  <w:vAlign w:val="center"/>
                </w:tcPr>
                <w:p>
                  <w:pPr>
                    <w:pStyle w:val="Compact"/>
                    <w:spacing w:before="36" w:after="36"/>
                    <w:jc w:val="center"/>
                    <w:rPr/>
                  </w:pPr>
                  <w:r>
                    <w:rPr>
                      <w:i/>
                      <w:iCs/>
                    </w:rPr>
                    <w:t>anthropic</w:t>
                  </w:r>
                </w:p>
              </w:tc>
              <w:tc>
                <w:tcPr>
                  <w:tcW w:w="1020" w:type="dxa"/>
                  <w:tcBorders>
                    <w:top w:val="nil"/>
                  </w:tcBorders>
                  <w:vAlign w:val="center"/>
                </w:tcPr>
                <w:p>
                  <w:pPr>
                    <w:pStyle w:val="Compact"/>
                    <w:spacing w:before="36" w:after="36"/>
                    <w:jc w:val="center"/>
                    <w:rPr/>
                  </w:pPr>
                  <w:r>
                    <w:rPr>
                      <w:i/>
                      <w:iCs/>
                    </w:rPr>
                    <w:t>client.messages.create</w:t>
                  </w:r>
                </w:p>
              </w:tc>
              <w:tc>
                <w:tcPr>
                  <w:tcW w:w="1016" w:type="dxa"/>
                  <w:tcBorders>
                    <w:top w:val="nil"/>
                  </w:tcBorders>
                  <w:vAlign w:val="center"/>
                </w:tcPr>
                <w:p>
                  <w:pPr>
                    <w:pStyle w:val="Compact"/>
                    <w:spacing w:before="36" w:after="36"/>
                    <w:jc w:val="center"/>
                    <w:rPr/>
                  </w:pPr>
                  <w:r>
                    <w:rPr/>
                    <w:t>High (adaptive)</w:t>
                  </w:r>
                </w:p>
              </w:tc>
              <w:tc>
                <w:tcPr>
                  <w:tcW w:w="1016" w:type="dxa"/>
                  <w:tcBorders>
                    <w:top w:val="nil"/>
                  </w:tcBorders>
                  <w:vAlign w:val="center"/>
                </w:tcPr>
                <w:p>
                  <w:pPr>
                    <w:pStyle w:val="Compact"/>
                    <w:spacing w:before="36" w:after="36"/>
                    <w:jc w:val="center"/>
                    <w:rPr/>
                  </w:pPr>
                  <w:r>
                    <w:rPr/>
                    <w:t>1.0</w:t>
                  </w:r>
                </w:p>
              </w:tc>
              <w:tc>
                <w:tcPr>
                  <w:tcW w:w="1016" w:type="dxa"/>
                  <w:tcBorders>
                    <w:top w:val="nil"/>
                  </w:tcBorders>
                  <w:vAlign w:val="center"/>
                </w:tcPr>
                <w:p>
                  <w:pPr>
                    <w:pStyle w:val="Compact"/>
                    <w:spacing w:before="36" w:after="36"/>
                    <w:jc w:val="center"/>
                    <w:rPr/>
                  </w:pPr>
                  <w:r>
                    <w:rPr/>
                    <w:t>1.0</w:t>
                  </w:r>
                </w:p>
              </w:tc>
              <w:tc>
                <w:tcPr>
                  <w:tcW w:w="1016" w:type="dxa"/>
                  <w:tcBorders>
                    <w:top w:val="nil"/>
                  </w:tcBorders>
                  <w:vAlign w:val="center"/>
                </w:tcPr>
                <w:p>
                  <w:pPr>
                    <w:pStyle w:val="Compact"/>
                    <w:spacing w:before="36" w:after="36"/>
                    <w:jc w:val="center"/>
                    <w:rPr/>
                  </w:pPr>
                  <w:r>
                    <w:rPr/>
                    <w:t>10,000</w:t>
                  </w:r>
                  <w:bookmarkStart w:id="163" w:name="apptbl-model-specifications"/>
                  <w:bookmarkEnd w:id="163"/>
                </w:p>
              </w:tc>
            </w:tr>
          </w:tbl>
          <w:p>
            <w:pPr>
              <w:pStyle w:val="Normal"/>
              <w:spacing w:before="0" w:after="200"/>
              <w:jc w:val="left"/>
              <w:rPr>
                <w:sz w:val="24"/>
              </w:rPr>
            </w:pPr>
            <w:r>
              <w:rPr>
                <w:sz w:val="24"/>
              </w:rPr>
            </w:r>
            <w:bookmarkStart w:id="164" w:name="Xa9b3366e652befdfa52094955043141012f13c1"/>
            <w:bookmarkStart w:id="165" w:name="sec-appendix-configurations"/>
            <w:bookmarkEnd w:id="164"/>
            <w:bookmarkEnd w:id="165"/>
          </w:p>
        </w:tc>
      </w:tr>
    </w:tbl>
    <w:p>
      <w:pPr>
        <w:pStyle w:val="Heading1"/>
        <w:rPr/>
      </w:pPr>
      <w:r>
        <w:rPr/>
        <w:t>Web appendix G: Software details</w:t>
      </w:r>
    </w:p>
    <w:p>
      <w:pPr>
        <w:pStyle w:val="FirstParagraph"/>
        <w:rPr/>
      </w:pPr>
      <w:r>
        <w:rPr/>
        <w:t xml:space="preserve">Parallel mediation models were estimated in R (version 4.6.1) using brms (version 2.23.0; Bürkner 2017) with the </w:t>
      </w:r>
      <w:r>
        <w:rPr>
          <w:i/>
          <w:iCs/>
        </w:rPr>
        <w:t>cmdstanr</w:t>
      </w:r>
      <w:r>
        <w:rPr/>
        <w:t xml:space="preserve"> backend and Stan (version 2.39.0). Per LLM mediations were estimated using lavaan (version 0.6.21).</w:t>
      </w:r>
    </w:p>
    <w:p>
      <w:pPr>
        <w:pStyle w:val="BodyText"/>
        <w:rPr/>
      </w:pPr>
      <w:r>
        <w:rPr/>
        <w:t xml:space="preserve">For the parallel mediations, we ran four chains of 4,000 iterations each with 1,000 warmup iterations, retaining 12,000 posterior draws, with </w:t>
      </w:r>
      <w:r>
        <w:rPr>
          <w:i/>
          <w:iCs/>
        </w:rPr>
        <w:t>adapt_delta</w:t>
      </w:r>
      <w:r>
        <w:rPr/>
        <w:t xml:space="preserve"> set to .99 and maximum treedepth 15. Priors were weakly informative: Normal(0, 2) on regression coefficients for the mediator equations, Normal(0, 1) for the outcome equation, Exponential(1) on all group-level standard deviations, and LKJ(2) on the random-effect correlation matrix.</w:t>
      </w:r>
    </w:p>
    <w:p>
      <w:pPr>
        <w:pStyle w:val="BodyText"/>
        <w:rPr/>
      </w:pPr>
      <w:r>
        <w:rPr/>
        <w:t>We used weakly informative priors because seven grouping units provide limited information for estimating random-effect variances. All chains converged (</w:t>
      </w:r>
      <w:r>
        <w:rPr/>
      </w:r>
      <m:oMath xmlns:m="http://schemas.openxmlformats.org/officeDocument/2006/math">
        <m:acc>
          <m:accPr>
            <m:chr m:val="^"/>
          </m:accPr>
          <m:e>
            <m:r>
              <w:rPr>
                <w:rFonts w:ascii="Cambria Math" w:hAnsi="Cambria Math"/>
              </w:rPr>
              <m:t xml:space="preserve">R</m:t>
            </m:r>
          </m:e>
        </m:acc>
        <m:r>
          <w:rPr>
            <w:rFonts w:ascii="Cambria Math" w:hAnsi="Cambria Math"/>
          </w:rPr>
          <m:t xml:space="preserve">≤</m:t>
        </m:r>
        <m:r>
          <w:rPr>
            <w:rFonts w:ascii="Cambria Math" w:hAnsi="Cambria Math"/>
          </w:rPr>
          <m:t xml:space="preserve">1.01</m:t>
        </m:r>
      </m:oMath>
      <w:r>
        <w:rPr/>
        <w:t>), with bulk effective sample sizes above 3,200 and tail effective sample sizes above 4,500 for all reported parameters across studies. Three divergent transitions occurred in Study 1, but none for Study 2.</w:t>
      </w:r>
    </w:p>
    <w:p>
      <w:pPr>
        <w:pStyle w:val="Heading1"/>
        <w:rPr/>
      </w:pPr>
      <w:bookmarkStart w:id="166" w:name="sec-appendix-judge"/>
      <w:r>
        <w:rPr/>
        <w:t>Web appendix H: Purchase volume manipulation, objective classification, and reasoning trace analysis</w:t>
      </w:r>
    </w:p>
    <w:p>
      <w:pPr>
        <w:pStyle w:val="Heading2"/>
        <w:rPr/>
      </w:pPr>
      <w:bookmarkStart w:id="167" w:name="classification-task"/>
      <w:r>
        <w:rPr/>
        <w:t>Classification task</w:t>
      </w:r>
    </w:p>
    <w:p>
      <w:pPr>
        <w:pStyle w:val="FirstParagraph"/>
        <w:rPr/>
      </w:pPr>
      <w:r>
        <w:rPr/>
        <w:t>To characterize what changed when the purchase volume was manipulated, we classified the optimization objective that each LLM session articulated before acquiring any information.</w:t>
      </w:r>
    </w:p>
    <w:p>
      <w:pPr>
        <w:pStyle w:val="BodyText"/>
        <w:rPr/>
      </w:pPr>
      <w:r>
        <w:rPr/>
        <w:t xml:space="preserve">For each Pro and Flash session, we extracted the first line of the reasoning trace emitted before the initial </w:t>
      </w:r>
      <w:r>
        <w:rPr>
          <w:i/>
          <w:iCs/>
        </w:rPr>
        <w:t>inspect_cell</w:t>
      </w:r>
      <w:r>
        <w:rPr/>
        <w:t xml:space="preserve"> invocation. An independent judge LLM read that line in isolation and assigned it to one of three categories:</w:t>
      </w:r>
    </w:p>
    <w:p>
      <w:pPr>
        <w:pStyle w:val="Compact"/>
        <w:numPr>
          <w:ilvl w:val="0"/>
          <w:numId w:val="6"/>
        </w:numPr>
        <w:rPr/>
      </w:pPr>
      <w:r>
        <w:rPr>
          <w:i/>
          <w:iCs/>
        </w:rPr>
        <w:t>price_per_weight</w:t>
      </w:r>
      <w:r>
        <w:rPr/>
        <w:t>: Optimizing for unit value or cost-effectiveness per weight (e.g. price per gram, oz per dollar, total weight divided by total cost).</w:t>
      </w:r>
    </w:p>
    <w:p>
      <w:pPr>
        <w:pStyle w:val="Compact"/>
        <w:numPr>
          <w:ilvl w:val="0"/>
          <w:numId w:val="2"/>
        </w:numPr>
        <w:rPr/>
      </w:pPr>
      <w:r>
        <w:rPr>
          <w:i/>
          <w:iCs/>
        </w:rPr>
        <w:t>price</w:t>
      </w:r>
      <w:r>
        <w:rPr/>
        <w:t>: Optimizing solely for total price without considering weight/quantity per dollar (e.g. picking cheapest option based on upfront price).</w:t>
      </w:r>
    </w:p>
    <w:p>
      <w:pPr>
        <w:pStyle w:val="Compact"/>
        <w:numPr>
          <w:ilvl w:val="0"/>
          <w:numId w:val="2"/>
        </w:numPr>
        <w:rPr/>
      </w:pPr>
      <w:r>
        <w:rPr>
          <w:i/>
          <w:iCs/>
        </w:rPr>
        <w:t>other</w:t>
      </w:r>
      <w:r>
        <w:rPr/>
        <w:t>: Any other objective.</w:t>
      </w:r>
    </w:p>
    <w:p>
      <w:pPr>
        <w:pStyle w:val="FirstParagraph"/>
        <w:rPr/>
      </w:pPr>
      <w:r>
        <w:rPr/>
        <w:t xml:space="preserve">The judge received no other part of the session, and observed neither the final choice nor any tool call, so the classification cannot be informed by the behavior it is subsequently used to describe. Gemini 3.5 Flash Lite could not be classified. Its default thinking level is </w:t>
      </w:r>
      <w:r>
        <w:rPr>
          <w:i/>
          <w:iCs/>
        </w:rPr>
        <w:t>minimal</w:t>
      </w:r>
      <w:r>
        <w:rPr/>
        <w:t>, so it emits no reasoning prior to acquisition and the classification task is undefined for it.</w:t>
      </w:r>
    </w:p>
    <w:p>
      <w:pPr>
        <w:pStyle w:val="BodyText"/>
        <w:rPr/>
      </w:pPr>
      <w:hyperlink w:anchor="apptbl-judge-examples">
        <w:r>
          <w:rPr>
            <w:rStyle w:val="Hyperlink"/>
          </w:rPr>
          <w:t>Table W25</w:t>
        </w:r>
      </w:hyperlink>
      <w:r>
        <w:rPr/>
        <w:t xml:space="preserve"> presents examples of reasoning traces.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W25: Example reasoning traces classified by unanimous agreement</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4571"/>
              <w:gridCol w:w="4573"/>
            </w:tblGrid>
            <w:tr>
              <w:trPr>
                <w:tblHeader w:val="true"/>
              </w:trPr>
              <w:tc>
                <w:tcPr>
                  <w:tcW w:w="4571" w:type="dxa"/>
                  <w:tcBorders/>
                  <w:vAlign w:val="center"/>
                </w:tcPr>
                <w:p>
                  <w:pPr>
                    <w:pStyle w:val="Compact"/>
                    <w:spacing w:before="36" w:after="36"/>
                    <w:jc w:val="center"/>
                    <w:rPr>
                      <w:b w:val="false"/>
                    </w:rPr>
                  </w:pPr>
                  <w:r>
                    <w:rPr>
                      <w:b w:val="false"/>
                    </w:rPr>
                    <w:t>Classified objective</w:t>
                  </w:r>
                </w:p>
              </w:tc>
              <w:tc>
                <w:tcPr>
                  <w:tcW w:w="4573" w:type="dxa"/>
                  <w:tcBorders/>
                  <w:vAlign w:val="center"/>
                </w:tcPr>
                <w:p>
                  <w:pPr>
                    <w:pStyle w:val="Compact"/>
                    <w:spacing w:before="36" w:after="36"/>
                    <w:jc w:val="center"/>
                    <w:rPr>
                      <w:b w:val="false"/>
                    </w:rPr>
                  </w:pPr>
                  <w:r>
                    <w:rPr>
                      <w:b w:val="false"/>
                    </w:rPr>
                    <w:t>Reasoning</w:t>
                  </w:r>
                </w:p>
              </w:tc>
            </w:tr>
            <w:tr>
              <w:trPr/>
              <w:tc>
                <w:tcPr>
                  <w:tcW w:w="4571" w:type="dxa"/>
                  <w:tcBorders>
                    <w:top w:val="nil"/>
                    <w:bottom w:val="nil"/>
                  </w:tcBorders>
                  <w:vAlign w:val="center"/>
                </w:tcPr>
                <w:p>
                  <w:pPr>
                    <w:pStyle w:val="Compact"/>
                    <w:spacing w:before="36" w:after="36"/>
                    <w:jc w:val="center"/>
                    <w:rPr/>
                  </w:pPr>
                  <w:r>
                    <w:rPr/>
                    <w:t>Price-per-weight</w:t>
                  </w:r>
                </w:p>
              </w:tc>
              <w:tc>
                <w:tcPr>
                  <w:tcW w:w="4573" w:type="dxa"/>
                  <w:tcBorders>
                    <w:top w:val="nil"/>
                    <w:bottom w:val="nil"/>
                  </w:tcBorders>
                  <w:vAlign w:val="center"/>
                </w:tcPr>
                <w:p>
                  <w:pPr>
                    <w:pStyle w:val="Compact"/>
                    <w:spacing w:before="36" w:after="36"/>
                    <w:jc w:val="center"/>
                    <w:rPr/>
                  </w:pPr>
                  <w:r>
                    <w:rPr/>
                    <w:t>“</w:t>
                  </w:r>
                  <w:r>
                    <w:rPr/>
                    <w:t>[…] My primary focus is always the price per unit, you know, the real cost-effectiveness. […]”</w:t>
                  </w:r>
                </w:p>
              </w:tc>
            </w:tr>
            <w:tr>
              <w:trPr/>
              <w:tc>
                <w:tcPr>
                  <w:tcW w:w="4571" w:type="dxa"/>
                  <w:tcBorders>
                    <w:top w:val="nil"/>
                    <w:bottom w:val="nil"/>
                  </w:tcBorders>
                  <w:vAlign w:val="center"/>
                </w:tcPr>
                <w:p>
                  <w:pPr>
                    <w:pStyle w:val="Compact"/>
                    <w:spacing w:before="36" w:after="36"/>
                    <w:jc w:val="center"/>
                    <w:rPr/>
                  </w:pPr>
                  <w:r>
                    <w:rPr/>
                    <w:t>Price</w:t>
                  </w:r>
                </w:p>
              </w:tc>
              <w:tc>
                <w:tcPr>
                  <w:tcW w:w="4573" w:type="dxa"/>
                  <w:tcBorders>
                    <w:top w:val="nil"/>
                    <w:bottom w:val="nil"/>
                  </w:tcBorders>
                  <w:vAlign w:val="center"/>
                </w:tcPr>
                <w:p>
                  <w:pPr>
                    <w:pStyle w:val="Compact"/>
                    <w:spacing w:before="36" w:after="36"/>
                    <w:jc w:val="center"/>
                    <w:rPr/>
                  </w:pPr>
                  <w:r>
                    <w:rPr/>
                    <w:t>“</w:t>
                  </w:r>
                  <w:r>
                    <w:rPr/>
                    <w:t>Okay, so the goal is to find the absolute lowest price on instant coffee. […]”</w:t>
                  </w:r>
                </w:p>
              </w:tc>
            </w:tr>
            <w:tr>
              <w:trPr/>
              <w:tc>
                <w:tcPr>
                  <w:tcW w:w="4571" w:type="dxa"/>
                  <w:tcBorders>
                    <w:top w:val="nil"/>
                  </w:tcBorders>
                  <w:vAlign w:val="center"/>
                </w:tcPr>
                <w:p>
                  <w:pPr>
                    <w:pStyle w:val="Compact"/>
                    <w:spacing w:before="36" w:after="36"/>
                    <w:jc w:val="center"/>
                    <w:rPr/>
                  </w:pPr>
                  <w:r>
                    <w:rPr/>
                    <w:t>Others</w:t>
                  </w:r>
                </w:p>
              </w:tc>
              <w:tc>
                <w:tcPr>
                  <w:tcW w:w="4573" w:type="dxa"/>
                  <w:tcBorders>
                    <w:top w:val="nil"/>
                  </w:tcBorders>
                  <w:vAlign w:val="center"/>
                </w:tcPr>
                <w:p>
                  <w:pPr>
                    <w:pStyle w:val="Compact"/>
                    <w:spacing w:before="36" w:after="36"/>
                    <w:jc w:val="center"/>
                    <w:rPr/>
                  </w:pPr>
                  <w:r>
                    <w:rPr/>
                    <w:t>“</w:t>
                  </w:r>
                  <w:r>
                    <w:rPr/>
                    <w:t xml:space="preserve">[…] My intuition tells me to zero in on the total price. […] While”best deal” often boils down to the lowest total price, sometimes it’s about getting the most coffee for your money – the best </w:t>
                  </w:r>
                  <w:r>
                    <w:rPr>
                      <w:i/>
                      <w:iCs/>
                    </w:rPr>
                    <w:t>unit</w:t>
                  </w:r>
                  <w:r>
                    <w:rPr/>
                    <w:t xml:space="preserve"> price. I’ll keep that in mind.”</w:t>
                  </w:r>
                  <w:bookmarkStart w:id="168" w:name="apptbl-judge-examples"/>
                  <w:bookmarkEnd w:id="168"/>
                </w:p>
              </w:tc>
            </w:tr>
          </w:tbl>
          <w:p>
            <w:pPr>
              <w:pStyle w:val="Normal"/>
              <w:spacing w:before="0" w:after="200"/>
              <w:jc w:val="left"/>
              <w:rPr>
                <w:sz w:val="24"/>
              </w:rPr>
            </w:pPr>
            <w:r>
              <w:rPr>
                <w:sz w:val="24"/>
              </w:rPr>
            </w:r>
          </w:p>
        </w:tc>
      </w:tr>
    </w:tbl>
    <w:p>
      <w:pPr>
        <w:pStyle w:val="BodyText"/>
        <w:rPr/>
      </w:pPr>
      <w:r>
        <w:rPr>
          <w:i/>
          <w:iCs/>
        </w:rPr>
        <w:t>Note.</w:t>
      </w:r>
      <w:r>
        <w:rPr/>
        <w:t xml:space="preserve"> One randomly selected session per classification.</w:t>
        <w:br/>
        <w:t xml:space="preserve">Text is abridged from the reasoning emitted before any </w:t>
      </w:r>
      <w:r>
        <w:rPr>
          <w:i/>
          <w:iCs/>
        </w:rPr>
        <w:t>inspect_cell</w:t>
      </w:r>
      <w:r>
        <w:rPr/>
        <w:t xml:space="preserve"> invocation, which is the input the judges received. The purchase quantity is stated in the task prompt and therefore appears in the trace.</w:t>
      </w:r>
      <w:bookmarkEnd w:id="167"/>
    </w:p>
    <w:p>
      <w:pPr>
        <w:pStyle w:val="Heading2"/>
        <w:rPr/>
      </w:pPr>
      <w:bookmarkStart w:id="169" w:name="judge-llms"/>
      <w:r>
        <w:rPr/>
        <w:t>Judge LLMs</w:t>
      </w:r>
    </w:p>
    <w:p>
      <w:pPr>
        <w:pStyle w:val="FirstParagraph"/>
        <w:rPr/>
      </w:pPr>
      <w:r>
        <w:rPr/>
        <w:t xml:space="preserve">All classification queries were executed locally via </w:t>
      </w:r>
      <w:r>
        <w:rPr>
          <w:i/>
          <w:iCs/>
        </w:rPr>
        <w:t>llama.cpp</w:t>
      </w:r>
      <w:r>
        <w:rPr/>
        <w:t xml:space="preserve"> using official quantized checkpoints under default sampling parameters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1.0</m:t>
        </m:r>
      </m:oMath>
      <w:r>
        <w:rPr/>
        <w:t>, top-</w:t>
      </w:r>
      <w:r>
        <w:rPr/>
      </w:r>
      <m:oMath xmlns:m="http://schemas.openxmlformats.org/officeDocument/2006/math">
        <m:r>
          <w:rPr>
            <w:rFonts w:ascii="Cambria Math" w:hAnsi="Cambria Math"/>
          </w:rPr>
          <m:t xml:space="preserve">p</m:t>
        </m:r>
        <m:r>
          <w:rPr>
            <w:rFonts w:ascii="Cambria Math" w:hAnsi="Cambria Math"/>
          </w:rPr>
          <m:t xml:space="preserve">=</m:t>
        </m:r>
        <m:r>
          <w:rPr>
            <w:rFonts w:ascii="Cambria Math" w:hAnsi="Cambria Math"/>
          </w:rPr>
          <m:t xml:space="preserve">1.0</m:t>
        </m:r>
      </m:oMath>
      <w:r>
        <w:rPr/>
        <w:t xml:space="preserve">). We classified every trace independently with three judges from LLM families orthogonal to the LLMs in the main experiments (NVIDIA, Alibaba Cloud, and Ornith AI; </w:t>
      </w:r>
      <w:hyperlink w:anchor="apptbl-judge-models">
        <w:r>
          <w:rPr>
            <w:rStyle w:val="Hyperlink"/>
          </w:rPr>
          <w:t>Table W26</w:t>
        </w:r>
      </w:hyperlink>
      <w:r>
        <w:rPr/>
        <w:t>). The Nemotron judge was designated as the primary instrument, and all primary analyses use its predicted classifications.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W26: Judge LLMs used for objective classification</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2285"/>
              <w:gridCol w:w="2286"/>
              <w:gridCol w:w="2286"/>
              <w:gridCol w:w="2287"/>
            </w:tblGrid>
            <w:tr>
              <w:trPr>
                <w:tblHeader w:val="true"/>
              </w:trPr>
              <w:tc>
                <w:tcPr>
                  <w:tcW w:w="2285" w:type="dxa"/>
                  <w:tcBorders/>
                  <w:vAlign w:val="center"/>
                </w:tcPr>
                <w:p>
                  <w:pPr>
                    <w:pStyle w:val="Compact"/>
                    <w:spacing w:before="36" w:after="36"/>
                    <w:jc w:val="center"/>
                    <w:rPr>
                      <w:b w:val="false"/>
                    </w:rPr>
                  </w:pPr>
                  <w:r>
                    <w:rPr>
                      <w:b w:val="false"/>
                    </w:rPr>
                    <w:t>Judge LLM</w:t>
                  </w:r>
                </w:p>
              </w:tc>
              <w:tc>
                <w:tcPr>
                  <w:tcW w:w="2286" w:type="dxa"/>
                  <w:tcBorders/>
                  <w:vAlign w:val="center"/>
                </w:tcPr>
                <w:p>
                  <w:pPr>
                    <w:pStyle w:val="Compact"/>
                    <w:spacing w:before="36" w:after="36"/>
                    <w:jc w:val="center"/>
                    <w:rPr>
                      <w:b w:val="false"/>
                    </w:rPr>
                  </w:pPr>
                  <w:r>
                    <w:rPr>
                      <w:b w:val="false"/>
                    </w:rPr>
                    <w:t>Quantization</w:t>
                  </w:r>
                </w:p>
              </w:tc>
              <w:tc>
                <w:tcPr>
                  <w:tcW w:w="2286" w:type="dxa"/>
                  <w:tcBorders/>
                  <w:vAlign w:val="center"/>
                </w:tcPr>
                <w:p>
                  <w:pPr>
                    <w:pStyle w:val="Compact"/>
                    <w:spacing w:before="36" w:after="36"/>
                    <w:jc w:val="center"/>
                    <w:rPr>
                      <w:b w:val="false"/>
                    </w:rPr>
                  </w:pPr>
                  <w:r>
                    <w:rPr>
                      <w:b w:val="false"/>
                    </w:rPr>
                    <w:t>Serving</w:t>
                  </w:r>
                </w:p>
              </w:tc>
              <w:tc>
                <w:tcPr>
                  <w:tcW w:w="2287" w:type="dxa"/>
                  <w:tcBorders/>
                  <w:vAlign w:val="center"/>
                </w:tcPr>
                <w:p>
                  <w:pPr>
                    <w:pStyle w:val="Compact"/>
                    <w:spacing w:before="36" w:after="36"/>
                    <w:jc w:val="center"/>
                    <w:rPr>
                      <w:b w:val="false"/>
                    </w:rPr>
                  </w:pPr>
                  <w:r>
                    <w:rPr>
                      <w:b w:val="false"/>
                    </w:rPr>
                    <w:t>Provider</w:t>
                  </w:r>
                </w:p>
              </w:tc>
            </w:tr>
            <w:tr>
              <w:trPr/>
              <w:tc>
                <w:tcPr>
                  <w:tcW w:w="2285" w:type="dxa"/>
                  <w:tcBorders>
                    <w:top w:val="nil"/>
                    <w:bottom w:val="nil"/>
                  </w:tcBorders>
                  <w:vAlign w:val="center"/>
                </w:tcPr>
                <w:p>
                  <w:pPr>
                    <w:pStyle w:val="Compact"/>
                    <w:spacing w:before="36" w:after="36"/>
                    <w:jc w:val="center"/>
                    <w:rPr/>
                  </w:pPr>
                  <w:r>
                    <w:rPr/>
                    <w:t>NVIDIA Nemotron 3.5 Lightning 30B-A3B</w:t>
                  </w:r>
                </w:p>
              </w:tc>
              <w:tc>
                <w:tcPr>
                  <w:tcW w:w="2286" w:type="dxa"/>
                  <w:tcBorders>
                    <w:top w:val="nil"/>
                    <w:bottom w:val="nil"/>
                  </w:tcBorders>
                  <w:vAlign w:val="center"/>
                </w:tcPr>
                <w:p>
                  <w:pPr>
                    <w:pStyle w:val="Compact"/>
                    <w:spacing w:before="36" w:after="36"/>
                    <w:jc w:val="center"/>
                    <w:rPr/>
                  </w:pPr>
                  <w:r>
                    <w:rPr/>
                    <w:t>Q4_K_XL</w:t>
                  </w:r>
                </w:p>
              </w:tc>
              <w:tc>
                <w:tcPr>
                  <w:tcW w:w="2286" w:type="dxa"/>
                  <w:tcBorders>
                    <w:top w:val="nil"/>
                    <w:bottom w:val="nil"/>
                  </w:tcBorders>
                  <w:vAlign w:val="center"/>
                </w:tcPr>
                <w:p>
                  <w:pPr>
                    <w:pStyle w:val="Compact"/>
                    <w:spacing w:before="36" w:after="36"/>
                    <w:jc w:val="center"/>
                    <w:rPr/>
                  </w:pPr>
                  <w:r>
                    <w:rPr/>
                    <w:t>llama.cpp, default sampling</w:t>
                  </w:r>
                </w:p>
              </w:tc>
              <w:tc>
                <w:tcPr>
                  <w:tcW w:w="2287" w:type="dxa"/>
                  <w:tcBorders>
                    <w:top w:val="nil"/>
                    <w:bottom w:val="nil"/>
                  </w:tcBorders>
                  <w:vAlign w:val="center"/>
                </w:tcPr>
                <w:p>
                  <w:pPr>
                    <w:pStyle w:val="Compact"/>
                    <w:spacing w:before="36" w:after="36"/>
                    <w:jc w:val="center"/>
                    <w:rPr/>
                  </w:pPr>
                  <w:r>
                    <w:rPr/>
                    <w:t>NVIDIA</w:t>
                  </w:r>
                </w:p>
              </w:tc>
            </w:tr>
            <w:tr>
              <w:trPr/>
              <w:tc>
                <w:tcPr>
                  <w:tcW w:w="2285" w:type="dxa"/>
                  <w:tcBorders>
                    <w:top w:val="nil"/>
                    <w:bottom w:val="nil"/>
                  </w:tcBorders>
                  <w:vAlign w:val="center"/>
                </w:tcPr>
                <w:p>
                  <w:pPr>
                    <w:pStyle w:val="Compact"/>
                    <w:spacing w:before="36" w:after="36"/>
                    <w:jc w:val="center"/>
                    <w:rPr/>
                  </w:pPr>
                  <w:r>
                    <w:rPr/>
                    <w:t>Qwen 3.8 27B</w:t>
                  </w:r>
                </w:p>
              </w:tc>
              <w:tc>
                <w:tcPr>
                  <w:tcW w:w="2286" w:type="dxa"/>
                  <w:tcBorders>
                    <w:top w:val="nil"/>
                    <w:bottom w:val="nil"/>
                  </w:tcBorders>
                  <w:vAlign w:val="center"/>
                </w:tcPr>
                <w:p>
                  <w:pPr>
                    <w:pStyle w:val="Compact"/>
                    <w:spacing w:before="36" w:after="36"/>
                    <w:jc w:val="center"/>
                    <w:rPr/>
                  </w:pPr>
                  <w:r>
                    <w:rPr/>
                    <w:t>Q6_K_XL</w:t>
                  </w:r>
                </w:p>
              </w:tc>
              <w:tc>
                <w:tcPr>
                  <w:tcW w:w="2286" w:type="dxa"/>
                  <w:tcBorders>
                    <w:top w:val="nil"/>
                    <w:bottom w:val="nil"/>
                  </w:tcBorders>
                  <w:vAlign w:val="center"/>
                </w:tcPr>
                <w:p>
                  <w:pPr>
                    <w:pStyle w:val="Compact"/>
                    <w:spacing w:before="36" w:after="36"/>
                    <w:jc w:val="center"/>
                    <w:rPr/>
                  </w:pPr>
                  <w:r>
                    <w:rPr/>
                    <w:t>llama.cpp, default sampling</w:t>
                  </w:r>
                </w:p>
              </w:tc>
              <w:tc>
                <w:tcPr>
                  <w:tcW w:w="2287" w:type="dxa"/>
                  <w:tcBorders>
                    <w:top w:val="nil"/>
                    <w:bottom w:val="nil"/>
                  </w:tcBorders>
                  <w:vAlign w:val="center"/>
                </w:tcPr>
                <w:p>
                  <w:pPr>
                    <w:pStyle w:val="Compact"/>
                    <w:spacing w:before="36" w:after="36"/>
                    <w:jc w:val="center"/>
                    <w:rPr/>
                  </w:pPr>
                  <w:r>
                    <w:rPr/>
                    <w:t>Alibaba Cloud</w:t>
                  </w:r>
                </w:p>
              </w:tc>
            </w:tr>
            <w:tr>
              <w:trPr/>
              <w:tc>
                <w:tcPr>
                  <w:tcW w:w="2285" w:type="dxa"/>
                  <w:tcBorders>
                    <w:top w:val="nil"/>
                  </w:tcBorders>
                  <w:vAlign w:val="center"/>
                </w:tcPr>
                <w:p>
                  <w:pPr>
                    <w:pStyle w:val="Compact"/>
                    <w:spacing w:before="36" w:after="36"/>
                    <w:jc w:val="center"/>
                    <w:rPr/>
                  </w:pPr>
                  <w:r>
                    <w:rPr/>
                    <w:t>Ornith 1.0 35B</w:t>
                  </w:r>
                </w:p>
              </w:tc>
              <w:tc>
                <w:tcPr>
                  <w:tcW w:w="2286" w:type="dxa"/>
                  <w:tcBorders>
                    <w:top w:val="nil"/>
                  </w:tcBorders>
                  <w:vAlign w:val="center"/>
                </w:tcPr>
                <w:p>
                  <w:pPr>
                    <w:pStyle w:val="Compact"/>
                    <w:spacing w:before="36" w:after="36"/>
                    <w:jc w:val="center"/>
                    <w:rPr/>
                  </w:pPr>
                  <w:r>
                    <w:rPr/>
                    <w:t>MXFP4 MoE</w:t>
                  </w:r>
                </w:p>
              </w:tc>
              <w:tc>
                <w:tcPr>
                  <w:tcW w:w="2286" w:type="dxa"/>
                  <w:tcBorders>
                    <w:top w:val="nil"/>
                  </w:tcBorders>
                  <w:vAlign w:val="center"/>
                </w:tcPr>
                <w:p>
                  <w:pPr>
                    <w:pStyle w:val="Compact"/>
                    <w:spacing w:before="36" w:after="36"/>
                    <w:jc w:val="center"/>
                    <w:rPr/>
                  </w:pPr>
                  <w:r>
                    <w:rPr/>
                    <w:t>llama.cpp, default sampling</w:t>
                  </w:r>
                </w:p>
              </w:tc>
              <w:tc>
                <w:tcPr>
                  <w:tcW w:w="2287" w:type="dxa"/>
                  <w:tcBorders>
                    <w:top w:val="nil"/>
                  </w:tcBorders>
                  <w:vAlign w:val="center"/>
                </w:tcPr>
                <w:p>
                  <w:pPr>
                    <w:pStyle w:val="Compact"/>
                    <w:spacing w:before="36" w:after="36"/>
                    <w:jc w:val="center"/>
                    <w:rPr/>
                  </w:pPr>
                  <w:r>
                    <w:rPr/>
                    <w:t>Ornith AI</w:t>
                  </w:r>
                  <w:bookmarkStart w:id="170" w:name="apptbl-judge-models"/>
                  <w:bookmarkEnd w:id="170"/>
                </w:p>
              </w:tc>
            </w:tr>
          </w:tbl>
          <w:p>
            <w:pPr>
              <w:pStyle w:val="Normal"/>
              <w:spacing w:before="0" w:after="200"/>
              <w:jc w:val="left"/>
              <w:rPr>
                <w:sz w:val="24"/>
              </w:rPr>
            </w:pPr>
            <w:r>
              <w:rPr>
                <w:sz w:val="24"/>
              </w:rPr>
            </w:r>
          </w:p>
        </w:tc>
      </w:tr>
    </w:tbl>
    <w:p>
      <w:pPr>
        <w:pStyle w:val="Heading3"/>
        <w:rPr/>
      </w:pPr>
      <w:r>
        <w:rPr/>
        <w:t>Validation against human coding</w:t>
      </w:r>
    </w:p>
    <w:p>
      <w:pPr>
        <w:pStyle w:val="FirstParagraph"/>
        <w:rPr/>
      </w:pPr>
      <w:r>
        <w:rPr/>
        <w:t xml:space="preserve">A human rater independently classified 120 traces sampled at 30 per number of bags, using the same first-reasoning extraction and the same three categories given to the judges. </w:t>
      </w:r>
      <w:hyperlink w:anchor="apptbl-judge-human">
        <w:r>
          <w:rPr>
            <w:rStyle w:val="Hyperlink"/>
          </w:rPr>
          <w:t>Table W27</w:t>
        </w:r>
      </w:hyperlink>
      <w:r>
        <w:rPr/>
        <w:t xml:space="preserve"> reports agreement between the human rater and each judge LLM.</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W27: Inter-rater agreement between independent human rater and automated judge LLMs</w:t>
            </w:r>
          </w:p>
          <w:tbl>
            <w:tblPr>
              <w:tblStyle w:val="APATable"/>
              <w:tblW w:w="7920" w:type="dxa"/>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980"/>
              <w:gridCol w:w="1980"/>
              <w:gridCol w:w="1980"/>
              <w:gridCol w:w="1980"/>
            </w:tblGrid>
            <w:tr>
              <w:trPr>
                <w:tblHeader w:val="true"/>
              </w:trPr>
              <w:tc>
                <w:tcPr>
                  <w:tcW w:w="1980" w:type="dxa"/>
                  <w:tcBorders/>
                  <w:vAlign w:val="center"/>
                </w:tcPr>
                <w:p>
                  <w:pPr>
                    <w:pStyle w:val="Compact"/>
                    <w:spacing w:before="36" w:after="36"/>
                    <w:jc w:val="center"/>
                    <w:rPr>
                      <w:b w:val="false"/>
                    </w:rPr>
                  </w:pPr>
                  <w:r>
                    <w:rPr>
                      <w:b w:val="false"/>
                    </w:rPr>
                    <w:t>Judge LLM</w:t>
                  </w:r>
                </w:p>
              </w:tc>
              <w:tc>
                <w:tcPr>
                  <w:tcW w:w="1980" w:type="dxa"/>
                  <w:tcBorders/>
                  <w:vAlign w:val="center"/>
                </w:tcPr>
                <w:p>
                  <w:pPr>
                    <w:pStyle w:val="Compact"/>
                    <w:spacing w:before="36" w:after="36"/>
                    <w:jc w:val="center"/>
                    <w:rPr>
                      <w:b w:val="false"/>
                    </w:rPr>
                  </w:pPr>
                  <w:r>
                    <w:rPr>
                      <w:b w:val="false"/>
                    </w:rPr>
                  </w:r>
                  <m:oMath xmlns:m="http://schemas.openxmlformats.org/officeDocument/2006/math">
                    <m:r>
                      <w:rPr>
                        <w:rFonts w:ascii="Cambria Math" w:hAnsi="Cambria Math"/>
                      </w:rPr>
                      <m:t xml:space="preserve">n</m:t>
                    </m:r>
                  </m:oMath>
                  <w:r>
                    <w:rPr>
                      <w:b w:val="false"/>
                    </w:rPr>
                    <w:t>​</w:t>
                  </w:r>
                </w:p>
              </w:tc>
              <w:tc>
                <w:tcPr>
                  <w:tcW w:w="1980" w:type="dxa"/>
                  <w:tcBorders/>
                  <w:vAlign w:val="center"/>
                </w:tcPr>
                <w:p>
                  <w:pPr>
                    <w:pStyle w:val="Compact"/>
                    <w:spacing w:before="36" w:after="36"/>
                    <w:jc w:val="center"/>
                    <w:rPr>
                      <w:b w:val="false"/>
                    </w:rPr>
                  </w:pPr>
                  <w:r>
                    <w:rPr>
                      <w:b w:val="false"/>
                    </w:rPr>
                    <w:t>Observed Agreement (</w:t>
                  </w:r>
                  <w:r>
                    <w:rPr>
                      <w:b w:val="false"/>
                    </w:rPr>
                  </w:r>
                  <m:oMath xmlns:m="http://schemas.openxmlformats.org/officeDocument/2006/math">
                    <m:sSub>
                      <m:e>
                        <m:r>
                          <w:rPr>
                            <w:rFonts w:ascii="Cambria Math" w:hAnsi="Cambria Math"/>
                          </w:rPr>
                          <m:t xml:space="preserve">p</m:t>
                        </m:r>
                      </m:e>
                      <m:sub>
                        <m:r>
                          <w:rPr>
                            <w:rFonts w:ascii="Cambria Math" w:hAnsi="Cambria Math"/>
                          </w:rPr>
                          <m:t xml:space="preserve">o</m:t>
                        </m:r>
                      </m:sub>
                    </m:sSub>
                  </m:oMath>
                  <w:r>
                    <w:rPr>
                      <w:b w:val="false"/>
                    </w:rPr>
                    <w:t>)</w:t>
                  </w:r>
                </w:p>
              </w:tc>
              <w:tc>
                <w:tcPr>
                  <w:tcW w:w="1980" w:type="dxa"/>
                  <w:tcBorders/>
                  <w:vAlign w:val="center"/>
                </w:tcPr>
                <w:p>
                  <w:pPr>
                    <w:pStyle w:val="Compact"/>
                    <w:spacing w:before="36" w:after="36"/>
                    <w:jc w:val="center"/>
                    <w:rPr>
                      <w:b w:val="false"/>
                    </w:rPr>
                  </w:pPr>
                  <w:r>
                    <w:rPr>
                      <w:b w:val="false"/>
                    </w:rPr>
                    <w:t xml:space="preserve">Cohen’s </w:t>
                  </w:r>
                  <w:r>
                    <w:rPr>
                      <w:b w:val="false"/>
                    </w:rPr>
                  </w:r>
                  <m:oMath xmlns:m="http://schemas.openxmlformats.org/officeDocument/2006/math">
                    <m:r>
                      <w:rPr>
                        <w:rFonts w:ascii="Cambria Math" w:hAnsi="Cambria Math"/>
                      </w:rPr>
                      <m:t xml:space="preserve">κ</m:t>
                    </m:r>
                  </m:oMath>
                </w:p>
              </w:tc>
            </w:tr>
            <w:tr>
              <w:trPr/>
              <w:tc>
                <w:tcPr>
                  <w:tcW w:w="1980" w:type="dxa"/>
                  <w:tcBorders>
                    <w:top w:val="nil"/>
                    <w:bottom w:val="nil"/>
                  </w:tcBorders>
                  <w:vAlign w:val="center"/>
                </w:tcPr>
                <w:p>
                  <w:pPr>
                    <w:pStyle w:val="Compact"/>
                    <w:spacing w:before="36" w:after="36"/>
                    <w:jc w:val="center"/>
                    <w:rPr/>
                  </w:pPr>
                  <w:r>
                    <w:rPr/>
                    <w:t>NVIDIA Nemotron 3.5 Lightning 30B</w:t>
                  </w:r>
                  <w:r>
                    <w:rPr/>
                  </w:r>
                  <m:oMath xmlns:m="http://schemas.openxmlformats.org/officeDocument/2006/math">
                    <m:sSup>
                      <m:e/>
                      <m:sup>
                        <m:r>
                          <w:rPr>
                            <w:rFonts w:ascii="Cambria Math" w:hAnsi="Cambria Math"/>
                          </w:rPr>
                          <m:t xml:space="preserve">a</m:t>
                        </m:r>
                      </m:sup>
                    </m:sSup>
                  </m:oMath>
                </w:p>
              </w:tc>
              <w:tc>
                <w:tcPr>
                  <w:tcW w:w="1980" w:type="dxa"/>
                  <w:tcBorders>
                    <w:top w:val="nil"/>
                    <w:bottom w:val="nil"/>
                  </w:tcBorders>
                  <w:vAlign w:val="center"/>
                </w:tcPr>
                <w:p>
                  <w:pPr>
                    <w:pStyle w:val="Compact"/>
                    <w:spacing w:before="36" w:after="36"/>
                    <w:jc w:val="center"/>
                    <w:rPr/>
                  </w:pPr>
                  <w:r>
                    <w:rPr/>
                    <w:t>120</w:t>
                  </w:r>
                </w:p>
              </w:tc>
              <w:tc>
                <w:tcPr>
                  <w:tcW w:w="1980" w:type="dxa"/>
                  <w:tcBorders>
                    <w:top w:val="nil"/>
                    <w:bottom w:val="nil"/>
                  </w:tcBorders>
                  <w:vAlign w:val="center"/>
                </w:tcPr>
                <w:p>
                  <w:pPr>
                    <w:pStyle w:val="Compact"/>
                    <w:spacing w:before="36" w:after="36"/>
                    <w:jc w:val="center"/>
                    <w:rPr/>
                  </w:pPr>
                  <w:r>
                    <w:rPr/>
                    <w:t>.892</w:t>
                  </w:r>
                </w:p>
              </w:tc>
              <w:tc>
                <w:tcPr>
                  <w:tcW w:w="1980" w:type="dxa"/>
                  <w:tcBorders>
                    <w:top w:val="nil"/>
                    <w:bottom w:val="nil"/>
                  </w:tcBorders>
                  <w:vAlign w:val="center"/>
                </w:tcPr>
                <w:p>
                  <w:pPr>
                    <w:pStyle w:val="Compact"/>
                    <w:spacing w:before="36" w:after="36"/>
                    <w:jc w:val="center"/>
                    <w:rPr/>
                  </w:pPr>
                  <w:r>
                    <w:rPr/>
                    <w:t>.781</w:t>
                  </w:r>
                </w:p>
              </w:tc>
            </w:tr>
            <w:tr>
              <w:trPr/>
              <w:tc>
                <w:tcPr>
                  <w:tcW w:w="1980" w:type="dxa"/>
                  <w:tcBorders>
                    <w:top w:val="nil"/>
                    <w:bottom w:val="nil"/>
                  </w:tcBorders>
                  <w:vAlign w:val="center"/>
                </w:tcPr>
                <w:p>
                  <w:pPr>
                    <w:pStyle w:val="Compact"/>
                    <w:spacing w:before="36" w:after="36"/>
                    <w:jc w:val="center"/>
                    <w:rPr/>
                  </w:pPr>
                  <w:r>
                    <w:rPr/>
                    <w:t>Qwen 3.8 27B</w:t>
                  </w:r>
                </w:p>
              </w:tc>
              <w:tc>
                <w:tcPr>
                  <w:tcW w:w="1980" w:type="dxa"/>
                  <w:tcBorders>
                    <w:top w:val="nil"/>
                    <w:bottom w:val="nil"/>
                  </w:tcBorders>
                  <w:vAlign w:val="center"/>
                </w:tcPr>
                <w:p>
                  <w:pPr>
                    <w:pStyle w:val="Compact"/>
                    <w:spacing w:before="36" w:after="36"/>
                    <w:jc w:val="center"/>
                    <w:rPr/>
                  </w:pPr>
                  <w:r>
                    <w:rPr/>
                    <w:t>120</w:t>
                  </w:r>
                </w:p>
              </w:tc>
              <w:tc>
                <w:tcPr>
                  <w:tcW w:w="1980" w:type="dxa"/>
                  <w:tcBorders>
                    <w:top w:val="nil"/>
                    <w:bottom w:val="nil"/>
                  </w:tcBorders>
                  <w:vAlign w:val="center"/>
                </w:tcPr>
                <w:p>
                  <w:pPr>
                    <w:pStyle w:val="Compact"/>
                    <w:spacing w:before="36" w:after="36"/>
                    <w:jc w:val="center"/>
                    <w:rPr/>
                  </w:pPr>
                  <w:r>
                    <w:rPr/>
                    <w:t>.875</w:t>
                  </w:r>
                </w:p>
              </w:tc>
              <w:tc>
                <w:tcPr>
                  <w:tcW w:w="1980" w:type="dxa"/>
                  <w:tcBorders>
                    <w:top w:val="nil"/>
                    <w:bottom w:val="nil"/>
                  </w:tcBorders>
                  <w:vAlign w:val="center"/>
                </w:tcPr>
                <w:p>
                  <w:pPr>
                    <w:pStyle w:val="Compact"/>
                    <w:spacing w:before="36" w:after="36"/>
                    <w:jc w:val="center"/>
                    <w:rPr/>
                  </w:pPr>
                  <w:r>
                    <w:rPr/>
                    <w:t>.752</w:t>
                  </w:r>
                </w:p>
              </w:tc>
            </w:tr>
            <w:tr>
              <w:trPr/>
              <w:tc>
                <w:tcPr>
                  <w:tcW w:w="1980" w:type="dxa"/>
                  <w:tcBorders>
                    <w:top w:val="nil"/>
                  </w:tcBorders>
                  <w:vAlign w:val="center"/>
                </w:tcPr>
                <w:p>
                  <w:pPr>
                    <w:pStyle w:val="Compact"/>
                    <w:spacing w:before="36" w:after="36"/>
                    <w:jc w:val="center"/>
                    <w:rPr/>
                  </w:pPr>
                  <w:r>
                    <w:rPr/>
                    <w:t>Ornith 1.0 35B</w:t>
                  </w:r>
                </w:p>
              </w:tc>
              <w:tc>
                <w:tcPr>
                  <w:tcW w:w="1980" w:type="dxa"/>
                  <w:tcBorders>
                    <w:top w:val="nil"/>
                  </w:tcBorders>
                  <w:vAlign w:val="center"/>
                </w:tcPr>
                <w:p>
                  <w:pPr>
                    <w:pStyle w:val="Compact"/>
                    <w:spacing w:before="36" w:after="36"/>
                    <w:jc w:val="center"/>
                    <w:rPr/>
                  </w:pPr>
                  <w:r>
                    <w:rPr/>
                    <w:t>120</w:t>
                  </w:r>
                </w:p>
              </w:tc>
              <w:tc>
                <w:tcPr>
                  <w:tcW w:w="1980" w:type="dxa"/>
                  <w:tcBorders>
                    <w:top w:val="nil"/>
                  </w:tcBorders>
                  <w:vAlign w:val="center"/>
                </w:tcPr>
                <w:p>
                  <w:pPr>
                    <w:pStyle w:val="Compact"/>
                    <w:spacing w:before="36" w:after="36"/>
                    <w:jc w:val="center"/>
                    <w:rPr/>
                  </w:pPr>
                  <w:r>
                    <w:rPr/>
                    <w:t>.842</w:t>
                  </w:r>
                </w:p>
              </w:tc>
              <w:tc>
                <w:tcPr>
                  <w:tcW w:w="1980" w:type="dxa"/>
                  <w:tcBorders>
                    <w:top w:val="nil"/>
                  </w:tcBorders>
                  <w:vAlign w:val="center"/>
                </w:tcPr>
                <w:p>
                  <w:pPr>
                    <w:pStyle w:val="Compact"/>
                    <w:spacing w:before="36" w:after="36"/>
                    <w:jc w:val="center"/>
                    <w:rPr/>
                  </w:pPr>
                  <w:r>
                    <w:rPr/>
                    <w:t>.675</w:t>
                  </w:r>
                  <w:bookmarkStart w:id="171" w:name="apptbl-judge-human"/>
                  <w:bookmarkEnd w:id="171"/>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120</m:t>
        </m:r>
      </m:oMath>
      <w:r>
        <w:rPr/>
        <w:t xml:space="preserve"> pre-acquisition reasoning traces sampled randomly at 30 traces per purchase volume condition (1, 5, 50, and 250 bags) from Gemini 3.1 Pro sessions. Traces were independently classified into three nominal categories: </w:t>
      </w:r>
      <w:r>
        <w:rPr>
          <w:i/>
          <w:iCs/>
        </w:rPr>
        <w:t>price-per-weight</w:t>
      </w:r>
      <w:r>
        <w:rPr/>
        <w:t xml:space="preserve"> (unit price minimization), </w:t>
      </w:r>
      <w:r>
        <w:rPr>
          <w:i/>
          <w:iCs/>
        </w:rPr>
        <w:t>price</w:t>
      </w:r>
      <w:r>
        <w:rPr/>
        <w:t xml:space="preserve"> (absolute sticker price minimization), or </w:t>
      </w:r>
      <w:r>
        <w:rPr>
          <w:i/>
          <w:iCs/>
        </w:rPr>
        <w:t>other</w:t>
      </w:r>
      <w:r>
        <w:rPr/>
        <w:t>. Observed agreement (</w:t>
      </w:r>
      <w:r>
        <w:rPr/>
      </w:r>
      <m:oMath xmlns:m="http://schemas.openxmlformats.org/officeDocument/2006/math">
        <m:sSub>
          <m:e>
            <m:r>
              <w:rPr>
                <w:rFonts w:ascii="Cambria Math" w:hAnsi="Cambria Math"/>
              </w:rPr>
              <m:t xml:space="preserve">p</m:t>
            </m:r>
          </m:e>
          <m:sub>
            <m:r>
              <w:rPr>
                <w:rFonts w:ascii="Cambria Math" w:hAnsi="Cambria Math"/>
              </w:rPr>
              <m:t xml:space="preserve">o</m:t>
            </m:r>
          </m:sub>
        </m:sSub>
      </m:oMath>
      <w:r>
        <w:rPr/>
        <w:t xml:space="preserve">) represents the raw proportion of concordant classifications between the human rater and the judge LLM. Cohen’s </w:t>
      </w:r>
      <w:r>
        <w:rPr/>
      </w:r>
      <m:oMath xmlns:m="http://schemas.openxmlformats.org/officeDocument/2006/math">
        <m:r>
          <w:rPr>
            <w:rFonts w:ascii="Cambria Math" w:hAnsi="Cambria Math"/>
          </w:rPr>
          <m:t xml:space="preserve">κ</m:t>
        </m:r>
      </m:oMath>
      <w:r>
        <w:rPr/>
        <w:t xml:space="preserve"> evaluates inter-rater reliability corrected for chance agreement.</w:t>
        <w:br/>
      </w:r>
      <w:r>
        <w:rPr/>
      </w:r>
      <m:oMath xmlns:m="http://schemas.openxmlformats.org/officeDocument/2006/math">
        <m:sSup>
          <m:e/>
          <m:sup>
            <m:r>
              <w:rPr>
                <w:rFonts w:ascii="Cambria Math" w:hAnsi="Cambria Math"/>
              </w:rPr>
              <m:t xml:space="preserve">a</m:t>
            </m:r>
          </m:sup>
        </m:sSup>
      </m:oMath>
      <w:r>
        <w:rPr/>
        <w:t xml:space="preserve"> Designated primary instrument used for all reported focal analyses.</w:t>
      </w:r>
    </w:p>
    <w:p>
      <w:pPr>
        <w:pStyle w:val="BodyText"/>
        <w:rPr/>
      </w:pPr>
      <w:r>
        <w:rPr/>
        <w:t>Agreement with the human criterion was highest for the Nemotron judge, which was therefore designated as the primary instrument. The margin over the two replication judges is small relative to what 120 traces can resolve, and the substantive estimates do not depend on which judge supplies the labels.</w:t>
      </w:r>
    </w:p>
    <w:p>
      <w:pPr>
        <w:pStyle w:val="BodyText"/>
        <w:rPr/>
      </w:pPr>
      <w:r>
        <w:rPr/>
        <w:t xml:space="preserve">Disagreements concentrated in the “others” category. Because sessions classified into the “others” category are excluded from the focal contrast, this affects the small proportions in </w:t>
      </w:r>
      <w:hyperlink w:anchor="apptbl-bags-objective">
        <w:r>
          <w:rPr>
            <w:rStyle w:val="Hyperlink"/>
          </w:rPr>
          <w:t>Table W17</w:t>
        </w:r>
      </w:hyperlink>
      <w:r>
        <w:rPr/>
        <w:t xml:space="preserve"> more than the contrast estimates in </w:t>
      </w:r>
      <w:hyperlink w:anchor="apptbl-bags-contrast">
        <w:r>
          <w:rPr>
            <w:rStyle w:val="Hyperlink"/>
          </w:rPr>
          <w:t>Table W18</w:t>
        </w:r>
      </w:hyperlink>
      <w:r>
        <w:rPr/>
        <w:t>.</w:t>
      </w:r>
      <w:bookmarkEnd w:id="169"/>
    </w:p>
    <w:p>
      <w:pPr>
        <w:pStyle w:val="Heading2"/>
        <w:rPr/>
      </w:pPr>
      <w:bookmarkStart w:id="172" w:name="objective-shift"/>
      <w:r>
        <w:rPr/>
        <w:t>Objective shift</w:t>
      </w:r>
    </w:p>
    <w:p>
      <w:pPr>
        <w:pStyle w:val="FirstParagraph"/>
        <w:rPr/>
      </w:pPr>
      <w:r>
        <w:rPr/>
        <w:t>The shift in stated objective is recovered across all three judge LLMs (</w:t>
      </w:r>
      <w:hyperlink w:anchor="apptbl-judge-distribution">
        <w:r>
          <w:rPr>
            <w:rStyle w:val="Hyperlink"/>
          </w:rPr>
          <w:t>Table W28</w:t>
        </w:r>
      </w:hyperlink>
      <w:r>
        <w:rPr/>
        <w:t>). The proportion stating a price objective rises from .35–.39 at one bag to .80–.85 at 250 bags, and the three judge classifications for price differ by at most .09 at any purchase volume.</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W28: Proportion of sessions stating a price objective, by judge LLM</w:t>
            </w:r>
          </w:p>
          <w:tbl>
            <w:tblPr>
              <w:tblStyle w:val="APATable"/>
              <w:tblW w:w="7920" w:type="dxa"/>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980"/>
              <w:gridCol w:w="1980"/>
              <w:gridCol w:w="1980"/>
              <w:gridCol w:w="1980"/>
            </w:tblGrid>
            <w:tr>
              <w:trPr>
                <w:tblHeader w:val="true"/>
              </w:trPr>
              <w:tc>
                <w:tcPr>
                  <w:tcW w:w="1980" w:type="dxa"/>
                  <w:tcBorders/>
                  <w:vAlign w:val="center"/>
                </w:tcPr>
                <w:p>
                  <w:pPr>
                    <w:pStyle w:val="Compact"/>
                    <w:spacing w:before="36" w:after="36"/>
                    <w:jc w:val="center"/>
                    <w:rPr>
                      <w:b w:val="false"/>
                    </w:rPr>
                  </w:pPr>
                  <w:r>
                    <w:rPr>
                      <w:b w:val="false"/>
                    </w:rPr>
                    <w:t>Bags</w:t>
                  </w:r>
                </w:p>
              </w:tc>
              <w:tc>
                <w:tcPr>
                  <w:tcW w:w="1980" w:type="dxa"/>
                  <w:tcBorders/>
                  <w:vAlign w:val="center"/>
                </w:tcPr>
                <w:p>
                  <w:pPr>
                    <w:pStyle w:val="Compact"/>
                    <w:spacing w:before="36" w:after="36"/>
                    <w:jc w:val="center"/>
                    <w:rPr>
                      <w:b w:val="false"/>
                    </w:rPr>
                  </w:pPr>
                  <w:r>
                    <w:rPr>
                      <w:b w:val="false"/>
                    </w:rPr>
                    <w:t>Nemotron</w:t>
                  </w:r>
                </w:p>
              </w:tc>
              <w:tc>
                <w:tcPr>
                  <w:tcW w:w="1980" w:type="dxa"/>
                  <w:tcBorders/>
                  <w:vAlign w:val="center"/>
                </w:tcPr>
                <w:p>
                  <w:pPr>
                    <w:pStyle w:val="Compact"/>
                    <w:spacing w:before="36" w:after="36"/>
                    <w:jc w:val="center"/>
                    <w:rPr>
                      <w:b w:val="false"/>
                    </w:rPr>
                  </w:pPr>
                  <w:r>
                    <w:rPr>
                      <w:b w:val="false"/>
                    </w:rPr>
                    <w:t>Qwen</w:t>
                  </w:r>
                </w:p>
              </w:tc>
              <w:tc>
                <w:tcPr>
                  <w:tcW w:w="1980" w:type="dxa"/>
                  <w:tcBorders/>
                  <w:vAlign w:val="center"/>
                </w:tcPr>
                <w:p>
                  <w:pPr>
                    <w:pStyle w:val="Compact"/>
                    <w:spacing w:before="36" w:after="36"/>
                    <w:jc w:val="center"/>
                    <w:rPr>
                      <w:b w:val="false"/>
                    </w:rPr>
                  </w:pPr>
                  <w:r>
                    <w:rPr>
                      <w:b w:val="false"/>
                    </w:rPr>
                    <w:t>Ornith</w:t>
                  </w:r>
                </w:p>
              </w:tc>
            </w:tr>
            <w:tr>
              <w:trPr/>
              <w:tc>
                <w:tcPr>
                  <w:tcW w:w="1980" w:type="dxa"/>
                  <w:tcBorders>
                    <w:top w:val="nil"/>
                    <w:bottom w:val="nil"/>
                  </w:tcBorders>
                  <w:vAlign w:val="center"/>
                </w:tcPr>
                <w:p>
                  <w:pPr>
                    <w:pStyle w:val="Compact"/>
                    <w:spacing w:before="36" w:after="36"/>
                    <w:jc w:val="center"/>
                    <w:rPr/>
                  </w:pPr>
                  <w:r>
                    <w:rPr/>
                    <w:t>1</w:t>
                  </w:r>
                </w:p>
              </w:tc>
              <w:tc>
                <w:tcPr>
                  <w:tcW w:w="1980" w:type="dxa"/>
                  <w:tcBorders>
                    <w:top w:val="nil"/>
                    <w:bottom w:val="nil"/>
                  </w:tcBorders>
                  <w:vAlign w:val="center"/>
                </w:tcPr>
                <w:p>
                  <w:pPr>
                    <w:pStyle w:val="Compact"/>
                    <w:spacing w:before="36" w:after="36"/>
                    <w:jc w:val="center"/>
                    <w:rPr/>
                  </w:pPr>
                  <w:r>
                    <w:rPr/>
                    <w:t>0.38</w:t>
                  </w:r>
                </w:p>
              </w:tc>
              <w:tc>
                <w:tcPr>
                  <w:tcW w:w="1980" w:type="dxa"/>
                  <w:tcBorders>
                    <w:top w:val="nil"/>
                    <w:bottom w:val="nil"/>
                  </w:tcBorders>
                  <w:vAlign w:val="center"/>
                </w:tcPr>
                <w:p>
                  <w:pPr>
                    <w:pStyle w:val="Compact"/>
                    <w:spacing w:before="36" w:after="36"/>
                    <w:jc w:val="center"/>
                    <w:rPr/>
                  </w:pPr>
                  <w:r>
                    <w:rPr/>
                    <w:t>0.35</w:t>
                  </w:r>
                </w:p>
              </w:tc>
              <w:tc>
                <w:tcPr>
                  <w:tcW w:w="1980" w:type="dxa"/>
                  <w:tcBorders>
                    <w:top w:val="nil"/>
                    <w:bottom w:val="nil"/>
                  </w:tcBorders>
                  <w:vAlign w:val="center"/>
                </w:tcPr>
                <w:p>
                  <w:pPr>
                    <w:pStyle w:val="Compact"/>
                    <w:spacing w:before="36" w:after="36"/>
                    <w:jc w:val="center"/>
                    <w:rPr/>
                  </w:pPr>
                  <w:r>
                    <w:rPr/>
                    <w:t>0.4</w:t>
                  </w:r>
                </w:p>
              </w:tc>
            </w:tr>
            <w:tr>
              <w:trPr/>
              <w:tc>
                <w:tcPr>
                  <w:tcW w:w="1980" w:type="dxa"/>
                  <w:tcBorders>
                    <w:top w:val="nil"/>
                    <w:bottom w:val="nil"/>
                  </w:tcBorders>
                  <w:vAlign w:val="center"/>
                </w:tcPr>
                <w:p>
                  <w:pPr>
                    <w:pStyle w:val="Compact"/>
                    <w:spacing w:before="36" w:after="36"/>
                    <w:jc w:val="center"/>
                    <w:rPr/>
                  </w:pPr>
                  <w:r>
                    <w:rPr/>
                    <w:t>5</w:t>
                  </w:r>
                </w:p>
              </w:tc>
              <w:tc>
                <w:tcPr>
                  <w:tcW w:w="1980" w:type="dxa"/>
                  <w:tcBorders>
                    <w:top w:val="nil"/>
                    <w:bottom w:val="nil"/>
                  </w:tcBorders>
                  <w:vAlign w:val="center"/>
                </w:tcPr>
                <w:p>
                  <w:pPr>
                    <w:pStyle w:val="Compact"/>
                    <w:spacing w:before="36" w:after="36"/>
                    <w:jc w:val="center"/>
                    <w:rPr/>
                  </w:pPr>
                  <w:r>
                    <w:rPr/>
                    <w:t>0.52</w:t>
                  </w:r>
                </w:p>
              </w:tc>
              <w:tc>
                <w:tcPr>
                  <w:tcW w:w="1980" w:type="dxa"/>
                  <w:tcBorders>
                    <w:top w:val="nil"/>
                    <w:bottom w:val="nil"/>
                  </w:tcBorders>
                  <w:vAlign w:val="center"/>
                </w:tcPr>
                <w:p>
                  <w:pPr>
                    <w:pStyle w:val="Compact"/>
                    <w:spacing w:before="36" w:after="36"/>
                    <w:jc w:val="center"/>
                    <w:rPr/>
                  </w:pPr>
                  <w:r>
                    <w:rPr/>
                    <w:t>0.52</w:t>
                  </w:r>
                </w:p>
              </w:tc>
              <w:tc>
                <w:tcPr>
                  <w:tcW w:w="1980" w:type="dxa"/>
                  <w:tcBorders>
                    <w:top w:val="nil"/>
                    <w:bottom w:val="nil"/>
                  </w:tcBorders>
                  <w:vAlign w:val="center"/>
                </w:tcPr>
                <w:p>
                  <w:pPr>
                    <w:pStyle w:val="Compact"/>
                    <w:spacing w:before="36" w:after="36"/>
                    <w:jc w:val="center"/>
                    <w:rPr/>
                  </w:pPr>
                  <w:r>
                    <w:rPr/>
                    <w:t>0.55</w:t>
                  </w:r>
                </w:p>
              </w:tc>
            </w:tr>
            <w:tr>
              <w:trPr/>
              <w:tc>
                <w:tcPr>
                  <w:tcW w:w="1980" w:type="dxa"/>
                  <w:tcBorders>
                    <w:top w:val="nil"/>
                    <w:bottom w:val="nil"/>
                  </w:tcBorders>
                  <w:vAlign w:val="center"/>
                </w:tcPr>
                <w:p>
                  <w:pPr>
                    <w:pStyle w:val="Compact"/>
                    <w:spacing w:before="36" w:after="36"/>
                    <w:jc w:val="center"/>
                    <w:rPr/>
                  </w:pPr>
                  <w:r>
                    <w:rPr/>
                    <w:t>50</w:t>
                  </w:r>
                </w:p>
              </w:tc>
              <w:tc>
                <w:tcPr>
                  <w:tcW w:w="1980" w:type="dxa"/>
                  <w:tcBorders>
                    <w:top w:val="nil"/>
                    <w:bottom w:val="nil"/>
                  </w:tcBorders>
                  <w:vAlign w:val="center"/>
                </w:tcPr>
                <w:p>
                  <w:pPr>
                    <w:pStyle w:val="Compact"/>
                    <w:spacing w:before="36" w:after="36"/>
                    <w:jc w:val="center"/>
                    <w:rPr/>
                  </w:pPr>
                  <w:r>
                    <w:rPr/>
                    <w:t>0.83</w:t>
                  </w:r>
                </w:p>
              </w:tc>
              <w:tc>
                <w:tcPr>
                  <w:tcW w:w="1980" w:type="dxa"/>
                  <w:tcBorders>
                    <w:top w:val="nil"/>
                    <w:bottom w:val="nil"/>
                  </w:tcBorders>
                  <w:vAlign w:val="center"/>
                </w:tcPr>
                <w:p>
                  <w:pPr>
                    <w:pStyle w:val="Compact"/>
                    <w:spacing w:before="36" w:after="36"/>
                    <w:jc w:val="center"/>
                    <w:rPr/>
                  </w:pPr>
                  <w:r>
                    <w:rPr/>
                    <w:t>0.8</w:t>
                  </w:r>
                </w:p>
              </w:tc>
              <w:tc>
                <w:tcPr>
                  <w:tcW w:w="1980" w:type="dxa"/>
                  <w:tcBorders>
                    <w:top w:val="nil"/>
                    <w:bottom w:val="nil"/>
                  </w:tcBorders>
                  <w:vAlign w:val="center"/>
                </w:tcPr>
                <w:p>
                  <w:pPr>
                    <w:pStyle w:val="Compact"/>
                    <w:spacing w:before="36" w:after="36"/>
                    <w:jc w:val="center"/>
                    <w:rPr/>
                  </w:pPr>
                  <w:r>
                    <w:rPr/>
                    <w:t>0.84</w:t>
                  </w:r>
                </w:p>
              </w:tc>
            </w:tr>
            <w:tr>
              <w:trPr/>
              <w:tc>
                <w:tcPr>
                  <w:tcW w:w="1980" w:type="dxa"/>
                  <w:tcBorders>
                    <w:top w:val="nil"/>
                  </w:tcBorders>
                  <w:vAlign w:val="center"/>
                </w:tcPr>
                <w:p>
                  <w:pPr>
                    <w:pStyle w:val="Compact"/>
                    <w:spacing w:before="36" w:after="36"/>
                    <w:jc w:val="center"/>
                    <w:rPr/>
                  </w:pPr>
                  <w:r>
                    <w:rPr/>
                    <w:t>250</w:t>
                  </w:r>
                </w:p>
              </w:tc>
              <w:tc>
                <w:tcPr>
                  <w:tcW w:w="1980" w:type="dxa"/>
                  <w:tcBorders>
                    <w:top w:val="nil"/>
                  </w:tcBorders>
                  <w:vAlign w:val="center"/>
                </w:tcPr>
                <w:p>
                  <w:pPr>
                    <w:pStyle w:val="Compact"/>
                    <w:spacing w:before="36" w:after="36"/>
                    <w:jc w:val="center"/>
                    <w:rPr/>
                  </w:pPr>
                  <w:r>
                    <w:rPr/>
                    <w:t>0.84</w:t>
                  </w:r>
                </w:p>
              </w:tc>
              <w:tc>
                <w:tcPr>
                  <w:tcW w:w="1980" w:type="dxa"/>
                  <w:tcBorders>
                    <w:top w:val="nil"/>
                  </w:tcBorders>
                  <w:vAlign w:val="center"/>
                </w:tcPr>
                <w:p>
                  <w:pPr>
                    <w:pStyle w:val="Compact"/>
                    <w:spacing w:before="36" w:after="36"/>
                    <w:jc w:val="center"/>
                    <w:rPr/>
                  </w:pPr>
                  <w:r>
                    <w:rPr/>
                    <w:t>0.8</w:t>
                  </w:r>
                </w:p>
              </w:tc>
              <w:tc>
                <w:tcPr>
                  <w:tcW w:w="1980" w:type="dxa"/>
                  <w:tcBorders>
                    <w:top w:val="nil"/>
                  </w:tcBorders>
                  <w:vAlign w:val="center"/>
                </w:tcPr>
                <w:p>
                  <w:pPr>
                    <w:pStyle w:val="Compact"/>
                    <w:spacing w:before="36" w:after="36"/>
                    <w:jc w:val="center"/>
                    <w:rPr/>
                  </w:pPr>
                  <w:r>
                    <w:rPr/>
                    <w:t>0.82</w:t>
                  </w:r>
                  <w:bookmarkStart w:id="173" w:name="apptbl-judge-distribution"/>
                  <w:bookmarkEnd w:id="173"/>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100</m:t>
        </m:r>
      </m:oMath>
      <w:r>
        <w:rPr/>
        <w:t xml:space="preserve"> Gemini 3.1 Pro sessions per purchase volume. Entries are the proportion classified as stating a price objective from the first line of reasoning emitted before any </w:t>
      </w:r>
      <w:r>
        <w:rPr>
          <w:i/>
          <w:iCs/>
        </w:rPr>
        <w:t>inspect_cell</w:t>
      </w:r>
      <w:r>
        <w:rPr/>
        <w:t xml:space="preserve"> invocation. Nemotron 3.5 is the primary instrument used in the main text.</w:t>
      </w:r>
    </w:p>
    <w:p>
      <w:pPr>
        <w:pStyle w:val="BodyText"/>
        <w:rPr/>
      </w:pPr>
      <w:hyperlink w:anchor="apptbl-judge-replication">
        <w:r>
          <w:rPr>
            <w:rStyle w:val="Hyperlink"/>
          </w:rPr>
          <w:t>Table W29</w:t>
        </w:r>
      </w:hyperlink>
      <w:r>
        <w:rPr/>
        <w:t xml:space="preserve"> reports the pooled contrast between sessions stating a price objective and those stating a price-per-weight objective, holding purchase volume fixed, computed separately under each judge’s labels.</w:t>
      </w:r>
    </w:p>
    <w:p>
      <w:pPr>
        <w:pStyle w:val="BodyText"/>
        <w:rPr/>
      </w:pPr>
      <w:r>
        <w:rPr/>
        <w:t>The contrast is of the same sign and comparable magnitude under all three judges, ranging from −1.38 to −1.56 diagnostic cells and from −.49 to −.55 in optimality, with overlapping confidence intervals throughout. No conclusion depends on which judge supplied the labels.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W29: Pooled contrast by stated optimization objective across independent judge LLMs</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826"/>
              <w:gridCol w:w="1828"/>
              <w:gridCol w:w="1832"/>
              <w:gridCol w:w="1829"/>
              <w:gridCol w:w="1829"/>
            </w:tblGrid>
            <w:tr>
              <w:trPr>
                <w:tblHeader w:val="true"/>
              </w:trPr>
              <w:tc>
                <w:tcPr>
                  <w:tcW w:w="1826" w:type="dxa"/>
                  <w:tcBorders/>
                  <w:vAlign w:val="center"/>
                </w:tcPr>
                <w:p>
                  <w:pPr>
                    <w:pStyle w:val="Compact"/>
                    <w:spacing w:before="36" w:after="36"/>
                    <w:jc w:val="center"/>
                    <w:rPr>
                      <w:b w:val="false"/>
                    </w:rPr>
                  </w:pPr>
                  <w:r>
                    <w:rPr>
                      <w:b w:val="false"/>
                    </w:rPr>
                    <w:t>Judge LLM</w:t>
                  </w:r>
                </w:p>
              </w:tc>
              <w:tc>
                <w:tcPr>
                  <w:tcW w:w="1828" w:type="dxa"/>
                  <w:tcBorders/>
                  <w:vAlign w:val="center"/>
                </w:tcPr>
                <w:p>
                  <w:pPr>
                    <w:pStyle w:val="Compact"/>
                    <w:spacing w:before="36" w:after="36"/>
                    <w:jc w:val="center"/>
                    <w:rPr>
                      <w:b w:val="false"/>
                    </w:rPr>
                  </w:pPr>
                  <w:r>
                    <w:rPr>
                      <w:b w:val="false"/>
                    </w:rPr>
                  </w:r>
                  <m:oMath xmlns:m="http://schemas.openxmlformats.org/officeDocument/2006/math">
                    <m:r>
                      <w:rPr>
                        <w:rFonts w:ascii="Cambria Math" w:hAnsi="Cambria Math"/>
                      </w:rPr>
                      <m:t xml:space="preserve">Δ</m:t>
                    </m:r>
                    <m:r>
                      <m:rPr>
                        <m:lit/>
                        <m:nor/>
                      </m:rPr>
                      <w:rPr>
                        <w:rFonts w:ascii="Cambria Math" w:hAnsi="Cambria Math"/>
                      </w:rPr>
                      <m:t xml:space="preserve">Diagnostic</m:t>
                    </m:r>
                  </m:oMath>
                  <w:r>
                    <w:rPr>
                      <w:b w:val="false"/>
                    </w:rPr>
                    <w:t>​</w:t>
                  </w:r>
                </w:p>
              </w:tc>
              <w:tc>
                <w:tcPr>
                  <w:tcW w:w="1832" w:type="dxa"/>
                  <w:tcBorders/>
                  <w:vAlign w:val="center"/>
                </w:tcPr>
                <w:p>
                  <w:pPr>
                    <w:pStyle w:val="Compact"/>
                    <w:spacing w:before="36" w:after="36"/>
                    <w:jc w:val="center"/>
                    <w:rPr>
                      <w:b w:val="false"/>
                    </w:rPr>
                  </w:pPr>
                  <w:r>
                    <w:rPr>
                      <w:b w:val="false"/>
                    </w:rPr>
                    <w:t>95% CI</w:t>
                  </w:r>
                </w:p>
              </w:tc>
              <w:tc>
                <w:tcPr>
                  <w:tcW w:w="1829" w:type="dxa"/>
                  <w:tcBorders/>
                  <w:vAlign w:val="center"/>
                </w:tcPr>
                <w:p>
                  <w:pPr>
                    <w:pStyle w:val="Compact"/>
                    <w:spacing w:before="36" w:after="36"/>
                    <w:jc w:val="center"/>
                    <w:rPr>
                      <w:b w:val="false"/>
                    </w:rPr>
                  </w:pPr>
                  <w:r>
                    <w:rPr>
                      <w:b w:val="false"/>
                    </w:rPr>
                  </w:r>
                  <m:oMath xmlns:m="http://schemas.openxmlformats.org/officeDocument/2006/math">
                    <m:r>
                      <w:rPr>
                        <w:rFonts w:ascii="Cambria Math" w:hAnsi="Cambria Math"/>
                      </w:rPr>
                      <m:t xml:space="preserve">Δ</m:t>
                    </m:r>
                    <m:r>
                      <m:rPr>
                        <m:lit/>
                        <m:nor/>
                      </m:rPr>
                      <w:rPr>
                        <w:rFonts w:ascii="Cambria Math" w:hAnsi="Cambria Math"/>
                      </w:rPr>
                      <m:t xml:space="preserve">Choice optimality</m:t>
                    </m:r>
                  </m:oMath>
                  <w:r>
                    <w:rPr>
                      <w:b w:val="false"/>
                    </w:rPr>
                    <w:t>​</w:t>
                  </w:r>
                </w:p>
              </w:tc>
              <w:tc>
                <w:tcPr>
                  <w:tcW w:w="1829" w:type="dxa"/>
                  <w:tcBorders/>
                  <w:vAlign w:val="center"/>
                </w:tcPr>
                <w:p>
                  <w:pPr>
                    <w:pStyle w:val="Compact"/>
                    <w:spacing w:before="36" w:after="36"/>
                    <w:jc w:val="center"/>
                    <w:rPr>
                      <w:b w:val="false"/>
                    </w:rPr>
                  </w:pPr>
                  <w:r>
                    <w:rPr>
                      <w:b w:val="false"/>
                    </w:rPr>
                    <w:t>95% CI</w:t>
                  </w:r>
                </w:p>
              </w:tc>
            </w:tr>
            <w:tr>
              <w:trPr/>
              <w:tc>
                <w:tcPr>
                  <w:tcW w:w="1826" w:type="dxa"/>
                  <w:tcBorders>
                    <w:top w:val="nil"/>
                    <w:bottom w:val="nil"/>
                  </w:tcBorders>
                  <w:vAlign w:val="center"/>
                </w:tcPr>
                <w:p>
                  <w:pPr>
                    <w:pStyle w:val="Compact"/>
                    <w:spacing w:before="36" w:after="36"/>
                    <w:jc w:val="center"/>
                    <w:rPr/>
                  </w:pPr>
                  <w:r>
                    <w:rPr/>
                    <w:t>Nemotron 3.5 (Primary)</w:t>
                  </w:r>
                </w:p>
              </w:tc>
              <w:tc>
                <w:tcPr>
                  <w:tcW w:w="1828" w:type="dxa"/>
                  <w:tcBorders>
                    <w:top w:val="nil"/>
                    <w:bottom w:val="nil"/>
                  </w:tcBorders>
                  <w:vAlign w:val="center"/>
                </w:tcPr>
                <w:p>
                  <w:pPr>
                    <w:pStyle w:val="Compact"/>
                    <w:spacing w:before="36" w:after="36"/>
                    <w:jc w:val="center"/>
                    <w:rPr/>
                  </w:pPr>
                  <w:r>
                    <w:rPr/>
                  </w:r>
                  <m:oMath xmlns:m="http://schemas.openxmlformats.org/officeDocument/2006/math">
                    <m:r>
                      <w:rPr>
                        <w:rFonts w:ascii="Cambria Math" w:hAnsi="Cambria Math"/>
                      </w:rPr>
                      <m:t xml:space="preserve">−</m:t>
                    </m:r>
                    <m:sSup>
                      <m:e>
                        <m:r>
                          <w:rPr>
                            <w:rFonts w:ascii="Cambria Math" w:hAnsi="Cambria Math"/>
                          </w:rPr>
                          <m:t xml:space="preserve">1.53</m:t>
                        </m:r>
                      </m:e>
                      <m:sup>
                        <m:r>
                          <m:rPr>
                            <m:lit/>
                            <m:nor/>
                          </m:rPr>
                          <w:rPr>
                            <w:rFonts w:ascii="Cambria Math" w:hAnsi="Cambria Math"/>
                          </w:rPr>
                          <m:t xml:space="preserve">*</m:t>
                        </m:r>
                      </m:sup>
                    </m:sSup>
                  </m:oMath>
                  <w:r>
                    <w:rPr/>
                    <w:t>​</w:t>
                  </w:r>
                </w:p>
              </w:tc>
              <w:tc>
                <w:tcPr>
                  <w:tcW w:w="1832" w:type="dxa"/>
                  <w:tcBorders>
                    <w:top w:val="nil"/>
                    <w:bottom w:val="nil"/>
                  </w:tcBorders>
                  <w:vAlign w:val="center"/>
                </w:tcPr>
                <w:p>
                  <w:pPr>
                    <w:pStyle w:val="Compact"/>
                    <w:spacing w:before="36" w:after="36"/>
                    <w:jc w:val="center"/>
                    <w:rPr/>
                  </w:pP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1.76</m:t>
                    </m:r>
                    <m:r>
                      <w:rPr>
                        <w:rFonts w:ascii="Cambria Math" w:hAnsi="Cambria Math"/>
                      </w:rPr>
                      <m:t xml:space="preserve">,</m:t>
                    </m:r>
                    <m:r>
                      <w:rPr>
                        <w:rFonts w:ascii="Cambria Math" w:hAnsi="Cambria Math"/>
                      </w:rPr>
                      <m:t xml:space="preserve">−</m:t>
                    </m:r>
                    <m:r>
                      <w:rPr>
                        <w:rFonts w:ascii="Cambria Math" w:hAnsi="Cambria Math"/>
                      </w:rPr>
                      <m:t xml:space="preserve">1.30</m:t>
                    </m:r>
                    <m:r>
                      <w:rPr>
                        <w:rFonts w:ascii="Cambria Math" w:hAnsi="Cambria Math"/>
                      </w:rPr>
                      <m:t xml:space="preserve">]</m:t>
                    </m:r>
                  </m:oMath>
                  <w:r>
                    <w:rPr/>
                    <w:t>​</w:t>
                  </w:r>
                </w:p>
              </w:tc>
              <w:tc>
                <w:tcPr>
                  <w:tcW w:w="1829" w:type="dxa"/>
                  <w:tcBorders>
                    <w:top w:val="nil"/>
                    <w:bottom w:val="nil"/>
                  </w:tcBorders>
                  <w:vAlign w:val="center"/>
                </w:tcPr>
                <w:p>
                  <w:pPr>
                    <w:pStyle w:val="Compact"/>
                    <w:spacing w:before="36" w:after="36"/>
                    <w:jc w:val="center"/>
                    <w:rPr/>
                  </w:pPr>
                  <w:r>
                    <w:rPr/>
                  </w:r>
                  <m:oMath xmlns:m="http://schemas.openxmlformats.org/officeDocument/2006/math">
                    <m:r>
                      <w:rPr>
                        <w:rFonts w:ascii="Cambria Math" w:hAnsi="Cambria Math"/>
                      </w:rPr>
                      <m:t xml:space="preserve">−</m:t>
                    </m:r>
                    <m:sSup>
                      <m:e>
                        <m:r>
                          <w:rPr>
                            <w:rFonts w:ascii="Cambria Math" w:hAnsi="Cambria Math"/>
                          </w:rPr>
                          <m:t xml:space="preserve">0.53</m:t>
                        </m:r>
                      </m:e>
                      <m:sup>
                        <m:r>
                          <m:rPr>
                            <m:lit/>
                            <m:nor/>
                          </m:rPr>
                          <w:rPr>
                            <w:rFonts w:ascii="Cambria Math" w:hAnsi="Cambria Math"/>
                          </w:rPr>
                          <m:t xml:space="preserve">*</m:t>
                        </m:r>
                      </m:sup>
                    </m:sSup>
                  </m:oMath>
                  <w:r>
                    <w:rPr/>
                    <w:t>​</w:t>
                  </w:r>
                </w:p>
              </w:tc>
              <w:tc>
                <w:tcPr>
                  <w:tcW w:w="1829" w:type="dxa"/>
                  <w:tcBorders>
                    <w:top w:val="nil"/>
                    <w:bottom w:val="nil"/>
                  </w:tcBorders>
                  <w:vAlign w:val="center"/>
                </w:tcPr>
                <w:p>
                  <w:pPr>
                    <w:pStyle w:val="Compact"/>
                    <w:spacing w:before="36" w:after="36"/>
                    <w:jc w:val="center"/>
                    <w:rPr/>
                  </w:pP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0.61</m:t>
                    </m:r>
                    <m:r>
                      <w:rPr>
                        <w:rFonts w:ascii="Cambria Math" w:hAnsi="Cambria Math"/>
                      </w:rPr>
                      <m:t xml:space="preserve">,</m:t>
                    </m:r>
                    <m:r>
                      <w:rPr>
                        <w:rFonts w:ascii="Cambria Math" w:hAnsi="Cambria Math"/>
                      </w:rPr>
                      <m:t xml:space="preserve">−</m:t>
                    </m:r>
                    <m:r>
                      <w:rPr>
                        <w:rFonts w:ascii="Cambria Math" w:hAnsi="Cambria Math"/>
                      </w:rPr>
                      <m:t xml:space="preserve">0.43</m:t>
                    </m:r>
                    <m:r>
                      <w:rPr>
                        <w:rFonts w:ascii="Cambria Math" w:hAnsi="Cambria Math"/>
                      </w:rPr>
                      <m:t xml:space="preserve">]</m:t>
                    </m:r>
                  </m:oMath>
                  <w:r>
                    <w:rPr/>
                    <w:t>​</w:t>
                  </w:r>
                </w:p>
              </w:tc>
            </w:tr>
            <w:tr>
              <w:trPr/>
              <w:tc>
                <w:tcPr>
                  <w:tcW w:w="1826" w:type="dxa"/>
                  <w:tcBorders>
                    <w:top w:val="nil"/>
                    <w:bottom w:val="nil"/>
                  </w:tcBorders>
                  <w:vAlign w:val="center"/>
                </w:tcPr>
                <w:p>
                  <w:pPr>
                    <w:pStyle w:val="Compact"/>
                    <w:spacing w:before="36" w:after="36"/>
                    <w:jc w:val="center"/>
                    <w:rPr/>
                  </w:pPr>
                  <w:r>
                    <w:rPr/>
                    <w:t>Qwen 3.8</w:t>
                  </w:r>
                </w:p>
              </w:tc>
              <w:tc>
                <w:tcPr>
                  <w:tcW w:w="1828" w:type="dxa"/>
                  <w:tcBorders>
                    <w:top w:val="nil"/>
                    <w:bottom w:val="nil"/>
                  </w:tcBorders>
                  <w:vAlign w:val="center"/>
                </w:tcPr>
                <w:p>
                  <w:pPr>
                    <w:pStyle w:val="Compact"/>
                    <w:spacing w:before="36" w:after="36"/>
                    <w:jc w:val="center"/>
                    <w:rPr/>
                  </w:pPr>
                  <w:r>
                    <w:rPr/>
                  </w:r>
                  <m:oMath xmlns:m="http://schemas.openxmlformats.org/officeDocument/2006/math">
                    <m:r>
                      <w:rPr>
                        <w:rFonts w:ascii="Cambria Math" w:hAnsi="Cambria Math"/>
                      </w:rPr>
                      <m:t xml:space="preserve">−</m:t>
                    </m:r>
                    <m:sSup>
                      <m:e>
                        <m:r>
                          <w:rPr>
                            <w:rFonts w:ascii="Cambria Math" w:hAnsi="Cambria Math"/>
                          </w:rPr>
                          <m:t xml:space="preserve">1.56</m:t>
                        </m:r>
                      </m:e>
                      <m:sup>
                        <m:r>
                          <m:rPr>
                            <m:lit/>
                            <m:nor/>
                          </m:rPr>
                          <w:rPr>
                            <w:rFonts w:ascii="Cambria Math" w:hAnsi="Cambria Math"/>
                          </w:rPr>
                          <m:t xml:space="preserve">*</m:t>
                        </m:r>
                      </m:sup>
                    </m:sSup>
                  </m:oMath>
                  <w:r>
                    <w:rPr/>
                    <w:t>​</w:t>
                  </w:r>
                </w:p>
              </w:tc>
              <w:tc>
                <w:tcPr>
                  <w:tcW w:w="1832" w:type="dxa"/>
                  <w:tcBorders>
                    <w:top w:val="nil"/>
                    <w:bottom w:val="nil"/>
                  </w:tcBorders>
                  <w:vAlign w:val="center"/>
                </w:tcPr>
                <w:p>
                  <w:pPr>
                    <w:pStyle w:val="Compact"/>
                    <w:spacing w:before="36" w:after="36"/>
                    <w:jc w:val="center"/>
                    <w:rPr/>
                  </w:pP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1.81</m:t>
                    </m:r>
                    <m:r>
                      <w:rPr>
                        <w:rFonts w:ascii="Cambria Math" w:hAnsi="Cambria Math"/>
                      </w:rPr>
                      <m:t xml:space="preserve">,</m:t>
                    </m:r>
                    <m:r>
                      <w:rPr>
                        <w:rFonts w:ascii="Cambria Math" w:hAnsi="Cambria Math"/>
                      </w:rPr>
                      <m:t xml:space="preserve">−</m:t>
                    </m:r>
                    <m:r>
                      <w:rPr>
                        <w:rFonts w:ascii="Cambria Math" w:hAnsi="Cambria Math"/>
                      </w:rPr>
                      <m:t xml:space="preserve">1.29</m:t>
                    </m:r>
                    <m:r>
                      <w:rPr>
                        <w:rFonts w:ascii="Cambria Math" w:hAnsi="Cambria Math"/>
                      </w:rPr>
                      <m:t xml:space="preserve">]</m:t>
                    </m:r>
                  </m:oMath>
                  <w:r>
                    <w:rPr/>
                    <w:t>​</w:t>
                  </w:r>
                </w:p>
              </w:tc>
              <w:tc>
                <w:tcPr>
                  <w:tcW w:w="1829" w:type="dxa"/>
                  <w:tcBorders>
                    <w:top w:val="nil"/>
                    <w:bottom w:val="nil"/>
                  </w:tcBorders>
                  <w:vAlign w:val="center"/>
                </w:tcPr>
                <w:p>
                  <w:pPr>
                    <w:pStyle w:val="Compact"/>
                    <w:spacing w:before="36" w:after="36"/>
                    <w:jc w:val="center"/>
                    <w:rPr/>
                  </w:pPr>
                  <w:r>
                    <w:rPr/>
                  </w:r>
                  <m:oMath xmlns:m="http://schemas.openxmlformats.org/officeDocument/2006/math">
                    <m:r>
                      <w:rPr>
                        <w:rFonts w:ascii="Cambria Math" w:hAnsi="Cambria Math"/>
                      </w:rPr>
                      <m:t xml:space="preserve">−</m:t>
                    </m:r>
                    <m:sSup>
                      <m:e>
                        <m:r>
                          <w:rPr>
                            <w:rFonts w:ascii="Cambria Math" w:hAnsi="Cambria Math"/>
                          </w:rPr>
                          <m:t xml:space="preserve">0.55</m:t>
                        </m:r>
                      </m:e>
                      <m:sup>
                        <m:r>
                          <m:rPr>
                            <m:lit/>
                            <m:nor/>
                          </m:rPr>
                          <w:rPr>
                            <w:rFonts w:ascii="Cambria Math" w:hAnsi="Cambria Math"/>
                          </w:rPr>
                          <m:t xml:space="preserve">*</m:t>
                        </m:r>
                      </m:sup>
                    </m:sSup>
                  </m:oMath>
                  <w:r>
                    <w:rPr/>
                    <w:t>​</w:t>
                  </w:r>
                </w:p>
              </w:tc>
              <w:tc>
                <w:tcPr>
                  <w:tcW w:w="1829" w:type="dxa"/>
                  <w:tcBorders>
                    <w:top w:val="nil"/>
                    <w:bottom w:val="nil"/>
                  </w:tcBorders>
                  <w:vAlign w:val="center"/>
                </w:tcPr>
                <w:p>
                  <w:pPr>
                    <w:pStyle w:val="Compact"/>
                    <w:spacing w:before="36" w:after="36"/>
                    <w:jc w:val="center"/>
                    <w:rPr/>
                  </w:pP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0.63</m:t>
                    </m:r>
                    <m:r>
                      <w:rPr>
                        <w:rFonts w:ascii="Cambria Math" w:hAnsi="Cambria Math"/>
                      </w:rPr>
                      <m:t xml:space="preserve">,</m:t>
                    </m:r>
                    <m:r>
                      <w:rPr>
                        <w:rFonts w:ascii="Cambria Math" w:hAnsi="Cambria Math"/>
                      </w:rPr>
                      <m:t xml:space="preserve">−</m:t>
                    </m:r>
                    <m:r>
                      <w:rPr>
                        <w:rFonts w:ascii="Cambria Math" w:hAnsi="Cambria Math"/>
                      </w:rPr>
                      <m:t xml:space="preserve">0.46</m:t>
                    </m:r>
                    <m:r>
                      <w:rPr>
                        <w:rFonts w:ascii="Cambria Math" w:hAnsi="Cambria Math"/>
                      </w:rPr>
                      <m:t xml:space="preserve">]</m:t>
                    </m:r>
                  </m:oMath>
                  <w:r>
                    <w:rPr/>
                    <w:t>​</w:t>
                  </w:r>
                </w:p>
              </w:tc>
            </w:tr>
            <w:tr>
              <w:trPr/>
              <w:tc>
                <w:tcPr>
                  <w:tcW w:w="1826" w:type="dxa"/>
                  <w:tcBorders>
                    <w:top w:val="nil"/>
                  </w:tcBorders>
                  <w:vAlign w:val="center"/>
                </w:tcPr>
                <w:p>
                  <w:pPr>
                    <w:pStyle w:val="Compact"/>
                    <w:spacing w:before="36" w:after="36"/>
                    <w:jc w:val="center"/>
                    <w:rPr/>
                  </w:pPr>
                  <w:r>
                    <w:rPr/>
                    <w:t>Ornith 1.0</w:t>
                  </w:r>
                </w:p>
              </w:tc>
              <w:tc>
                <w:tcPr>
                  <w:tcW w:w="1828" w:type="dxa"/>
                  <w:tcBorders>
                    <w:top w:val="nil"/>
                  </w:tcBorders>
                  <w:vAlign w:val="center"/>
                </w:tcPr>
                <w:p>
                  <w:pPr>
                    <w:pStyle w:val="Compact"/>
                    <w:spacing w:before="36" w:after="36"/>
                    <w:jc w:val="center"/>
                    <w:rPr/>
                  </w:pPr>
                  <w:r>
                    <w:rPr/>
                  </w:r>
                  <m:oMath xmlns:m="http://schemas.openxmlformats.org/officeDocument/2006/math">
                    <m:r>
                      <w:rPr>
                        <w:rFonts w:ascii="Cambria Math" w:hAnsi="Cambria Math"/>
                      </w:rPr>
                      <m:t xml:space="preserve">−</m:t>
                    </m:r>
                    <m:sSup>
                      <m:e>
                        <m:r>
                          <w:rPr>
                            <w:rFonts w:ascii="Cambria Math" w:hAnsi="Cambria Math"/>
                          </w:rPr>
                          <m:t xml:space="preserve">1.38</m:t>
                        </m:r>
                      </m:e>
                      <m:sup>
                        <m:r>
                          <m:rPr>
                            <m:lit/>
                            <m:nor/>
                          </m:rPr>
                          <w:rPr>
                            <w:rFonts w:ascii="Cambria Math" w:hAnsi="Cambria Math"/>
                          </w:rPr>
                          <m:t xml:space="preserve">*</m:t>
                        </m:r>
                      </m:sup>
                    </m:sSup>
                  </m:oMath>
                  <w:r>
                    <w:rPr/>
                    <w:t>​</w:t>
                  </w:r>
                </w:p>
              </w:tc>
              <w:tc>
                <w:tcPr>
                  <w:tcW w:w="1832" w:type="dxa"/>
                  <w:tcBorders>
                    <w:top w:val="nil"/>
                  </w:tcBorders>
                  <w:vAlign w:val="center"/>
                </w:tcPr>
                <w:p>
                  <w:pPr>
                    <w:pStyle w:val="Compact"/>
                    <w:spacing w:before="36" w:after="36"/>
                    <w:jc w:val="center"/>
                    <w:rPr/>
                  </w:pP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1.63</m:t>
                    </m:r>
                    <m:r>
                      <w:rPr>
                        <w:rFonts w:ascii="Cambria Math" w:hAnsi="Cambria Math"/>
                      </w:rPr>
                      <m:t xml:space="preserve">,</m:t>
                    </m:r>
                    <m:r>
                      <w:rPr>
                        <w:rFonts w:ascii="Cambria Math" w:hAnsi="Cambria Math"/>
                      </w:rPr>
                      <m:t xml:space="preserve">−</m:t>
                    </m:r>
                    <m:r>
                      <w:rPr>
                        <w:rFonts w:ascii="Cambria Math" w:hAnsi="Cambria Math"/>
                      </w:rPr>
                      <m:t xml:space="preserve">1.11</m:t>
                    </m:r>
                    <m:r>
                      <w:rPr>
                        <w:rFonts w:ascii="Cambria Math" w:hAnsi="Cambria Math"/>
                      </w:rPr>
                      <m:t xml:space="preserve">]</m:t>
                    </m:r>
                  </m:oMath>
                  <w:r>
                    <w:rPr/>
                    <w:t>​</w:t>
                  </w:r>
                </w:p>
              </w:tc>
              <w:tc>
                <w:tcPr>
                  <w:tcW w:w="1829" w:type="dxa"/>
                  <w:tcBorders>
                    <w:top w:val="nil"/>
                  </w:tcBorders>
                  <w:vAlign w:val="center"/>
                </w:tcPr>
                <w:p>
                  <w:pPr>
                    <w:pStyle w:val="Compact"/>
                    <w:spacing w:before="36" w:after="36"/>
                    <w:jc w:val="center"/>
                    <w:rPr/>
                  </w:pPr>
                  <w:r>
                    <w:rPr/>
                  </w:r>
                  <m:oMath xmlns:m="http://schemas.openxmlformats.org/officeDocument/2006/math">
                    <m:r>
                      <w:rPr>
                        <w:rFonts w:ascii="Cambria Math" w:hAnsi="Cambria Math"/>
                      </w:rPr>
                      <m:t xml:space="preserve">−</m:t>
                    </m:r>
                    <m:sSup>
                      <m:e>
                        <m:r>
                          <w:rPr>
                            <w:rFonts w:ascii="Cambria Math" w:hAnsi="Cambria Math"/>
                          </w:rPr>
                          <m:t xml:space="preserve">0.49</m:t>
                        </m:r>
                      </m:e>
                      <m:sup>
                        <m:r>
                          <m:rPr>
                            <m:lit/>
                            <m:nor/>
                          </m:rPr>
                          <w:rPr>
                            <w:rFonts w:ascii="Cambria Math" w:hAnsi="Cambria Math"/>
                          </w:rPr>
                          <m:t xml:space="preserve">*</m:t>
                        </m:r>
                      </m:sup>
                    </m:sSup>
                  </m:oMath>
                  <w:r>
                    <w:rPr/>
                    <w:t>​</w:t>
                  </w:r>
                </w:p>
              </w:tc>
              <w:tc>
                <w:tcPr>
                  <w:tcW w:w="1829" w:type="dxa"/>
                  <w:tcBorders>
                    <w:top w:val="nil"/>
                  </w:tcBorders>
                  <w:vAlign w:val="center"/>
                </w:tcPr>
                <w:p>
                  <w:pPr>
                    <w:pStyle w:val="Compact"/>
                    <w:spacing w:before="36" w:after="36"/>
                    <w:jc w:val="center"/>
                    <w:rPr/>
                  </w:pP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0.58</m:t>
                    </m:r>
                    <m:r>
                      <w:rPr>
                        <w:rFonts w:ascii="Cambria Math" w:hAnsi="Cambria Math"/>
                      </w:rPr>
                      <m:t xml:space="preserve">,</m:t>
                    </m:r>
                    <m:r>
                      <w:rPr>
                        <w:rFonts w:ascii="Cambria Math" w:hAnsi="Cambria Math"/>
                      </w:rPr>
                      <m:t xml:space="preserve">−</m:t>
                    </m:r>
                    <m:r>
                      <w:rPr>
                        <w:rFonts w:ascii="Cambria Math" w:hAnsi="Cambria Math"/>
                      </w:rPr>
                      <m:t xml:space="preserve">0.40</m:t>
                    </m:r>
                    <m:r>
                      <w:rPr>
                        <w:rFonts w:ascii="Cambria Math" w:hAnsi="Cambria Math"/>
                      </w:rPr>
                      <m:t xml:space="preserve">]</m:t>
                    </m:r>
                  </m:oMath>
                  <w:r>
                    <w:rPr/>
                    <w:t>​</w:t>
                  </w:r>
                  <w:bookmarkStart w:id="174" w:name="apptbl-judge-replication"/>
                  <w:bookmarkEnd w:id="174"/>
                </w:p>
              </w:tc>
            </w:tr>
          </w:tbl>
          <w:p>
            <w:pPr>
              <w:pStyle w:val="Normal"/>
              <w:spacing w:before="0" w:after="200"/>
              <w:jc w:val="left"/>
              <w:rPr>
                <w:sz w:val="24"/>
              </w:rPr>
            </w:pPr>
            <w:r>
              <w:rPr>
                <w:sz w:val="24"/>
              </w:rPr>
            </w:r>
          </w:p>
        </w:tc>
      </w:tr>
    </w:tbl>
    <w:p>
      <w:pPr>
        <w:pStyle w:val="BodyText"/>
        <w:rPr/>
      </w:pPr>
      <w:r>
        <w:rPr>
          <w:i/>
          <w:iCs/>
        </w:rPr>
        <w:t>Note.</w:t>
      </w:r>
      <w:r>
        <w:rPr/>
        <w:t xml:space="preserve"> Entries represent the size-weighted average contrast (</w:t>
      </w:r>
      <w:r>
        <w:rPr/>
      </w:r>
      <m:oMath xmlns:m="http://schemas.openxmlformats.org/officeDocument/2006/math">
        <m:r>
          <m:rPr>
            <m:lit/>
            <m:nor/>
          </m:rPr>
          <w:rPr>
            <w:rFonts w:ascii="Cambria Math" w:hAnsi="Cambria Math"/>
          </w:rPr>
          <m:t xml:space="preserve">Price</m:t>
        </m:r>
        <m:r>
          <w:rPr>
            <w:rFonts w:ascii="Cambria Math" w:hAnsi="Cambria Math"/>
          </w:rPr>
          <m:t xml:space="preserve">−</m:t>
        </m:r>
        <m:r>
          <m:rPr>
            <m:lit/>
            <m:nor/>
          </m:rPr>
          <w:rPr>
            <w:rFonts w:ascii="Cambria Math" w:hAnsi="Cambria Math"/>
          </w:rPr>
          <m:t xml:space="preserve">Price-per-weight</m:t>
        </m:r>
      </m:oMath>
      <w:r>
        <w:rPr/>
        <w:t xml:space="preserve">) in diagnostic attribute acquisitions (maximum = 6) and choice optimality probability across purchase volume levels for Gemini 3.1 Pro, holding purchase volume fixed. Confidence intervals are 95% equal-tailed percentile bootstrap intervals based on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000</m:t>
        </m:r>
      </m:oMath>
      <w:r>
        <w:rPr/>
        <w:t xml:space="preserve"> stratified resamples. Sessions classified as “other” are excluded.</w:t>
        <w:br/>
      </w:r>
      <w:r>
        <w:rPr/>
      </w:r>
      <m:oMath xmlns:m="http://schemas.openxmlformats.org/officeDocument/2006/math">
        <m:sSup>
          <m:e/>
          <m:sup>
            <m:r>
              <m:rPr>
                <m:lit/>
                <m:nor/>
              </m:rPr>
              <w:rPr>
                <w:rFonts w:ascii="Cambria Math" w:hAnsi="Cambria Math"/>
              </w:rPr>
              <m:t xml:space="preserve">*</m:t>
            </m:r>
          </m:sup>
        </m:sSup>
      </m:oMath>
      <w:r>
        <w:rPr/>
        <w:t xml:space="preserve"> 95% bootstrap confidence interval strictly excludes zero.</w:t>
      </w:r>
    </w:p>
    <w:p>
      <w:pPr>
        <w:pStyle w:val="BodyText"/>
        <w:rPr/>
      </w:pPr>
      <w:r>
        <w:rPr/>
        <w:t>Two technical boundary conditions apply to these findings. First, this experiment held acquisition fees at zero (</w:t>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0.00</m:t>
        </m:r>
      </m:oMath>
      <w:r>
        <w:rPr/>
        <w:t>) to isolate the implicit cost hypothesis. Whether purchase volume interacts with positive explicit fees remains unexamined. Second, reasoning trace extraction was confined to the Google Gemini family; whether identical semantic construal shifts emerge in reasoning LLMs from other providers (such as Anthropic) remains an open empirical question.</w:t>
      </w:r>
      <w:bookmarkEnd w:id="166"/>
      <w:bookmarkEnd w:id="172"/>
    </w:p>
    <w:p>
      <w:pPr>
        <w:pStyle w:val="Heading1"/>
        <w:rPr/>
      </w:pPr>
      <w:bookmarkStart w:id="175" w:name="sec-appendix-fixed-reveal"/>
      <w:r>
        <w:rPr/>
        <w:t>Web appendix I: Exogenously assigned information states</w:t>
      </w:r>
    </w:p>
    <w:p>
      <w:pPr>
        <w:pStyle w:val="Heading2"/>
        <w:rPr/>
      </w:pPr>
      <w:bookmarkStart w:id="176" w:name="motivation"/>
      <w:r>
        <w:rPr/>
        <w:t>Motivation</w:t>
      </w:r>
    </w:p>
    <w:p>
      <w:pPr>
        <w:pStyle w:val="FirstParagraph"/>
        <w:rPr/>
      </w:pPr>
      <w:r>
        <w:rPr/>
        <w:t>Tool-Lab records which cells an LLM inspected before choosing, and the mediations in both studies use that record to relate the composition of acquisition to the optimality of choice. The information state at the moment of choice is nonetheless produced by the LLM. An LLM that acquires few diagnostic cells may also evaluate the cells it holds differently, so the path from diagnostic acquisition to choice optimality is estimated over states that the LLM selected rather than over states assigned to it.</w:t>
      </w:r>
    </w:p>
    <w:p>
      <w:pPr>
        <w:pStyle w:val="BodyText"/>
        <w:rPr/>
      </w:pPr>
      <w:r>
        <w:rPr/>
        <w:t>This condition removes that dependence. The information state is fixed by design, identical for every session within a cell, and the LLM performs no acquisition at all. Two questions follow directly. First, whether the composition of a state predicts choice when the state is assigned rather than chosen. Second, whether LLMs holding the complete diagnostic set select the economically superior alternative, which is the assumption the acquisition account requires and which choice data from the main experiments cannot test.</w:t>
      </w:r>
      <w:bookmarkEnd w:id="176"/>
    </w:p>
    <w:p>
      <w:pPr>
        <w:pStyle w:val="Heading2"/>
        <w:rPr/>
      </w:pPr>
      <w:bookmarkStart w:id="177" w:name="experiment-design"/>
      <w:r>
        <w:rPr/>
        <w:t>Experiment design</w:t>
      </w:r>
    </w:p>
    <w:p>
      <w:pPr>
        <w:pStyle w:val="FirstParagraph"/>
        <w:rPr/>
      </w:pPr>
      <w:r>
        <w:rPr/>
        <w:t xml:space="preserve">The stimuli, the delegation framing, the five-bag purchase volume, and the </w:t>
      </w:r>
      <w:r>
        <w:rPr>
          <w:i/>
          <w:iCs/>
        </w:rPr>
        <w:t>submit_choice</w:t>
      </w:r>
      <w:r>
        <w:rPr/>
        <w:t xml:space="preserve"> schema are those of the corresponding Tool-Lab study. The Study 1 environment contains Coffee A ($4.99, 10 oz; 2.00 oz/$) and Coffee B ($5.00, 11 oz; 2.20 oz/$). The Study 2 environment contains Coffee C ($8.00 list, no discount, 8 oz; 1.00 oz/$), Coffee D ($15.00 list, 20% discount, 12 oz; 1.00 oz/$), and Coffee E ($10.00 list, no discount, 10.9 oz; 1.09 oz/$).</w:t>
      </w:r>
    </w:p>
    <w:p>
      <w:pPr>
        <w:pStyle w:val="BodyText"/>
        <w:rPr/>
      </w:pPr>
      <w:r>
        <w:rPr/>
        <w:t xml:space="preserve">Three features distinguish the procedure from Tool-Lab. The </w:t>
      </w:r>
      <w:r>
        <w:rPr>
          <w:i/>
          <w:iCs/>
        </w:rPr>
        <w:t>inspect_cell</w:t>
      </w:r>
      <w:r>
        <w:rPr/>
        <w:t xml:space="preserve"> tool is absent, so the only action available is submission. No acquisition cost is imposed or mentioned, since nothing is acquired. The revealed cells are supplied in the prompt in the JSON form the Tool-Lab environment returns, for example </w:t>
      </w:r>
      <w:r>
        <w:rPr>
          <w:i/>
          <w:iCs/>
        </w:rPr>
        <w:t>{“option_id”: “option_1”, “attribute_id”: “weight”, “result”: “11 oz”}</w:t>
      </w:r>
      <w:r>
        <w:rPr/>
        <w:t>, and the order of these payloads is randomized within session.</w:t>
      </w:r>
    </w:p>
    <w:p>
      <w:pPr>
        <w:pStyle w:val="BodyText"/>
        <w:rPr/>
      </w:pPr>
      <w:r>
        <w:rPr/>
        <w:t>The prompt continues to list every attribute in the environment, including those not revealed. An LLM therefore knows which attributes exist and which of them it has not been given, and chooses under acknowledged missingness rather than under an implied complete view. This is what makes the normative benchmark in Web Appendix C applicable: the correct choice at a reduced state is the one that maximizes expected value given the revealed cells and the empirical priors over the withheld ones.</w:t>
      </w:r>
    </w:p>
    <w:p>
      <w:pPr>
        <w:pStyle w:val="BodyText"/>
        <w:rPr/>
      </w:pPr>
      <w:r>
        <w:rPr/>
        <w:t>Nine states were run. Four use the Study 1 environment and vary whether the whole-dollar price is accompanied by a non-diagnostic attribute, by weight, or by both cents and weight. Five use the Study 2 environment and vary whether the list price is accompanied by a non-diagnostic attribute, by the discount percentage, by weight, or by both. Two pairs of states hold the number of revealed cells constant while varying which attributes occupy them: four cells in the Study 1 environment, and six cells in the Study 2 environment across three distinct compositions.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W30: Assigned information states</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1524"/>
              <w:gridCol w:w="1520"/>
              <w:gridCol w:w="1527"/>
              <w:gridCol w:w="1525"/>
              <w:gridCol w:w="1523"/>
              <w:gridCol w:w="1525"/>
            </w:tblGrid>
            <w:tr>
              <w:trPr>
                <w:tblHeader w:val="true"/>
              </w:trPr>
              <w:tc>
                <w:tcPr>
                  <w:tcW w:w="1524" w:type="dxa"/>
                  <w:tcBorders/>
                  <w:vAlign w:val="center"/>
                </w:tcPr>
                <w:p>
                  <w:pPr>
                    <w:pStyle w:val="Compact"/>
                    <w:spacing w:before="36" w:after="36"/>
                    <w:jc w:val="center"/>
                    <w:rPr>
                      <w:b w:val="false"/>
                    </w:rPr>
                  </w:pPr>
                  <w:r>
                    <w:rPr>
                      <w:b w:val="false"/>
                    </w:rPr>
                    <w:t>Environment</w:t>
                  </w:r>
                </w:p>
              </w:tc>
              <w:tc>
                <w:tcPr>
                  <w:tcW w:w="1520" w:type="dxa"/>
                  <w:tcBorders/>
                  <w:vAlign w:val="center"/>
                </w:tcPr>
                <w:p>
                  <w:pPr>
                    <w:pStyle w:val="Compact"/>
                    <w:spacing w:before="36" w:after="36"/>
                    <w:jc w:val="center"/>
                    <w:rPr>
                      <w:b w:val="false"/>
                    </w:rPr>
                  </w:pPr>
                  <w:r>
                    <w:rPr>
                      <w:b w:val="false"/>
                    </w:rPr>
                    <w:t>State</w:t>
                  </w:r>
                </w:p>
              </w:tc>
              <w:tc>
                <w:tcPr>
                  <w:tcW w:w="1527" w:type="dxa"/>
                  <w:tcBorders/>
                  <w:vAlign w:val="center"/>
                </w:tcPr>
                <w:p>
                  <w:pPr>
                    <w:pStyle w:val="Compact"/>
                    <w:spacing w:before="36" w:after="36"/>
                    <w:jc w:val="center"/>
                    <w:rPr>
                      <w:b w:val="false"/>
                    </w:rPr>
                  </w:pPr>
                  <w:r>
                    <w:rPr>
                      <w:b w:val="false"/>
                    </w:rPr>
                    <w:t>Revealed attributes</w:t>
                  </w:r>
                </w:p>
              </w:tc>
              <w:tc>
                <w:tcPr>
                  <w:tcW w:w="1525" w:type="dxa"/>
                  <w:tcBorders/>
                  <w:vAlign w:val="center"/>
                </w:tcPr>
                <w:p>
                  <w:pPr>
                    <w:pStyle w:val="Compact"/>
                    <w:spacing w:before="36" w:after="36"/>
                    <w:jc w:val="center"/>
                    <w:rPr>
                      <w:b w:val="false"/>
                    </w:rPr>
                  </w:pPr>
                  <w:r>
                    <w:rPr>
                      <w:b w:val="false"/>
                    </w:rPr>
                    <w:t>Cells</w:t>
                  </w:r>
                </w:p>
              </w:tc>
              <w:tc>
                <w:tcPr>
                  <w:tcW w:w="1523" w:type="dxa"/>
                  <w:tcBorders/>
                  <w:vAlign w:val="center"/>
                </w:tcPr>
                <w:p>
                  <w:pPr>
                    <w:pStyle w:val="Compact"/>
                    <w:spacing w:before="36" w:after="36"/>
                    <w:jc w:val="center"/>
                    <w:rPr>
                      <w:b w:val="false"/>
                    </w:rPr>
                  </w:pPr>
                  <w:r>
                    <w:rPr>
                      <w:b w:val="false"/>
                    </w:rPr>
                    <w:t>Diagnostic</w:t>
                  </w:r>
                </w:p>
              </w:tc>
              <w:tc>
                <w:tcPr>
                  <w:tcW w:w="1525" w:type="dxa"/>
                  <w:tcBorders/>
                  <w:vAlign w:val="center"/>
                </w:tcPr>
                <w:p>
                  <w:pPr>
                    <w:pStyle w:val="Compact"/>
                    <w:spacing w:before="36" w:after="36"/>
                    <w:jc w:val="center"/>
                    <w:rPr>
                      <w:b w:val="false"/>
                    </w:rPr>
                  </w:pPr>
                  <w:r>
                    <w:rPr>
                      <w:b w:val="false"/>
                    </w:rPr>
                    <w:t>Non-diagnostic</w:t>
                  </w:r>
                </w:p>
              </w:tc>
            </w:tr>
            <w:tr>
              <w:trPr/>
              <w:tc>
                <w:tcPr>
                  <w:tcW w:w="1524" w:type="dxa"/>
                  <w:tcBorders>
                    <w:top w:val="nil"/>
                    <w:bottom w:val="nil"/>
                  </w:tcBorders>
                  <w:vAlign w:val="center"/>
                </w:tcPr>
                <w:p>
                  <w:pPr>
                    <w:pStyle w:val="Compact"/>
                    <w:spacing w:before="36" w:after="36"/>
                    <w:jc w:val="center"/>
                    <w:rPr/>
                  </w:pPr>
                  <w:r>
                    <w:rPr/>
                    <w:t>Study 1</w:t>
                  </w:r>
                </w:p>
              </w:tc>
              <w:tc>
                <w:tcPr>
                  <w:tcW w:w="1520" w:type="dxa"/>
                  <w:tcBorders>
                    <w:top w:val="nil"/>
                    <w:bottom w:val="nil"/>
                  </w:tcBorders>
                  <w:vAlign w:val="center"/>
                </w:tcPr>
                <w:p>
                  <w:pPr>
                    <w:pStyle w:val="Compact"/>
                    <w:spacing w:before="36" w:after="36"/>
                    <w:jc w:val="center"/>
                    <w:rPr/>
                  </w:pPr>
                  <w:r>
                    <w:rPr/>
                    <w:t>$</w:t>
                  </w:r>
                </w:p>
              </w:tc>
              <w:tc>
                <w:tcPr>
                  <w:tcW w:w="1527" w:type="dxa"/>
                  <w:tcBorders>
                    <w:top w:val="nil"/>
                    <w:bottom w:val="nil"/>
                  </w:tcBorders>
                  <w:vAlign w:val="center"/>
                </w:tcPr>
                <w:p>
                  <w:pPr>
                    <w:pStyle w:val="Compact"/>
                    <w:spacing w:before="36" w:after="36"/>
                    <w:jc w:val="center"/>
                    <w:rPr/>
                  </w:pPr>
                  <w:r>
                    <w:rPr>
                      <w:i/>
                      <w:iCs/>
                    </w:rPr>
                    <w:t>price_dollars</w:t>
                  </w:r>
                </w:p>
              </w:tc>
              <w:tc>
                <w:tcPr>
                  <w:tcW w:w="1525" w:type="dxa"/>
                  <w:tcBorders>
                    <w:top w:val="nil"/>
                    <w:bottom w:val="nil"/>
                  </w:tcBorders>
                  <w:vAlign w:val="center"/>
                </w:tcPr>
                <w:p>
                  <w:pPr>
                    <w:pStyle w:val="Compact"/>
                    <w:spacing w:before="36" w:after="36"/>
                    <w:jc w:val="center"/>
                    <w:rPr/>
                  </w:pPr>
                  <w:r>
                    <w:rPr/>
                    <w:t>2</w:t>
                  </w:r>
                </w:p>
              </w:tc>
              <w:tc>
                <w:tcPr>
                  <w:tcW w:w="1523" w:type="dxa"/>
                  <w:tcBorders>
                    <w:top w:val="nil"/>
                    <w:bottom w:val="nil"/>
                  </w:tcBorders>
                  <w:vAlign w:val="center"/>
                </w:tcPr>
                <w:p>
                  <w:pPr>
                    <w:pStyle w:val="Compact"/>
                    <w:spacing w:before="36" w:after="36"/>
                    <w:jc w:val="center"/>
                    <w:rPr/>
                  </w:pPr>
                  <w:r>
                    <w:rPr/>
                    <w:t>2</w:t>
                  </w:r>
                </w:p>
              </w:tc>
              <w:tc>
                <w:tcPr>
                  <w:tcW w:w="1525" w:type="dxa"/>
                  <w:tcBorders>
                    <w:top w:val="nil"/>
                    <w:bottom w:val="nil"/>
                  </w:tcBorders>
                  <w:vAlign w:val="center"/>
                </w:tcPr>
                <w:p>
                  <w:pPr>
                    <w:pStyle w:val="Compact"/>
                    <w:spacing w:before="36" w:after="36"/>
                    <w:jc w:val="center"/>
                    <w:rPr/>
                  </w:pPr>
                  <w:r>
                    <w:rPr/>
                    <w:t>0</w:t>
                  </w:r>
                </w:p>
              </w:tc>
            </w:tr>
            <w:tr>
              <w:trPr/>
              <w:tc>
                <w:tcPr>
                  <w:tcW w:w="1524" w:type="dxa"/>
                  <w:tcBorders>
                    <w:top w:val="nil"/>
                    <w:bottom w:val="nil"/>
                  </w:tcBorders>
                  <w:vAlign w:val="center"/>
                </w:tcPr>
                <w:p>
                  <w:pPr>
                    <w:pStyle w:val="Compact"/>
                    <w:spacing w:before="36" w:after="36"/>
                    <w:jc w:val="center"/>
                    <w:rPr/>
                  </w:pPr>
                  <w:r>
                    <w:rPr/>
                    <w:t>Study 1</w:t>
                  </w:r>
                </w:p>
              </w:tc>
              <w:tc>
                <w:tcPr>
                  <w:tcW w:w="1520" w:type="dxa"/>
                  <w:tcBorders>
                    <w:top w:val="nil"/>
                    <w:bottom w:val="nil"/>
                  </w:tcBorders>
                  <w:vAlign w:val="center"/>
                </w:tcPr>
                <w:p>
                  <w:pPr>
                    <w:pStyle w:val="Compact"/>
                    <w:spacing w:before="36" w:after="36"/>
                    <w:jc w:val="center"/>
                    <w:rPr/>
                  </w:pPr>
                  <w:r>
                    <w:rPr/>
                    <w:t>$+roast</w:t>
                  </w:r>
                </w:p>
              </w:tc>
              <w:tc>
                <w:tcPr>
                  <w:tcW w:w="1527" w:type="dxa"/>
                  <w:tcBorders>
                    <w:top w:val="nil"/>
                    <w:bottom w:val="nil"/>
                  </w:tcBorders>
                  <w:vAlign w:val="center"/>
                </w:tcPr>
                <w:p>
                  <w:pPr>
                    <w:pStyle w:val="Compact"/>
                    <w:spacing w:before="36" w:after="36"/>
                    <w:jc w:val="center"/>
                    <w:rPr/>
                  </w:pPr>
                  <w:r>
                    <w:rPr>
                      <w:i/>
                      <w:iCs/>
                    </w:rPr>
                    <w:t>price_dollars</w:t>
                  </w:r>
                  <w:r>
                    <w:rPr/>
                    <w:t xml:space="preserve">, </w:t>
                  </w:r>
                  <w:r>
                    <w:rPr>
                      <w:i/>
                      <w:iCs/>
                    </w:rPr>
                    <w:t>roast_date</w:t>
                  </w:r>
                </w:p>
              </w:tc>
              <w:tc>
                <w:tcPr>
                  <w:tcW w:w="1525" w:type="dxa"/>
                  <w:tcBorders>
                    <w:top w:val="nil"/>
                    <w:bottom w:val="nil"/>
                  </w:tcBorders>
                  <w:vAlign w:val="center"/>
                </w:tcPr>
                <w:p>
                  <w:pPr>
                    <w:pStyle w:val="Compact"/>
                    <w:spacing w:before="36" w:after="36"/>
                    <w:jc w:val="center"/>
                    <w:rPr/>
                  </w:pPr>
                  <w:r>
                    <w:rPr/>
                    <w:t>4</w:t>
                  </w:r>
                </w:p>
              </w:tc>
              <w:tc>
                <w:tcPr>
                  <w:tcW w:w="1523" w:type="dxa"/>
                  <w:tcBorders>
                    <w:top w:val="nil"/>
                    <w:bottom w:val="nil"/>
                  </w:tcBorders>
                  <w:vAlign w:val="center"/>
                </w:tcPr>
                <w:p>
                  <w:pPr>
                    <w:pStyle w:val="Compact"/>
                    <w:spacing w:before="36" w:after="36"/>
                    <w:jc w:val="center"/>
                    <w:rPr/>
                  </w:pPr>
                  <w:r>
                    <w:rPr/>
                    <w:t>2</w:t>
                  </w:r>
                </w:p>
              </w:tc>
              <w:tc>
                <w:tcPr>
                  <w:tcW w:w="1525" w:type="dxa"/>
                  <w:tcBorders>
                    <w:top w:val="nil"/>
                    <w:bottom w:val="nil"/>
                  </w:tcBorders>
                  <w:vAlign w:val="center"/>
                </w:tcPr>
                <w:p>
                  <w:pPr>
                    <w:pStyle w:val="Compact"/>
                    <w:spacing w:before="36" w:after="36"/>
                    <w:jc w:val="center"/>
                    <w:rPr/>
                  </w:pPr>
                  <w:r>
                    <w:rPr/>
                    <w:t>2</w:t>
                  </w:r>
                </w:p>
              </w:tc>
            </w:tr>
            <w:tr>
              <w:trPr/>
              <w:tc>
                <w:tcPr>
                  <w:tcW w:w="1524" w:type="dxa"/>
                  <w:tcBorders>
                    <w:top w:val="nil"/>
                    <w:bottom w:val="nil"/>
                  </w:tcBorders>
                  <w:vAlign w:val="center"/>
                </w:tcPr>
                <w:p>
                  <w:pPr>
                    <w:pStyle w:val="Compact"/>
                    <w:spacing w:before="36" w:after="36"/>
                    <w:jc w:val="center"/>
                    <w:rPr/>
                  </w:pPr>
                  <w:r>
                    <w:rPr/>
                    <w:t>Study 1</w:t>
                  </w:r>
                </w:p>
              </w:tc>
              <w:tc>
                <w:tcPr>
                  <w:tcW w:w="1520" w:type="dxa"/>
                  <w:tcBorders>
                    <w:top w:val="nil"/>
                    <w:bottom w:val="nil"/>
                  </w:tcBorders>
                  <w:vAlign w:val="center"/>
                </w:tcPr>
                <w:p>
                  <w:pPr>
                    <w:pStyle w:val="Compact"/>
                    <w:spacing w:before="36" w:after="36"/>
                    <w:jc w:val="center"/>
                    <w:rPr/>
                  </w:pPr>
                  <w:r>
                    <w:rPr/>
                    <w:t>$+oz</w:t>
                  </w:r>
                </w:p>
              </w:tc>
              <w:tc>
                <w:tcPr>
                  <w:tcW w:w="1527" w:type="dxa"/>
                  <w:tcBorders>
                    <w:top w:val="nil"/>
                    <w:bottom w:val="nil"/>
                  </w:tcBorders>
                  <w:vAlign w:val="center"/>
                </w:tcPr>
                <w:p>
                  <w:pPr>
                    <w:pStyle w:val="Compact"/>
                    <w:spacing w:before="36" w:after="36"/>
                    <w:jc w:val="center"/>
                    <w:rPr/>
                  </w:pPr>
                  <w:r>
                    <w:rPr>
                      <w:i/>
                      <w:iCs/>
                    </w:rPr>
                    <w:t>price_dollars</w:t>
                  </w:r>
                  <w:r>
                    <w:rPr/>
                    <w:t xml:space="preserve">, </w:t>
                  </w:r>
                  <w:r>
                    <w:rPr>
                      <w:i/>
                      <w:iCs/>
                    </w:rPr>
                    <w:t>weight</w:t>
                  </w:r>
                </w:p>
              </w:tc>
              <w:tc>
                <w:tcPr>
                  <w:tcW w:w="1525" w:type="dxa"/>
                  <w:tcBorders>
                    <w:top w:val="nil"/>
                    <w:bottom w:val="nil"/>
                  </w:tcBorders>
                  <w:vAlign w:val="center"/>
                </w:tcPr>
                <w:p>
                  <w:pPr>
                    <w:pStyle w:val="Compact"/>
                    <w:spacing w:before="36" w:after="36"/>
                    <w:jc w:val="center"/>
                    <w:rPr/>
                  </w:pPr>
                  <w:r>
                    <w:rPr/>
                    <w:t>4</w:t>
                  </w:r>
                </w:p>
              </w:tc>
              <w:tc>
                <w:tcPr>
                  <w:tcW w:w="1523" w:type="dxa"/>
                  <w:tcBorders>
                    <w:top w:val="nil"/>
                    <w:bottom w:val="nil"/>
                  </w:tcBorders>
                  <w:vAlign w:val="center"/>
                </w:tcPr>
                <w:p>
                  <w:pPr>
                    <w:pStyle w:val="Compact"/>
                    <w:spacing w:before="36" w:after="36"/>
                    <w:jc w:val="center"/>
                    <w:rPr/>
                  </w:pPr>
                  <w:r>
                    <w:rPr/>
                    <w:t>4</w:t>
                  </w:r>
                </w:p>
              </w:tc>
              <w:tc>
                <w:tcPr>
                  <w:tcW w:w="1525" w:type="dxa"/>
                  <w:tcBorders>
                    <w:top w:val="nil"/>
                    <w:bottom w:val="nil"/>
                  </w:tcBorders>
                  <w:vAlign w:val="center"/>
                </w:tcPr>
                <w:p>
                  <w:pPr>
                    <w:pStyle w:val="Compact"/>
                    <w:spacing w:before="36" w:after="36"/>
                    <w:jc w:val="center"/>
                    <w:rPr/>
                  </w:pPr>
                  <w:r>
                    <w:rPr/>
                    <w:t>0</w:t>
                  </w:r>
                </w:p>
              </w:tc>
            </w:tr>
            <w:tr>
              <w:trPr/>
              <w:tc>
                <w:tcPr>
                  <w:tcW w:w="1524" w:type="dxa"/>
                  <w:tcBorders>
                    <w:top w:val="nil"/>
                    <w:bottom w:val="nil"/>
                  </w:tcBorders>
                  <w:vAlign w:val="center"/>
                </w:tcPr>
                <w:p>
                  <w:pPr>
                    <w:pStyle w:val="Compact"/>
                    <w:spacing w:before="36" w:after="36"/>
                    <w:jc w:val="center"/>
                    <w:rPr/>
                  </w:pPr>
                  <w:r>
                    <w:rPr/>
                    <w:t>Study 1</w:t>
                  </w:r>
                </w:p>
              </w:tc>
              <w:tc>
                <w:tcPr>
                  <w:tcW w:w="1520" w:type="dxa"/>
                  <w:tcBorders>
                    <w:top w:val="nil"/>
                    <w:bottom w:val="nil"/>
                  </w:tcBorders>
                  <w:vAlign w:val="center"/>
                </w:tcPr>
                <w:p>
                  <w:pPr>
                    <w:pStyle w:val="Compact"/>
                    <w:spacing w:before="36" w:after="36"/>
                    <w:jc w:val="center"/>
                    <w:rPr/>
                  </w:pPr>
                  <w:r>
                    <w:rPr/>
                    <w:t>$+¢+oz</w:t>
                  </w:r>
                </w:p>
              </w:tc>
              <w:tc>
                <w:tcPr>
                  <w:tcW w:w="1527" w:type="dxa"/>
                  <w:tcBorders>
                    <w:top w:val="nil"/>
                    <w:bottom w:val="nil"/>
                  </w:tcBorders>
                  <w:vAlign w:val="center"/>
                </w:tcPr>
                <w:p>
                  <w:pPr>
                    <w:pStyle w:val="Compact"/>
                    <w:spacing w:before="36" w:after="36"/>
                    <w:jc w:val="center"/>
                    <w:rPr/>
                  </w:pPr>
                  <w:r>
                    <w:rPr>
                      <w:i/>
                      <w:iCs/>
                    </w:rPr>
                    <w:t>price_dollars</w:t>
                  </w:r>
                  <w:r>
                    <w:rPr/>
                    <w:t xml:space="preserve">, </w:t>
                  </w:r>
                  <w:r>
                    <w:rPr>
                      <w:i/>
                      <w:iCs/>
                    </w:rPr>
                    <w:t>price_cents</w:t>
                  </w:r>
                  <w:r>
                    <w:rPr/>
                    <w:t xml:space="preserve">, </w:t>
                  </w:r>
                  <w:r>
                    <w:rPr>
                      <w:i/>
                      <w:iCs/>
                    </w:rPr>
                    <w:t>weight</w:t>
                  </w:r>
                </w:p>
              </w:tc>
              <w:tc>
                <w:tcPr>
                  <w:tcW w:w="1525" w:type="dxa"/>
                  <w:tcBorders>
                    <w:top w:val="nil"/>
                    <w:bottom w:val="nil"/>
                  </w:tcBorders>
                  <w:vAlign w:val="center"/>
                </w:tcPr>
                <w:p>
                  <w:pPr>
                    <w:pStyle w:val="Compact"/>
                    <w:spacing w:before="36" w:after="36"/>
                    <w:jc w:val="center"/>
                    <w:rPr/>
                  </w:pPr>
                  <w:r>
                    <w:rPr/>
                    <w:t>6</w:t>
                  </w:r>
                </w:p>
              </w:tc>
              <w:tc>
                <w:tcPr>
                  <w:tcW w:w="1523" w:type="dxa"/>
                  <w:tcBorders>
                    <w:top w:val="nil"/>
                    <w:bottom w:val="nil"/>
                  </w:tcBorders>
                  <w:vAlign w:val="center"/>
                </w:tcPr>
                <w:p>
                  <w:pPr>
                    <w:pStyle w:val="Compact"/>
                    <w:spacing w:before="36" w:after="36"/>
                    <w:jc w:val="center"/>
                    <w:rPr/>
                  </w:pPr>
                  <w:r>
                    <w:rPr/>
                    <w:t>6</w:t>
                  </w:r>
                </w:p>
              </w:tc>
              <w:tc>
                <w:tcPr>
                  <w:tcW w:w="1525" w:type="dxa"/>
                  <w:tcBorders>
                    <w:top w:val="nil"/>
                    <w:bottom w:val="nil"/>
                  </w:tcBorders>
                  <w:vAlign w:val="center"/>
                </w:tcPr>
                <w:p>
                  <w:pPr>
                    <w:pStyle w:val="Compact"/>
                    <w:spacing w:before="36" w:after="36"/>
                    <w:jc w:val="center"/>
                    <w:rPr/>
                  </w:pPr>
                  <w:r>
                    <w:rPr/>
                    <w:t>0</w:t>
                  </w:r>
                </w:p>
              </w:tc>
            </w:tr>
            <w:tr>
              <w:trPr/>
              <w:tc>
                <w:tcPr>
                  <w:tcW w:w="1524" w:type="dxa"/>
                  <w:tcBorders>
                    <w:top w:val="nil"/>
                    <w:bottom w:val="nil"/>
                  </w:tcBorders>
                  <w:vAlign w:val="center"/>
                </w:tcPr>
                <w:p>
                  <w:pPr>
                    <w:pStyle w:val="Compact"/>
                    <w:spacing w:before="36" w:after="36"/>
                    <w:jc w:val="center"/>
                    <w:rPr/>
                  </w:pPr>
                  <w:r>
                    <w:rPr/>
                    <w:t>Study 2</w:t>
                  </w:r>
                </w:p>
              </w:tc>
              <w:tc>
                <w:tcPr>
                  <w:tcW w:w="1520" w:type="dxa"/>
                  <w:tcBorders>
                    <w:top w:val="nil"/>
                    <w:bottom w:val="nil"/>
                  </w:tcBorders>
                  <w:vAlign w:val="center"/>
                </w:tcPr>
                <w:p>
                  <w:pPr>
                    <w:pStyle w:val="Compact"/>
                    <w:spacing w:before="36" w:after="36"/>
                    <w:jc w:val="center"/>
                    <w:rPr/>
                  </w:pPr>
                  <w:r>
                    <w:rPr/>
                    <w:t>LP</w:t>
                  </w:r>
                </w:p>
              </w:tc>
              <w:tc>
                <w:tcPr>
                  <w:tcW w:w="1527" w:type="dxa"/>
                  <w:tcBorders>
                    <w:top w:val="nil"/>
                    <w:bottom w:val="nil"/>
                  </w:tcBorders>
                  <w:vAlign w:val="center"/>
                </w:tcPr>
                <w:p>
                  <w:pPr>
                    <w:pStyle w:val="Compact"/>
                    <w:spacing w:before="36" w:after="36"/>
                    <w:jc w:val="center"/>
                    <w:rPr/>
                  </w:pPr>
                  <w:r>
                    <w:rPr>
                      <w:i/>
                      <w:iCs/>
                    </w:rPr>
                    <w:t>list_price</w:t>
                  </w:r>
                </w:p>
              </w:tc>
              <w:tc>
                <w:tcPr>
                  <w:tcW w:w="1525" w:type="dxa"/>
                  <w:tcBorders>
                    <w:top w:val="nil"/>
                    <w:bottom w:val="nil"/>
                  </w:tcBorders>
                  <w:vAlign w:val="center"/>
                </w:tcPr>
                <w:p>
                  <w:pPr>
                    <w:pStyle w:val="Compact"/>
                    <w:spacing w:before="36" w:after="36"/>
                    <w:jc w:val="center"/>
                    <w:rPr/>
                  </w:pPr>
                  <w:r>
                    <w:rPr/>
                    <w:t>3</w:t>
                  </w:r>
                </w:p>
              </w:tc>
              <w:tc>
                <w:tcPr>
                  <w:tcW w:w="1523" w:type="dxa"/>
                  <w:tcBorders>
                    <w:top w:val="nil"/>
                    <w:bottom w:val="nil"/>
                  </w:tcBorders>
                  <w:vAlign w:val="center"/>
                </w:tcPr>
                <w:p>
                  <w:pPr>
                    <w:pStyle w:val="Compact"/>
                    <w:spacing w:before="36" w:after="36"/>
                    <w:jc w:val="center"/>
                    <w:rPr/>
                  </w:pPr>
                  <w:r>
                    <w:rPr/>
                    <w:t>3</w:t>
                  </w:r>
                </w:p>
              </w:tc>
              <w:tc>
                <w:tcPr>
                  <w:tcW w:w="1525" w:type="dxa"/>
                  <w:tcBorders>
                    <w:top w:val="nil"/>
                    <w:bottom w:val="nil"/>
                  </w:tcBorders>
                  <w:vAlign w:val="center"/>
                </w:tcPr>
                <w:p>
                  <w:pPr>
                    <w:pStyle w:val="Compact"/>
                    <w:spacing w:before="36" w:after="36"/>
                    <w:jc w:val="center"/>
                    <w:rPr/>
                  </w:pPr>
                  <w:r>
                    <w:rPr/>
                    <w:t>0</w:t>
                  </w:r>
                </w:p>
              </w:tc>
            </w:tr>
            <w:tr>
              <w:trPr/>
              <w:tc>
                <w:tcPr>
                  <w:tcW w:w="1524" w:type="dxa"/>
                  <w:tcBorders>
                    <w:top w:val="nil"/>
                    <w:bottom w:val="nil"/>
                  </w:tcBorders>
                  <w:vAlign w:val="center"/>
                </w:tcPr>
                <w:p>
                  <w:pPr>
                    <w:pStyle w:val="Compact"/>
                    <w:spacing w:before="36" w:after="36"/>
                    <w:jc w:val="center"/>
                    <w:rPr/>
                  </w:pPr>
                  <w:r>
                    <w:rPr/>
                    <w:t>Study 2</w:t>
                  </w:r>
                </w:p>
              </w:tc>
              <w:tc>
                <w:tcPr>
                  <w:tcW w:w="1520" w:type="dxa"/>
                  <w:tcBorders>
                    <w:top w:val="nil"/>
                    <w:bottom w:val="nil"/>
                  </w:tcBorders>
                  <w:vAlign w:val="center"/>
                </w:tcPr>
                <w:p>
                  <w:pPr>
                    <w:pStyle w:val="Compact"/>
                    <w:spacing w:before="36" w:after="36"/>
                    <w:jc w:val="center"/>
                    <w:rPr/>
                  </w:pPr>
                  <w:r>
                    <w:rPr/>
                    <w:t>LP+roast</w:t>
                  </w:r>
                </w:p>
              </w:tc>
              <w:tc>
                <w:tcPr>
                  <w:tcW w:w="1527" w:type="dxa"/>
                  <w:tcBorders>
                    <w:top w:val="nil"/>
                    <w:bottom w:val="nil"/>
                  </w:tcBorders>
                  <w:vAlign w:val="center"/>
                </w:tcPr>
                <w:p>
                  <w:pPr>
                    <w:pStyle w:val="Compact"/>
                    <w:spacing w:before="36" w:after="36"/>
                    <w:jc w:val="center"/>
                    <w:rPr/>
                  </w:pPr>
                  <w:r>
                    <w:rPr>
                      <w:i/>
                      <w:iCs/>
                    </w:rPr>
                    <w:t>list_price</w:t>
                  </w:r>
                  <w:r>
                    <w:rPr/>
                    <w:t xml:space="preserve">, </w:t>
                  </w:r>
                  <w:r>
                    <w:rPr>
                      <w:i/>
                      <w:iCs/>
                    </w:rPr>
                    <w:t>roast_date</w:t>
                  </w:r>
                </w:p>
              </w:tc>
              <w:tc>
                <w:tcPr>
                  <w:tcW w:w="1525" w:type="dxa"/>
                  <w:tcBorders>
                    <w:top w:val="nil"/>
                    <w:bottom w:val="nil"/>
                  </w:tcBorders>
                  <w:vAlign w:val="center"/>
                </w:tcPr>
                <w:p>
                  <w:pPr>
                    <w:pStyle w:val="Compact"/>
                    <w:spacing w:before="36" w:after="36"/>
                    <w:jc w:val="center"/>
                    <w:rPr/>
                  </w:pPr>
                  <w:r>
                    <w:rPr/>
                    <w:t>6</w:t>
                  </w:r>
                </w:p>
              </w:tc>
              <w:tc>
                <w:tcPr>
                  <w:tcW w:w="1523" w:type="dxa"/>
                  <w:tcBorders>
                    <w:top w:val="nil"/>
                    <w:bottom w:val="nil"/>
                  </w:tcBorders>
                  <w:vAlign w:val="center"/>
                </w:tcPr>
                <w:p>
                  <w:pPr>
                    <w:pStyle w:val="Compact"/>
                    <w:spacing w:before="36" w:after="36"/>
                    <w:jc w:val="center"/>
                    <w:rPr/>
                  </w:pPr>
                  <w:r>
                    <w:rPr/>
                    <w:t>3</w:t>
                  </w:r>
                </w:p>
              </w:tc>
              <w:tc>
                <w:tcPr>
                  <w:tcW w:w="1525" w:type="dxa"/>
                  <w:tcBorders>
                    <w:top w:val="nil"/>
                    <w:bottom w:val="nil"/>
                  </w:tcBorders>
                  <w:vAlign w:val="center"/>
                </w:tcPr>
                <w:p>
                  <w:pPr>
                    <w:pStyle w:val="Compact"/>
                    <w:spacing w:before="36" w:after="36"/>
                    <w:jc w:val="center"/>
                    <w:rPr/>
                  </w:pPr>
                  <w:r>
                    <w:rPr/>
                    <w:t>3</w:t>
                  </w:r>
                </w:p>
              </w:tc>
            </w:tr>
            <w:tr>
              <w:trPr/>
              <w:tc>
                <w:tcPr>
                  <w:tcW w:w="1524" w:type="dxa"/>
                  <w:tcBorders>
                    <w:top w:val="nil"/>
                    <w:bottom w:val="nil"/>
                  </w:tcBorders>
                  <w:vAlign w:val="center"/>
                </w:tcPr>
                <w:p>
                  <w:pPr>
                    <w:pStyle w:val="Compact"/>
                    <w:spacing w:before="36" w:after="36"/>
                    <w:jc w:val="center"/>
                    <w:rPr/>
                  </w:pPr>
                  <w:r>
                    <w:rPr/>
                    <w:t>Study 2</w:t>
                  </w:r>
                </w:p>
              </w:tc>
              <w:tc>
                <w:tcPr>
                  <w:tcW w:w="1520" w:type="dxa"/>
                  <w:tcBorders>
                    <w:top w:val="nil"/>
                    <w:bottom w:val="nil"/>
                  </w:tcBorders>
                  <w:vAlign w:val="center"/>
                </w:tcPr>
                <w:p>
                  <w:pPr>
                    <w:pStyle w:val="Compact"/>
                    <w:spacing w:before="36" w:after="36"/>
                    <w:jc w:val="center"/>
                    <w:rPr/>
                  </w:pPr>
                  <w:r>
                    <w:rPr/>
                    <w:t>LP+%</w:t>
                  </w:r>
                </w:p>
              </w:tc>
              <w:tc>
                <w:tcPr>
                  <w:tcW w:w="1527" w:type="dxa"/>
                  <w:tcBorders>
                    <w:top w:val="nil"/>
                    <w:bottom w:val="nil"/>
                  </w:tcBorders>
                  <w:vAlign w:val="center"/>
                </w:tcPr>
                <w:p>
                  <w:pPr>
                    <w:pStyle w:val="Compact"/>
                    <w:spacing w:before="36" w:after="36"/>
                    <w:jc w:val="center"/>
                    <w:rPr/>
                  </w:pPr>
                  <w:r>
                    <w:rPr>
                      <w:i/>
                      <w:iCs/>
                    </w:rPr>
                    <w:t>list_price</w:t>
                  </w:r>
                  <w:r>
                    <w:rPr/>
                    <w:t xml:space="preserve">, </w:t>
                  </w:r>
                  <w:r>
                    <w:rPr>
                      <w:i/>
                      <w:iCs/>
                    </w:rPr>
                    <w:t>discount_percentage</w:t>
                  </w:r>
                </w:p>
              </w:tc>
              <w:tc>
                <w:tcPr>
                  <w:tcW w:w="1525" w:type="dxa"/>
                  <w:tcBorders>
                    <w:top w:val="nil"/>
                    <w:bottom w:val="nil"/>
                  </w:tcBorders>
                  <w:vAlign w:val="center"/>
                </w:tcPr>
                <w:p>
                  <w:pPr>
                    <w:pStyle w:val="Compact"/>
                    <w:spacing w:before="36" w:after="36"/>
                    <w:jc w:val="center"/>
                    <w:rPr/>
                  </w:pPr>
                  <w:r>
                    <w:rPr/>
                    <w:t>6</w:t>
                  </w:r>
                </w:p>
              </w:tc>
              <w:tc>
                <w:tcPr>
                  <w:tcW w:w="1523" w:type="dxa"/>
                  <w:tcBorders>
                    <w:top w:val="nil"/>
                    <w:bottom w:val="nil"/>
                  </w:tcBorders>
                  <w:vAlign w:val="center"/>
                </w:tcPr>
                <w:p>
                  <w:pPr>
                    <w:pStyle w:val="Compact"/>
                    <w:spacing w:before="36" w:after="36"/>
                    <w:jc w:val="center"/>
                    <w:rPr/>
                  </w:pPr>
                  <w:r>
                    <w:rPr/>
                    <w:t>6</w:t>
                  </w:r>
                </w:p>
              </w:tc>
              <w:tc>
                <w:tcPr>
                  <w:tcW w:w="1525" w:type="dxa"/>
                  <w:tcBorders>
                    <w:top w:val="nil"/>
                    <w:bottom w:val="nil"/>
                  </w:tcBorders>
                  <w:vAlign w:val="center"/>
                </w:tcPr>
                <w:p>
                  <w:pPr>
                    <w:pStyle w:val="Compact"/>
                    <w:spacing w:before="36" w:after="36"/>
                    <w:jc w:val="center"/>
                    <w:rPr/>
                  </w:pPr>
                  <w:r>
                    <w:rPr/>
                    <w:t>0</w:t>
                  </w:r>
                </w:p>
              </w:tc>
            </w:tr>
            <w:tr>
              <w:trPr/>
              <w:tc>
                <w:tcPr>
                  <w:tcW w:w="1524" w:type="dxa"/>
                  <w:tcBorders>
                    <w:top w:val="nil"/>
                    <w:bottom w:val="nil"/>
                  </w:tcBorders>
                  <w:vAlign w:val="center"/>
                </w:tcPr>
                <w:p>
                  <w:pPr>
                    <w:pStyle w:val="Compact"/>
                    <w:spacing w:before="36" w:after="36"/>
                    <w:jc w:val="center"/>
                    <w:rPr/>
                  </w:pPr>
                  <w:r>
                    <w:rPr/>
                    <w:t>Study 2</w:t>
                  </w:r>
                </w:p>
              </w:tc>
              <w:tc>
                <w:tcPr>
                  <w:tcW w:w="1520" w:type="dxa"/>
                  <w:tcBorders>
                    <w:top w:val="nil"/>
                    <w:bottom w:val="nil"/>
                  </w:tcBorders>
                  <w:vAlign w:val="center"/>
                </w:tcPr>
                <w:p>
                  <w:pPr>
                    <w:pStyle w:val="Compact"/>
                    <w:spacing w:before="36" w:after="36"/>
                    <w:jc w:val="center"/>
                    <w:rPr/>
                  </w:pPr>
                  <w:r>
                    <w:rPr/>
                    <w:t>LP+oz</w:t>
                  </w:r>
                </w:p>
              </w:tc>
              <w:tc>
                <w:tcPr>
                  <w:tcW w:w="1527" w:type="dxa"/>
                  <w:tcBorders>
                    <w:top w:val="nil"/>
                    <w:bottom w:val="nil"/>
                  </w:tcBorders>
                  <w:vAlign w:val="center"/>
                </w:tcPr>
                <w:p>
                  <w:pPr>
                    <w:pStyle w:val="Compact"/>
                    <w:spacing w:before="36" w:after="36"/>
                    <w:jc w:val="center"/>
                    <w:rPr/>
                  </w:pPr>
                  <w:r>
                    <w:rPr>
                      <w:i/>
                      <w:iCs/>
                    </w:rPr>
                    <w:t>list_price</w:t>
                  </w:r>
                  <w:r>
                    <w:rPr/>
                    <w:t xml:space="preserve">, </w:t>
                  </w:r>
                  <w:r>
                    <w:rPr>
                      <w:i/>
                      <w:iCs/>
                    </w:rPr>
                    <w:t>weight</w:t>
                  </w:r>
                </w:p>
              </w:tc>
              <w:tc>
                <w:tcPr>
                  <w:tcW w:w="1525" w:type="dxa"/>
                  <w:tcBorders>
                    <w:top w:val="nil"/>
                    <w:bottom w:val="nil"/>
                  </w:tcBorders>
                  <w:vAlign w:val="center"/>
                </w:tcPr>
                <w:p>
                  <w:pPr>
                    <w:pStyle w:val="Compact"/>
                    <w:spacing w:before="36" w:after="36"/>
                    <w:jc w:val="center"/>
                    <w:rPr/>
                  </w:pPr>
                  <w:r>
                    <w:rPr/>
                    <w:t>6</w:t>
                  </w:r>
                </w:p>
              </w:tc>
              <w:tc>
                <w:tcPr>
                  <w:tcW w:w="1523" w:type="dxa"/>
                  <w:tcBorders>
                    <w:top w:val="nil"/>
                    <w:bottom w:val="nil"/>
                  </w:tcBorders>
                  <w:vAlign w:val="center"/>
                </w:tcPr>
                <w:p>
                  <w:pPr>
                    <w:pStyle w:val="Compact"/>
                    <w:spacing w:before="36" w:after="36"/>
                    <w:jc w:val="center"/>
                    <w:rPr/>
                  </w:pPr>
                  <w:r>
                    <w:rPr/>
                    <w:t>6</w:t>
                  </w:r>
                </w:p>
              </w:tc>
              <w:tc>
                <w:tcPr>
                  <w:tcW w:w="1525" w:type="dxa"/>
                  <w:tcBorders>
                    <w:top w:val="nil"/>
                    <w:bottom w:val="nil"/>
                  </w:tcBorders>
                  <w:vAlign w:val="center"/>
                </w:tcPr>
                <w:p>
                  <w:pPr>
                    <w:pStyle w:val="Compact"/>
                    <w:spacing w:before="36" w:after="36"/>
                    <w:jc w:val="center"/>
                    <w:rPr/>
                  </w:pPr>
                  <w:r>
                    <w:rPr/>
                    <w:t>0</w:t>
                  </w:r>
                </w:p>
              </w:tc>
            </w:tr>
            <w:tr>
              <w:trPr/>
              <w:tc>
                <w:tcPr>
                  <w:tcW w:w="1524" w:type="dxa"/>
                  <w:tcBorders>
                    <w:top w:val="nil"/>
                  </w:tcBorders>
                  <w:vAlign w:val="center"/>
                </w:tcPr>
                <w:p>
                  <w:pPr>
                    <w:pStyle w:val="Compact"/>
                    <w:spacing w:before="36" w:after="36"/>
                    <w:jc w:val="center"/>
                    <w:rPr/>
                  </w:pPr>
                  <w:r>
                    <w:rPr/>
                    <w:t>Study 2</w:t>
                  </w:r>
                </w:p>
              </w:tc>
              <w:tc>
                <w:tcPr>
                  <w:tcW w:w="1520" w:type="dxa"/>
                  <w:tcBorders>
                    <w:top w:val="nil"/>
                  </w:tcBorders>
                  <w:vAlign w:val="center"/>
                </w:tcPr>
                <w:p>
                  <w:pPr>
                    <w:pStyle w:val="Compact"/>
                    <w:spacing w:before="36" w:after="36"/>
                    <w:jc w:val="center"/>
                    <w:rPr/>
                  </w:pPr>
                  <w:r>
                    <w:rPr/>
                    <w:t>LP+%+oz</w:t>
                  </w:r>
                </w:p>
              </w:tc>
              <w:tc>
                <w:tcPr>
                  <w:tcW w:w="1527" w:type="dxa"/>
                  <w:tcBorders>
                    <w:top w:val="nil"/>
                  </w:tcBorders>
                  <w:vAlign w:val="center"/>
                </w:tcPr>
                <w:p>
                  <w:pPr>
                    <w:pStyle w:val="Compact"/>
                    <w:spacing w:before="36" w:after="36"/>
                    <w:jc w:val="center"/>
                    <w:rPr/>
                  </w:pPr>
                  <w:r>
                    <w:rPr>
                      <w:i/>
                      <w:iCs/>
                    </w:rPr>
                    <w:t>list_price</w:t>
                  </w:r>
                  <w:r>
                    <w:rPr/>
                    <w:t xml:space="preserve">, </w:t>
                  </w:r>
                  <w:r>
                    <w:rPr>
                      <w:i/>
                      <w:iCs/>
                    </w:rPr>
                    <w:t>discount_percentage</w:t>
                  </w:r>
                  <w:r>
                    <w:rPr/>
                    <w:t xml:space="preserve">, </w:t>
                  </w:r>
                  <w:r>
                    <w:rPr>
                      <w:i/>
                      <w:iCs/>
                    </w:rPr>
                    <w:t>weight</w:t>
                  </w:r>
                </w:p>
              </w:tc>
              <w:tc>
                <w:tcPr>
                  <w:tcW w:w="1525" w:type="dxa"/>
                  <w:tcBorders>
                    <w:top w:val="nil"/>
                  </w:tcBorders>
                  <w:vAlign w:val="center"/>
                </w:tcPr>
                <w:p>
                  <w:pPr>
                    <w:pStyle w:val="Compact"/>
                    <w:spacing w:before="36" w:after="36"/>
                    <w:jc w:val="center"/>
                    <w:rPr/>
                  </w:pPr>
                  <w:r>
                    <w:rPr/>
                    <w:t>9</w:t>
                  </w:r>
                </w:p>
              </w:tc>
              <w:tc>
                <w:tcPr>
                  <w:tcW w:w="1523" w:type="dxa"/>
                  <w:tcBorders>
                    <w:top w:val="nil"/>
                  </w:tcBorders>
                  <w:vAlign w:val="center"/>
                </w:tcPr>
                <w:p>
                  <w:pPr>
                    <w:pStyle w:val="Compact"/>
                    <w:spacing w:before="36" w:after="36"/>
                    <w:jc w:val="center"/>
                    <w:rPr/>
                  </w:pPr>
                  <w:r>
                    <w:rPr/>
                    <w:t>9</w:t>
                  </w:r>
                </w:p>
              </w:tc>
              <w:tc>
                <w:tcPr>
                  <w:tcW w:w="1525" w:type="dxa"/>
                  <w:tcBorders>
                    <w:top w:val="nil"/>
                  </w:tcBorders>
                  <w:vAlign w:val="center"/>
                </w:tcPr>
                <w:p>
                  <w:pPr>
                    <w:pStyle w:val="Compact"/>
                    <w:spacing w:before="36" w:after="36"/>
                    <w:jc w:val="center"/>
                    <w:rPr/>
                  </w:pPr>
                  <w:r>
                    <w:rPr/>
                    <w:t>0</w:t>
                  </w:r>
                  <w:bookmarkStart w:id="178" w:name="apptbl-fixed-reveal-design"/>
                  <w:bookmarkEnd w:id="178"/>
                </w:p>
              </w:tc>
            </w:tr>
          </w:tbl>
          <w:p>
            <w:pPr>
              <w:pStyle w:val="Normal"/>
              <w:spacing w:before="0" w:after="200"/>
              <w:jc w:val="left"/>
              <w:rPr>
                <w:sz w:val="24"/>
              </w:rPr>
            </w:pPr>
            <w:r>
              <w:rPr>
                <w:sz w:val="24"/>
              </w:rPr>
            </w:r>
          </w:p>
        </w:tc>
      </w:tr>
    </w:tbl>
    <w:p>
      <w:pPr>
        <w:pStyle w:val="BodyText"/>
        <w:rPr/>
      </w:pPr>
      <w:r>
        <w:rPr>
          <w:i/>
          <w:iCs/>
        </w:rPr>
        <w:t>Note.</w:t>
      </w:r>
      <w:r>
        <w:rPr/>
        <w:t xml:space="preserve"> Every state reveals the listed attributes for all alternatives in the environment, so cell counts are the number of attributes multiplied by two alternatives in Study 1 and three in Study 2. The complete diagnostic set is six cells in the Study 1 environment and nine in the Study 2 environment.</w:t>
      </w:r>
      <w:bookmarkEnd w:id="177"/>
    </w:p>
    <w:p>
      <w:pPr>
        <w:pStyle w:val="Heading2"/>
        <w:rPr/>
      </w:pPr>
      <w:bookmarkStart w:id="179" w:name="sample-and-procedure-1"/>
      <w:r>
        <w:rPr/>
        <w:t>Sample and procedure</w:t>
      </w:r>
    </w:p>
    <w:p>
      <w:pPr>
        <w:pStyle w:val="FirstParagraph"/>
        <w:rPr/>
      </w:pPr>
      <w:r>
        <w:rPr/>
        <w:t>We tested the seven LLMs of the main studies at 50 independent sessions per LLM per state, yielding 1,400 sessions in the Study 1 environment and 1,750 in the Study 2 environment, and 3,150 in total. Sessions carry no state between them. The presentation order of the alternatives and of the attribute list is randomized within session, and the alternative identifiers are anonymized as in Tool-Lab so that no ordering in the identifier can carry information. Model identifiers and decoding parameters follow Web Appendix F, with the deviations recorded below.</w:t>
      </w:r>
    </w:p>
    <w:p>
      <w:pPr>
        <w:pStyle w:val="BodyText"/>
        <w:rPr/>
      </w:pPr>
      <w:r>
        <w:rPr>
          <w:i/>
          <w:iCs/>
        </w:rPr>
        <w:t>Choice optimality</w:t>
      </w:r>
      <w:r>
        <w:rPr/>
        <w:t xml:space="preserve"> is coded 1 when the LLM selects the alternative with the superior price-per-ounce, Coffee B in the Study 1 environment and Coffee E in the Study 2 environment. We additionally record </w:t>
      </w:r>
      <w:r>
        <w:rPr>
          <w:i/>
          <w:iCs/>
        </w:rPr>
        <w:t>state consistency</w:t>
      </w:r>
      <w:r>
        <w:rPr/>
        <w:t>, coded 1 when the LLM selects the alternative that the normative benchmark identifies as optimal given the revealed cells. The two measures coincide at states where the revealed information is sufficient to identify the superior alternative and diverge otherwise; the divergence is examined below.</w:t>
      </w:r>
      <w:bookmarkEnd w:id="179"/>
    </w:p>
    <w:p>
      <w:pPr>
        <w:pStyle w:val="Heading2"/>
        <w:rPr/>
      </w:pPr>
      <w:bookmarkStart w:id="180" w:name="results-2"/>
      <w:r>
        <w:rPr/>
        <w:t>Results</w:t>
      </w:r>
    </w:p>
    <w:p>
      <w:pPr>
        <w:pStyle w:val="Heading3"/>
        <w:rPr/>
      </w:pPr>
      <w:bookmarkStart w:id="181" w:name="non-diagnostic-increments"/>
      <w:r>
        <w:rPr/>
        <w:t>Non-diagnostic increments</w:t>
      </w:r>
    </w:p>
    <w:p>
      <w:pPr>
        <w:pStyle w:val="FirstParagraph"/>
        <w:rPr/>
      </w:pPr>
      <w:r>
        <w:rPr/>
        <w:t xml:space="preserve">Two of the nine states add a non-diagnostic attribute to an otherwise unchanged revealed set, doubling the number of revealed cells from two to four in the Study 1 environment and from three to six in the Study 2 environment. Neither increment changed any choice. All 350 sessions at </w:t>
      </w:r>
      <w:r>
        <w:rPr>
          <w:i/>
          <w:iCs/>
        </w:rPr>
        <w:t>price_dollars</w:t>
      </w:r>
      <w:r>
        <w:rPr/>
        <w:t xml:space="preserve"> and all 350 at </w:t>
      </w:r>
      <w:r>
        <w:rPr>
          <w:i/>
          <w:iCs/>
        </w:rPr>
        <w:t>price_dollars</w:t>
      </w:r>
      <w:r>
        <w:rPr/>
        <w:t xml:space="preserve"> with roast date selected Coffee A. All 350 sessions at </w:t>
      </w:r>
      <w:r>
        <w:rPr>
          <w:i/>
          <w:iCs/>
        </w:rPr>
        <w:t>list_price</w:t>
      </w:r>
      <w:r>
        <w:rPr/>
        <w:t xml:space="preserve"> and all 350 at </w:t>
      </w:r>
      <w:r>
        <w:rPr>
          <w:i/>
          <w:iCs/>
        </w:rPr>
        <w:t>list_price</w:t>
      </w:r>
      <w:r>
        <w:rPr/>
        <w:t xml:space="preserve"> with roast date selected Coffee C. Across the 1,400 sessions and all seven LLMs, the modal choice was unanimous and identical on both sides of each increment.</w:t>
      </w:r>
    </w:p>
    <w:p>
      <w:pPr>
        <w:pStyle w:val="BodyText"/>
        <w:rPr/>
      </w:pPr>
      <w:r>
        <w:rPr/>
        <w:t>Because both proportions are zero, the difference is bounded rather than estimated. A 95% Clopper–Pearson interval on a proportion of 0 in 350 trials extends to .0085, so the difference in optimality induced by either non-diagnostic increment lies within roughly one percentage point of zero.</w:t>
      </w:r>
      <w:bookmarkEnd w:id="181"/>
    </w:p>
    <w:p>
      <w:pPr>
        <w:pStyle w:val="Heading3"/>
        <w:rPr/>
      </w:pPr>
      <w:bookmarkStart w:id="182" w:name="matched-count-contrasts"/>
      <w:r>
        <w:rPr/>
        <w:t>Matched-count contrasts</w:t>
      </w:r>
    </w:p>
    <w:p>
      <w:pPr>
        <w:pStyle w:val="FirstParagraph"/>
        <w:rPr/>
      </w:pPr>
      <w:r>
        <w:rPr/>
        <w:t>Holding the number of revealed cells fixed and varying which attributes occupy them produces the opposite result. In the Study 2 environment, three distinct states each reveal six cells. Optimality is .00 when the additional cells carry roast date, .00 when they carry the discount percentage, and .911 when they carry weight. In the Study 1 environment, the two four-cell states yield .00 with roast date and .080 with weight.</w:t>
      </w:r>
    </w:p>
    <w:p>
      <w:pPr>
        <w:pStyle w:val="BodyText"/>
        <w:rPr/>
      </w:pPr>
      <w:r>
        <w:rPr/>
        <w:t>The two contrasts are not equivalent in kind. The Study 1 contrast compares a non-diagnostic increment against a diagnostic one. The Study 2 contrast at six cells compares two increments that are both diagnostic, since the discount percentage is required to compute net price and weight is required to compute value. Adding a diagnostic attribute is therefore not sufficient to change choice. What matters is whether the resulting state is sufficient to identify the superior alternative, which the discount percentage does not achieve here and weight does.</w:t>
      </w:r>
      <w:bookmarkEnd w:id="182"/>
    </w:p>
    <w:p>
      <w:pPr>
        <w:pStyle w:val="Heading3"/>
        <w:rPr/>
      </w:pPr>
      <w:bookmarkStart w:id="183" w:name="the-complete-diagnostic-set"/>
      <w:r>
        <w:rPr/>
        <w:t>The complete diagnostic set</w:t>
      </w:r>
    </w:p>
    <w:p>
      <w:pPr>
        <w:pStyle w:val="FirstParagraph"/>
        <w:rPr/>
      </w:pPr>
      <w:r>
        <w:rPr/>
        <w:t>At the complete diagnostic state, six of the seven LLMs selected the superior alternative in 299 of 300 sessions in the Study 1 environment and 295 of 300 in the Study 2 environment (</w:t>
      </w:r>
      <w:hyperlink w:anchor="apptbl-fixed-reveal-permodel">
        <w:r>
          <w:rPr>
            <w:rStyle w:val="Hyperlink"/>
          </w:rPr>
          <w:t>Table W31</w:t>
        </w:r>
      </w:hyperlink>
      <w:r>
        <w:rPr/>
        <w:t>). Gemini 3.1 Pro, GPT-5.6 Sol, Claude Sonnet 5, and Claude Opus 5 were at 1.00 in both environments.</w:t>
      </w:r>
    </w:p>
    <w:p>
      <w:pPr>
        <w:pStyle w:val="BodyText"/>
        <w:rPr/>
      </w:pPr>
      <w:r>
        <w:rPr/>
        <w:t>These six LLMs are consequently capable of the comparison that the Tool-Lab studies require when the information is placed in front of them without an acquisition step. Their suboptimal choices under acquisition cost are located in what they hold at the moment of choice.</w:t>
      </w:r>
      <w:bookmarkEnd w:id="183"/>
    </w:p>
    <w:p>
      <w:pPr>
        <w:pStyle w:val="Heading3"/>
        <w:rPr/>
      </w:pPr>
      <w:bookmarkStart w:id="184" w:name="Xb8d4308430fe2ec510844f0d77dcf1f4711c0ba"/>
      <w:r>
        <w:rPr/>
        <w:t>Consistency with the state-implied choice</w:t>
      </w:r>
    </w:p>
    <w:p>
      <w:pPr>
        <w:pStyle w:val="FirstParagraph"/>
        <w:rPr/>
      </w:pPr>
      <w:r>
        <w:rPr/>
        <w:t xml:space="preserve">The normative choice at each state is derived in </w:t>
      </w:r>
      <w:hyperlink w:anchor="apptbl-fixed-reveal-normative">
        <w:r>
          <w:rPr>
            <w:rStyle w:val="Hyperlink"/>
          </w:rPr>
          <w:t>Table W7</w:t>
        </w:r>
      </w:hyperlink>
      <w:r>
        <w:rPr/>
        <w:t>. Across all nine states, the six LLMs other than Gemini 3.1 Flash Lite selected the state-implied alternative in 2,678 of 2,700 sessions (.992). Per LLM, the rate is 1.00 for GPT-5.6 Sol, Claude Sonnet 5, and Claude Opus 5, .996 for Gemini 3.1 Pro, .992 for GPT-5.6 Terra, and .987 for GPT-5.6 Luna. Gemini 3.1 Flash Lite selected the state-implied alternative in 279 of 450 sessions (.620).</w:t>
      </w:r>
    </w:p>
    <w:p>
      <w:pPr>
        <w:pStyle w:val="BodyText"/>
        <w:rPr/>
      </w:pPr>
      <w:r>
        <w:rPr/>
        <w:t>Choosing the lower whole-dollar alternative when the cents are withheld, or the lowest-list-price alternative when weight is withheld, is thus the choice the revealed information supports rather than a failure to weight the withheld attribute. The behavior that the just-below and promotional manipulations elicit under acquisition cost is, at these states, indistinguishable from normatively correct inference. What distinguishes an economically inferior outcome from a correct one is the composition of the state, not the rule the LLM applies to it.</w:t>
      </w:r>
    </w:p>
    <w:p>
      <w:pPr>
        <w:pStyle w:val="BodyText"/>
        <w:rPr/>
      </w:pPr>
      <w:r>
        <w:rPr/>
        <w:t xml:space="preserve">State consistency and outcome optimality diverge at one state. At </w:t>
      </w:r>
      <w:r>
        <w:rPr>
          <w:i/>
          <w:iCs/>
        </w:rPr>
        <w:t>price_dollars</w:t>
      </w:r>
      <w:r>
        <w:rPr/>
        <w:t xml:space="preserve"> and </w:t>
      </w:r>
      <w:r>
        <w:rPr>
          <w:i/>
          <w:iCs/>
        </w:rPr>
        <w:t>weight</w:t>
      </w:r>
      <w:r>
        <w:rPr/>
        <w:t>, 10 oz at $4 yields an expected cost of $0.453 per ounce against $0.503 for 11 oz at $5, so the state implies Coffee A even though Coffee B is superior at the true prices. The 28 sessions selecting Coffee B at that state, 15 from Gemini 3.1 Flash Lite, 12 from GPT-5.6 Terra, and 1 from Gemini 3.1 Pro, score as optimal on the outcome measure while selecting against the revealed information. Outcome-based optimality can therefore credit choices that the information available does not support, which is one reason the acquisition trace is necessary to interpret them.</w:t>
      </w:r>
      <w:bookmarkEnd w:id="184"/>
    </w:p>
    <w:p>
      <w:pPr>
        <w:pStyle w:val="Heading3"/>
        <w:rPr/>
      </w:pPr>
      <w:bookmarkStart w:id="185" w:name="gemini-3.1-flash-lite"/>
      <w:r>
        <w:rPr/>
        <w:t>Gemini 3.1 Flash Lite</w:t>
      </w:r>
    </w:p>
    <w:p>
      <w:pPr>
        <w:pStyle w:val="FirstParagraph"/>
        <w:rPr/>
      </w:pPr>
      <w:r>
        <w:rPr/>
        <w:t xml:space="preserve">This LLM departs from the state-implied choice at every state in which more than the price is revealed. Three features of the departure are visible in </w:t>
      </w:r>
      <w:hyperlink w:anchor="apptbl-fixed-reveal-distributions">
        <w:r>
          <w:rPr>
            <w:rStyle w:val="Hyperlink"/>
          </w:rPr>
          <w:t>Table W32</w:t>
        </w:r>
      </w:hyperlink>
      <w:r>
        <w:rPr/>
        <w:t>.</w:t>
      </w:r>
    </w:p>
    <w:p>
      <w:pPr>
        <w:pStyle w:val="BodyText"/>
        <w:rPr/>
      </w:pPr>
      <w:r>
        <w:rPr/>
        <w:t xml:space="preserve">At </w:t>
      </w:r>
      <w:r>
        <w:rPr>
          <w:i/>
          <w:iCs/>
        </w:rPr>
        <w:t>list_price</w:t>
      </w:r>
      <w:r>
        <w:rPr/>
        <w:t xml:space="preserve"> and </w:t>
      </w:r>
      <w:r>
        <w:rPr>
          <w:i/>
          <w:iCs/>
        </w:rPr>
        <w:t>discount_percentage</w:t>
      </w:r>
      <w:r>
        <w:rPr/>
        <w:t>, it selected Coffee D in 46 of 50 sessions. That alternative carries an expected cost of $4.80 per ounce at that state against $3.20 for Coffee C and $4.00 for Coffee E, and is distinguished from the others only by carrying a discount label. The selection is not a marginal preference among close alternatives but a selection of the most expensive one.</w:t>
      </w:r>
    </w:p>
    <w:p>
      <w:pPr>
        <w:pStyle w:val="BodyText"/>
        <w:rPr/>
      </w:pPr>
      <w:r>
        <w:rPr/>
        <w:t>The relationship between diagnostic information and optimality is non-monotone. Adding the discount percentage to list price and weight lowered optimality from .42 to .02. The pooled proportion across all seven LLMs falls likewise from .911 at six revealed cells to .846 at nine, a decline driven principally by this LLM and secondarily by GPT-5.6 Luna, whose optimality falls from 1.00 to .92 over the same increment.</w:t>
      </w:r>
    </w:p>
    <w:p>
      <w:pPr>
        <w:pStyle w:val="BodyText"/>
        <w:rPr/>
      </w:pPr>
      <w:r>
        <w:rPr/>
        <w:t xml:space="preserve">At </w:t>
      </w:r>
      <w:r>
        <w:rPr>
          <w:i/>
          <w:iCs/>
        </w:rPr>
        <w:t>list_price</w:t>
      </w:r>
      <w:r>
        <w:rPr/>
        <w:t xml:space="preserve"> and </w:t>
      </w:r>
      <w:r>
        <w:rPr>
          <w:i/>
          <w:iCs/>
        </w:rPr>
        <w:t>weight</w:t>
      </w:r>
      <w:r>
        <w:rPr/>
        <w:t>, where no discount is revealed, this LLM selected Coffee D in 11 of 50 sessions. Coffee D is the worst of the three on list price per ounce at that state, and the largest package. The pattern is consistent with a package-size cue operating independently of the discount label, though the present design cannot separate the two.</w:t>
      </w:r>
    </w:p>
    <w:p>
      <w:pPr>
        <w:pStyle w:val="BodyText"/>
        <w:rPr/>
      </w:pPr>
      <w:r>
        <w:rPr/>
        <w:t>These results are consistent with the reported-valuation condition, in which this LLM reported correct price-per-ounce values for all 750 Study 2 fields and nonetheless selected an inferior alternative. Its failure is located after the computation in both designs.</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W31: Choice optimality by LLM and assigned information state</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914"/>
              <w:gridCol w:w="914"/>
              <w:gridCol w:w="915"/>
              <w:gridCol w:w="914"/>
              <w:gridCol w:w="914"/>
              <w:gridCol w:w="915"/>
              <w:gridCol w:w="914"/>
              <w:gridCol w:w="915"/>
              <w:gridCol w:w="911"/>
              <w:gridCol w:w="918"/>
            </w:tblGrid>
            <w:tr>
              <w:trPr>
                <w:tblHeader w:val="true"/>
              </w:trPr>
              <w:tc>
                <w:tcPr>
                  <w:tcW w:w="914" w:type="dxa"/>
                  <w:tcBorders/>
                  <w:vAlign w:val="center"/>
                </w:tcPr>
                <w:p>
                  <w:pPr>
                    <w:pStyle w:val="Compact"/>
                    <w:spacing w:before="36" w:after="36"/>
                    <w:rPr>
                      <w:b w:val="false"/>
                    </w:rPr>
                  </w:pPr>
                  <w:r>
                    <w:rPr>
                      <w:b w:val="false"/>
                    </w:rPr>
                  </w:r>
                </w:p>
              </w:tc>
              <w:tc>
                <w:tcPr>
                  <w:tcW w:w="914" w:type="dxa"/>
                  <w:tcBorders/>
                  <w:vAlign w:val="center"/>
                </w:tcPr>
                <w:p>
                  <w:pPr>
                    <w:pStyle w:val="Compact"/>
                    <w:spacing w:before="36" w:after="36"/>
                    <w:jc w:val="center"/>
                    <w:rPr>
                      <w:b w:val="false"/>
                    </w:rPr>
                  </w:pPr>
                  <w:r>
                    <w:rPr>
                      <w:b w:val="false"/>
                    </w:rPr>
                    <w:t>$</w:t>
                  </w:r>
                </w:p>
              </w:tc>
              <w:tc>
                <w:tcPr>
                  <w:tcW w:w="915" w:type="dxa"/>
                  <w:tcBorders/>
                  <w:vAlign w:val="center"/>
                </w:tcPr>
                <w:p>
                  <w:pPr>
                    <w:pStyle w:val="Compact"/>
                    <w:spacing w:before="36" w:after="36"/>
                    <w:jc w:val="center"/>
                    <w:rPr>
                      <w:b w:val="false"/>
                    </w:rPr>
                  </w:pPr>
                  <w:r>
                    <w:rPr>
                      <w:b w:val="false"/>
                    </w:rPr>
                    <w:t>$+roast</w:t>
                  </w:r>
                </w:p>
              </w:tc>
              <w:tc>
                <w:tcPr>
                  <w:tcW w:w="914" w:type="dxa"/>
                  <w:tcBorders/>
                  <w:vAlign w:val="center"/>
                </w:tcPr>
                <w:p>
                  <w:pPr>
                    <w:pStyle w:val="Compact"/>
                    <w:spacing w:before="36" w:after="36"/>
                    <w:jc w:val="center"/>
                    <w:rPr>
                      <w:b w:val="false"/>
                    </w:rPr>
                  </w:pPr>
                  <w:r>
                    <w:rPr>
                      <w:b w:val="false"/>
                    </w:rPr>
                    <w:t>$+oz</w:t>
                  </w:r>
                </w:p>
              </w:tc>
              <w:tc>
                <w:tcPr>
                  <w:tcW w:w="914" w:type="dxa"/>
                  <w:tcBorders/>
                  <w:vAlign w:val="center"/>
                </w:tcPr>
                <w:p>
                  <w:pPr>
                    <w:pStyle w:val="Compact"/>
                    <w:spacing w:before="36" w:after="36"/>
                    <w:jc w:val="center"/>
                    <w:rPr>
                      <w:b w:val="false"/>
                    </w:rPr>
                  </w:pPr>
                  <w:r>
                    <w:rPr>
                      <w:b w:val="false"/>
                    </w:rPr>
                    <w:t>$+¢+oz</w:t>
                  </w:r>
                </w:p>
              </w:tc>
              <w:tc>
                <w:tcPr>
                  <w:tcW w:w="915" w:type="dxa"/>
                  <w:tcBorders/>
                  <w:vAlign w:val="center"/>
                </w:tcPr>
                <w:p>
                  <w:pPr>
                    <w:pStyle w:val="Compact"/>
                    <w:spacing w:before="36" w:after="36"/>
                    <w:jc w:val="center"/>
                    <w:rPr>
                      <w:b w:val="false"/>
                    </w:rPr>
                  </w:pPr>
                  <w:r>
                    <w:rPr>
                      <w:b w:val="false"/>
                    </w:rPr>
                    <w:t>LP</w:t>
                  </w:r>
                </w:p>
              </w:tc>
              <w:tc>
                <w:tcPr>
                  <w:tcW w:w="914" w:type="dxa"/>
                  <w:tcBorders/>
                  <w:vAlign w:val="center"/>
                </w:tcPr>
                <w:p>
                  <w:pPr>
                    <w:pStyle w:val="Compact"/>
                    <w:spacing w:before="36" w:after="36"/>
                    <w:jc w:val="center"/>
                    <w:rPr>
                      <w:b w:val="false"/>
                    </w:rPr>
                  </w:pPr>
                  <w:r>
                    <w:rPr>
                      <w:b w:val="false"/>
                    </w:rPr>
                    <w:t>LP+roast</w:t>
                  </w:r>
                </w:p>
              </w:tc>
              <w:tc>
                <w:tcPr>
                  <w:tcW w:w="915" w:type="dxa"/>
                  <w:tcBorders/>
                  <w:vAlign w:val="center"/>
                </w:tcPr>
                <w:p>
                  <w:pPr>
                    <w:pStyle w:val="Compact"/>
                    <w:spacing w:before="36" w:after="36"/>
                    <w:jc w:val="center"/>
                    <w:rPr>
                      <w:b w:val="false"/>
                    </w:rPr>
                  </w:pPr>
                  <w:r>
                    <w:rPr>
                      <w:b w:val="false"/>
                    </w:rPr>
                    <w:t>LP+%</w:t>
                  </w:r>
                </w:p>
              </w:tc>
              <w:tc>
                <w:tcPr>
                  <w:tcW w:w="911" w:type="dxa"/>
                  <w:tcBorders/>
                  <w:vAlign w:val="center"/>
                </w:tcPr>
                <w:p>
                  <w:pPr>
                    <w:pStyle w:val="Compact"/>
                    <w:spacing w:before="36" w:after="36"/>
                    <w:jc w:val="center"/>
                    <w:rPr>
                      <w:b w:val="false"/>
                    </w:rPr>
                  </w:pPr>
                  <w:r>
                    <w:rPr>
                      <w:b w:val="false"/>
                    </w:rPr>
                    <w:t>LP+oz</w:t>
                  </w:r>
                </w:p>
              </w:tc>
              <w:tc>
                <w:tcPr>
                  <w:tcW w:w="918" w:type="dxa"/>
                  <w:tcBorders/>
                  <w:vAlign w:val="center"/>
                </w:tcPr>
                <w:p>
                  <w:pPr>
                    <w:pStyle w:val="Compact"/>
                    <w:spacing w:before="36" w:after="36"/>
                    <w:jc w:val="center"/>
                    <w:rPr>
                      <w:b w:val="false"/>
                    </w:rPr>
                  </w:pPr>
                  <w:r>
                    <w:rPr>
                      <w:b w:val="false"/>
                    </w:rPr>
                    <w:t>LP+%+oz</w:t>
                  </w:r>
                </w:p>
              </w:tc>
            </w:tr>
            <w:tr>
              <w:trPr/>
              <w:tc>
                <w:tcPr>
                  <w:tcW w:w="914" w:type="dxa"/>
                  <w:tcBorders>
                    <w:top w:val="nil"/>
                    <w:bottom w:val="nil"/>
                  </w:tcBorders>
                  <w:vAlign w:val="center"/>
                </w:tcPr>
                <w:p>
                  <w:pPr>
                    <w:pStyle w:val="Compact"/>
                    <w:spacing w:before="36" w:after="36"/>
                    <w:jc w:val="center"/>
                    <w:rPr/>
                  </w:pPr>
                  <w:r>
                    <w:rPr/>
                    <w:t>Gemini 3.1 Flash Lite</w:t>
                  </w:r>
                </w:p>
              </w:tc>
              <w:tc>
                <w:tcPr>
                  <w:tcW w:w="914" w:type="dxa"/>
                  <w:tcBorders>
                    <w:top w:val="nil"/>
                    <w:bottom w:val="nil"/>
                  </w:tcBorders>
                  <w:vAlign w:val="center"/>
                </w:tcPr>
                <w:p>
                  <w:pPr>
                    <w:pStyle w:val="Compact"/>
                    <w:spacing w:before="36" w:after="36"/>
                    <w:jc w:val="center"/>
                    <w:rPr/>
                  </w:pPr>
                  <w:r>
                    <w:rPr/>
                    <w:t>.00</w:t>
                  </w:r>
                </w:p>
              </w:tc>
              <w:tc>
                <w:tcPr>
                  <w:tcW w:w="915"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.30</w:t>
                  </w:r>
                </w:p>
              </w:tc>
              <w:tc>
                <w:tcPr>
                  <w:tcW w:w="914" w:type="dxa"/>
                  <w:tcBorders>
                    <w:top w:val="nil"/>
                    <w:bottom w:val="nil"/>
                  </w:tcBorders>
                  <w:vAlign w:val="center"/>
                </w:tcPr>
                <w:p>
                  <w:pPr>
                    <w:pStyle w:val="Compact"/>
                    <w:spacing w:before="36" w:after="36"/>
                    <w:jc w:val="center"/>
                    <w:rPr/>
                  </w:pPr>
                  <w:r>
                    <w:rPr/>
                    <w:t>.36</w:t>
                  </w:r>
                </w:p>
              </w:tc>
              <w:tc>
                <w:tcPr>
                  <w:tcW w:w="915"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.00</w:t>
                  </w:r>
                </w:p>
              </w:tc>
              <w:tc>
                <w:tcPr>
                  <w:tcW w:w="915" w:type="dxa"/>
                  <w:tcBorders>
                    <w:top w:val="nil"/>
                    <w:bottom w:val="nil"/>
                  </w:tcBorders>
                  <w:vAlign w:val="center"/>
                </w:tcPr>
                <w:p>
                  <w:pPr>
                    <w:pStyle w:val="Compact"/>
                    <w:spacing w:before="36" w:after="36"/>
                    <w:jc w:val="center"/>
                    <w:rPr/>
                  </w:pPr>
                  <w:r>
                    <w:rPr/>
                    <w:t>.00</w:t>
                  </w:r>
                </w:p>
              </w:tc>
              <w:tc>
                <w:tcPr>
                  <w:tcW w:w="911" w:type="dxa"/>
                  <w:tcBorders>
                    <w:top w:val="nil"/>
                    <w:bottom w:val="nil"/>
                  </w:tcBorders>
                  <w:vAlign w:val="center"/>
                </w:tcPr>
                <w:p>
                  <w:pPr>
                    <w:pStyle w:val="Compact"/>
                    <w:spacing w:before="36" w:after="36"/>
                    <w:jc w:val="center"/>
                    <w:rPr/>
                  </w:pPr>
                  <w:r>
                    <w:rPr/>
                    <w:t>.42</w:t>
                  </w:r>
                </w:p>
              </w:tc>
              <w:tc>
                <w:tcPr>
                  <w:tcW w:w="918" w:type="dxa"/>
                  <w:tcBorders>
                    <w:top w:val="nil"/>
                    <w:bottom w:val="nil"/>
                  </w:tcBorders>
                  <w:vAlign w:val="center"/>
                </w:tcPr>
                <w:p>
                  <w:pPr>
                    <w:pStyle w:val="Compact"/>
                    <w:spacing w:before="36" w:after="36"/>
                    <w:jc w:val="center"/>
                    <w:rPr/>
                  </w:pPr>
                  <w:r>
                    <w:rPr/>
                    <w:t>.02</w:t>
                  </w:r>
                </w:p>
              </w:tc>
            </w:tr>
            <w:tr>
              <w:trPr/>
              <w:tc>
                <w:tcPr>
                  <w:tcW w:w="914" w:type="dxa"/>
                  <w:tcBorders>
                    <w:top w:val="nil"/>
                    <w:bottom w:val="nil"/>
                  </w:tcBorders>
                  <w:vAlign w:val="center"/>
                </w:tcPr>
                <w:p>
                  <w:pPr>
                    <w:pStyle w:val="Compact"/>
                    <w:spacing w:before="36" w:after="36"/>
                    <w:jc w:val="center"/>
                    <w:rPr/>
                  </w:pPr>
                  <w:r>
                    <w:rPr/>
                    <w:t>Gemini 3.1 Pro</w:t>
                  </w:r>
                </w:p>
              </w:tc>
              <w:tc>
                <w:tcPr>
                  <w:tcW w:w="914" w:type="dxa"/>
                  <w:tcBorders>
                    <w:top w:val="nil"/>
                    <w:bottom w:val="nil"/>
                  </w:tcBorders>
                  <w:vAlign w:val="center"/>
                </w:tcPr>
                <w:p>
                  <w:pPr>
                    <w:pStyle w:val="Compact"/>
                    <w:spacing w:before="36" w:after="36"/>
                    <w:jc w:val="center"/>
                    <w:rPr/>
                  </w:pPr>
                  <w:r>
                    <w:rPr/>
                    <w:t>.00</w:t>
                  </w:r>
                </w:p>
              </w:tc>
              <w:tc>
                <w:tcPr>
                  <w:tcW w:w="915"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.02</w:t>
                  </w:r>
                </w:p>
              </w:tc>
              <w:tc>
                <w:tcPr>
                  <w:tcW w:w="914" w:type="dxa"/>
                  <w:tcBorders>
                    <w:top w:val="nil"/>
                    <w:bottom w:val="nil"/>
                  </w:tcBorders>
                  <w:vAlign w:val="center"/>
                </w:tcPr>
                <w:p>
                  <w:pPr>
                    <w:pStyle w:val="Compact"/>
                    <w:spacing w:before="36" w:after="36"/>
                    <w:jc w:val="center"/>
                    <w:rPr/>
                  </w:pPr>
                  <w:r>
                    <w:rPr/>
                    <w:t>1.00</w:t>
                  </w:r>
                </w:p>
              </w:tc>
              <w:tc>
                <w:tcPr>
                  <w:tcW w:w="915"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.00</w:t>
                  </w:r>
                </w:p>
              </w:tc>
              <w:tc>
                <w:tcPr>
                  <w:tcW w:w="915" w:type="dxa"/>
                  <w:tcBorders>
                    <w:top w:val="nil"/>
                    <w:bottom w:val="nil"/>
                  </w:tcBorders>
                  <w:vAlign w:val="center"/>
                </w:tcPr>
                <w:p>
                  <w:pPr>
                    <w:pStyle w:val="Compact"/>
                    <w:spacing w:before="36" w:after="36"/>
                    <w:jc w:val="center"/>
                    <w:rPr/>
                  </w:pPr>
                  <w:r>
                    <w:rPr/>
                    <w:t>.00</w:t>
                  </w:r>
                </w:p>
              </w:tc>
              <w:tc>
                <w:tcPr>
                  <w:tcW w:w="911" w:type="dxa"/>
                  <w:tcBorders>
                    <w:top w:val="nil"/>
                    <w:bottom w:val="nil"/>
                  </w:tcBorders>
                  <w:vAlign w:val="center"/>
                </w:tcPr>
                <w:p>
                  <w:pPr>
                    <w:pStyle w:val="Compact"/>
                    <w:spacing w:before="36" w:after="36"/>
                    <w:jc w:val="center"/>
                    <w:rPr/>
                  </w:pPr>
                  <w:r>
                    <w:rPr/>
                    <w:t>.98</w:t>
                  </w:r>
                </w:p>
              </w:tc>
              <w:tc>
                <w:tcPr>
                  <w:tcW w:w="918" w:type="dxa"/>
                  <w:tcBorders>
                    <w:top w:val="nil"/>
                    <w:bottom w:val="nil"/>
                  </w:tcBorders>
                  <w:vAlign w:val="center"/>
                </w:tcPr>
                <w:p>
                  <w:pPr>
                    <w:pStyle w:val="Compact"/>
                    <w:spacing w:before="36" w:after="36"/>
                    <w:jc w:val="center"/>
                    <w:rPr/>
                  </w:pPr>
                  <w:r>
                    <w:rPr/>
                    <w:t>1.00</w:t>
                  </w:r>
                </w:p>
              </w:tc>
            </w:tr>
            <w:tr>
              <w:trPr/>
              <w:tc>
                <w:tcPr>
                  <w:tcW w:w="914" w:type="dxa"/>
                  <w:tcBorders>
                    <w:top w:val="nil"/>
                    <w:bottom w:val="nil"/>
                  </w:tcBorders>
                  <w:vAlign w:val="center"/>
                </w:tcPr>
                <w:p>
                  <w:pPr>
                    <w:pStyle w:val="Compact"/>
                    <w:spacing w:before="36" w:after="36"/>
                    <w:jc w:val="center"/>
                    <w:rPr/>
                  </w:pPr>
                  <w:r>
                    <w:rPr/>
                    <w:t>GPT-5.6 Luna</w:t>
                  </w:r>
                </w:p>
              </w:tc>
              <w:tc>
                <w:tcPr>
                  <w:tcW w:w="914" w:type="dxa"/>
                  <w:tcBorders>
                    <w:top w:val="nil"/>
                    <w:bottom w:val="nil"/>
                  </w:tcBorders>
                  <w:vAlign w:val="center"/>
                </w:tcPr>
                <w:p>
                  <w:pPr>
                    <w:pStyle w:val="Compact"/>
                    <w:spacing w:before="36" w:after="36"/>
                    <w:jc w:val="center"/>
                    <w:rPr/>
                  </w:pPr>
                  <w:r>
                    <w:rPr/>
                    <w:t>.00</w:t>
                  </w:r>
                </w:p>
              </w:tc>
              <w:tc>
                <w:tcPr>
                  <w:tcW w:w="915"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.98</w:t>
                  </w:r>
                </w:p>
              </w:tc>
              <w:tc>
                <w:tcPr>
                  <w:tcW w:w="915"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.00</w:t>
                  </w:r>
                </w:p>
              </w:tc>
              <w:tc>
                <w:tcPr>
                  <w:tcW w:w="915" w:type="dxa"/>
                  <w:tcBorders>
                    <w:top w:val="nil"/>
                    <w:bottom w:val="nil"/>
                  </w:tcBorders>
                  <w:vAlign w:val="center"/>
                </w:tcPr>
                <w:p>
                  <w:pPr>
                    <w:pStyle w:val="Compact"/>
                    <w:spacing w:before="36" w:after="36"/>
                    <w:jc w:val="center"/>
                    <w:rPr/>
                  </w:pPr>
                  <w:r>
                    <w:rPr/>
                    <w:t>.00</w:t>
                  </w:r>
                </w:p>
              </w:tc>
              <w:tc>
                <w:tcPr>
                  <w:tcW w:w="911" w:type="dxa"/>
                  <w:tcBorders>
                    <w:top w:val="nil"/>
                    <w:bottom w:val="nil"/>
                  </w:tcBorders>
                  <w:vAlign w:val="center"/>
                </w:tcPr>
                <w:p>
                  <w:pPr>
                    <w:pStyle w:val="Compact"/>
                    <w:spacing w:before="36" w:after="36"/>
                    <w:jc w:val="center"/>
                    <w:rPr/>
                  </w:pPr>
                  <w:r>
                    <w:rPr/>
                    <w:t>1.00</w:t>
                  </w:r>
                </w:p>
              </w:tc>
              <w:tc>
                <w:tcPr>
                  <w:tcW w:w="918" w:type="dxa"/>
                  <w:tcBorders>
                    <w:top w:val="nil"/>
                    <w:bottom w:val="nil"/>
                  </w:tcBorders>
                  <w:vAlign w:val="center"/>
                </w:tcPr>
                <w:p>
                  <w:pPr>
                    <w:pStyle w:val="Compact"/>
                    <w:spacing w:before="36" w:after="36"/>
                    <w:jc w:val="center"/>
                    <w:rPr/>
                  </w:pPr>
                  <w:r>
                    <w:rPr/>
                    <w:t>.92</w:t>
                  </w:r>
                </w:p>
              </w:tc>
            </w:tr>
            <w:tr>
              <w:trPr/>
              <w:tc>
                <w:tcPr>
                  <w:tcW w:w="914" w:type="dxa"/>
                  <w:tcBorders>
                    <w:top w:val="nil"/>
                    <w:bottom w:val="nil"/>
                  </w:tcBorders>
                  <w:vAlign w:val="center"/>
                </w:tcPr>
                <w:p>
                  <w:pPr>
                    <w:pStyle w:val="Compact"/>
                    <w:spacing w:before="36" w:after="36"/>
                    <w:jc w:val="center"/>
                    <w:rPr/>
                  </w:pPr>
                  <w:r>
                    <w:rPr/>
                    <w:t>GPT-5.6 Terra</w:t>
                  </w:r>
                </w:p>
              </w:tc>
              <w:tc>
                <w:tcPr>
                  <w:tcW w:w="914" w:type="dxa"/>
                  <w:tcBorders>
                    <w:top w:val="nil"/>
                    <w:bottom w:val="nil"/>
                  </w:tcBorders>
                  <w:vAlign w:val="center"/>
                </w:tcPr>
                <w:p>
                  <w:pPr>
                    <w:pStyle w:val="Compact"/>
                    <w:spacing w:before="36" w:after="36"/>
                    <w:jc w:val="center"/>
                    <w:rPr/>
                  </w:pPr>
                  <w:r>
                    <w:rPr/>
                    <w:t>.00</w:t>
                  </w:r>
                </w:p>
              </w:tc>
              <w:tc>
                <w:tcPr>
                  <w:tcW w:w="915"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.24</w:t>
                  </w:r>
                </w:p>
              </w:tc>
              <w:tc>
                <w:tcPr>
                  <w:tcW w:w="914" w:type="dxa"/>
                  <w:tcBorders>
                    <w:top w:val="nil"/>
                    <w:bottom w:val="nil"/>
                  </w:tcBorders>
                  <w:vAlign w:val="center"/>
                </w:tcPr>
                <w:p>
                  <w:pPr>
                    <w:pStyle w:val="Compact"/>
                    <w:spacing w:before="36" w:after="36"/>
                    <w:jc w:val="center"/>
                    <w:rPr/>
                  </w:pPr>
                  <w:r>
                    <w:rPr/>
                    <w:t>1.00</w:t>
                  </w:r>
                </w:p>
              </w:tc>
              <w:tc>
                <w:tcPr>
                  <w:tcW w:w="915"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.00</w:t>
                  </w:r>
                </w:p>
              </w:tc>
              <w:tc>
                <w:tcPr>
                  <w:tcW w:w="915" w:type="dxa"/>
                  <w:tcBorders>
                    <w:top w:val="nil"/>
                    <w:bottom w:val="nil"/>
                  </w:tcBorders>
                  <w:vAlign w:val="center"/>
                </w:tcPr>
                <w:p>
                  <w:pPr>
                    <w:pStyle w:val="Compact"/>
                    <w:spacing w:before="36" w:after="36"/>
                    <w:jc w:val="center"/>
                    <w:rPr/>
                  </w:pPr>
                  <w:r>
                    <w:rPr/>
                    <w:t>.00</w:t>
                  </w:r>
                </w:p>
              </w:tc>
              <w:tc>
                <w:tcPr>
                  <w:tcW w:w="911" w:type="dxa"/>
                  <w:tcBorders>
                    <w:top w:val="nil"/>
                    <w:bottom w:val="nil"/>
                  </w:tcBorders>
                  <w:vAlign w:val="center"/>
                </w:tcPr>
                <w:p>
                  <w:pPr>
                    <w:pStyle w:val="Compact"/>
                    <w:spacing w:before="36" w:after="36"/>
                    <w:jc w:val="center"/>
                    <w:rPr/>
                  </w:pPr>
                  <w:r>
                    <w:rPr/>
                    <w:t>.98</w:t>
                  </w:r>
                </w:p>
              </w:tc>
              <w:tc>
                <w:tcPr>
                  <w:tcW w:w="918" w:type="dxa"/>
                  <w:tcBorders>
                    <w:top w:val="nil"/>
                    <w:bottom w:val="nil"/>
                  </w:tcBorders>
                  <w:vAlign w:val="center"/>
                </w:tcPr>
                <w:p>
                  <w:pPr>
                    <w:pStyle w:val="Compact"/>
                    <w:spacing w:before="36" w:after="36"/>
                    <w:jc w:val="center"/>
                    <w:rPr/>
                  </w:pPr>
                  <w:r>
                    <w:rPr/>
                    <w:t>.98</w:t>
                  </w:r>
                </w:p>
              </w:tc>
            </w:tr>
            <w:tr>
              <w:trPr/>
              <w:tc>
                <w:tcPr>
                  <w:tcW w:w="914" w:type="dxa"/>
                  <w:tcBorders>
                    <w:top w:val="nil"/>
                    <w:bottom w:val="nil"/>
                  </w:tcBorders>
                  <w:vAlign w:val="center"/>
                </w:tcPr>
                <w:p>
                  <w:pPr>
                    <w:pStyle w:val="Compact"/>
                    <w:spacing w:before="36" w:after="36"/>
                    <w:jc w:val="center"/>
                    <w:rPr/>
                  </w:pPr>
                  <w:r>
                    <w:rPr/>
                    <w:t>GPT-5.6 Sol</w:t>
                  </w:r>
                </w:p>
              </w:tc>
              <w:tc>
                <w:tcPr>
                  <w:tcW w:w="914" w:type="dxa"/>
                  <w:tcBorders>
                    <w:top w:val="nil"/>
                    <w:bottom w:val="nil"/>
                  </w:tcBorders>
                  <w:vAlign w:val="center"/>
                </w:tcPr>
                <w:p>
                  <w:pPr>
                    <w:pStyle w:val="Compact"/>
                    <w:spacing w:before="36" w:after="36"/>
                    <w:jc w:val="center"/>
                    <w:rPr/>
                  </w:pPr>
                  <w:r>
                    <w:rPr/>
                    <w:t>.00</w:t>
                  </w:r>
                </w:p>
              </w:tc>
              <w:tc>
                <w:tcPr>
                  <w:tcW w:w="915"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1.00</w:t>
                  </w:r>
                </w:p>
              </w:tc>
              <w:tc>
                <w:tcPr>
                  <w:tcW w:w="915"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.00</w:t>
                  </w:r>
                </w:p>
              </w:tc>
              <w:tc>
                <w:tcPr>
                  <w:tcW w:w="915" w:type="dxa"/>
                  <w:tcBorders>
                    <w:top w:val="nil"/>
                    <w:bottom w:val="nil"/>
                  </w:tcBorders>
                  <w:vAlign w:val="center"/>
                </w:tcPr>
                <w:p>
                  <w:pPr>
                    <w:pStyle w:val="Compact"/>
                    <w:spacing w:before="36" w:after="36"/>
                    <w:jc w:val="center"/>
                    <w:rPr/>
                  </w:pPr>
                  <w:r>
                    <w:rPr/>
                    <w:t>.00</w:t>
                  </w:r>
                </w:p>
              </w:tc>
              <w:tc>
                <w:tcPr>
                  <w:tcW w:w="911" w:type="dxa"/>
                  <w:tcBorders>
                    <w:top w:val="nil"/>
                    <w:bottom w:val="nil"/>
                  </w:tcBorders>
                  <w:vAlign w:val="center"/>
                </w:tcPr>
                <w:p>
                  <w:pPr>
                    <w:pStyle w:val="Compact"/>
                    <w:spacing w:before="36" w:after="36"/>
                    <w:jc w:val="center"/>
                    <w:rPr/>
                  </w:pPr>
                  <w:r>
                    <w:rPr/>
                    <w:t>1.00</w:t>
                  </w:r>
                </w:p>
              </w:tc>
              <w:tc>
                <w:tcPr>
                  <w:tcW w:w="918" w:type="dxa"/>
                  <w:tcBorders>
                    <w:top w:val="nil"/>
                    <w:bottom w:val="nil"/>
                  </w:tcBorders>
                  <w:vAlign w:val="center"/>
                </w:tcPr>
                <w:p>
                  <w:pPr>
                    <w:pStyle w:val="Compact"/>
                    <w:spacing w:before="36" w:after="36"/>
                    <w:jc w:val="center"/>
                    <w:rPr/>
                  </w:pPr>
                  <w:r>
                    <w:rPr/>
                    <w:t>1.00</w:t>
                  </w:r>
                </w:p>
              </w:tc>
            </w:tr>
            <w:tr>
              <w:trPr/>
              <w:tc>
                <w:tcPr>
                  <w:tcW w:w="914" w:type="dxa"/>
                  <w:tcBorders>
                    <w:top w:val="nil"/>
                    <w:bottom w:val="nil"/>
                  </w:tcBorders>
                  <w:vAlign w:val="center"/>
                </w:tcPr>
                <w:p>
                  <w:pPr>
                    <w:pStyle w:val="Compact"/>
                    <w:spacing w:before="36" w:after="36"/>
                    <w:jc w:val="center"/>
                    <w:rPr/>
                  </w:pPr>
                  <w:r>
                    <w:rPr/>
                    <w:t>Claude Sonnet 5</w:t>
                  </w:r>
                </w:p>
              </w:tc>
              <w:tc>
                <w:tcPr>
                  <w:tcW w:w="914" w:type="dxa"/>
                  <w:tcBorders>
                    <w:top w:val="nil"/>
                    <w:bottom w:val="nil"/>
                  </w:tcBorders>
                  <w:vAlign w:val="center"/>
                </w:tcPr>
                <w:p>
                  <w:pPr>
                    <w:pStyle w:val="Compact"/>
                    <w:spacing w:before="36" w:after="36"/>
                    <w:jc w:val="center"/>
                    <w:rPr/>
                  </w:pPr>
                  <w:r>
                    <w:rPr/>
                    <w:t>.00</w:t>
                  </w:r>
                </w:p>
              </w:tc>
              <w:tc>
                <w:tcPr>
                  <w:tcW w:w="915"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1.00</w:t>
                  </w:r>
                </w:p>
              </w:tc>
              <w:tc>
                <w:tcPr>
                  <w:tcW w:w="915"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.00</w:t>
                  </w:r>
                </w:p>
              </w:tc>
              <w:tc>
                <w:tcPr>
                  <w:tcW w:w="915" w:type="dxa"/>
                  <w:tcBorders>
                    <w:top w:val="nil"/>
                    <w:bottom w:val="nil"/>
                  </w:tcBorders>
                  <w:vAlign w:val="center"/>
                </w:tcPr>
                <w:p>
                  <w:pPr>
                    <w:pStyle w:val="Compact"/>
                    <w:spacing w:before="36" w:after="36"/>
                    <w:jc w:val="center"/>
                    <w:rPr/>
                  </w:pPr>
                  <w:r>
                    <w:rPr/>
                    <w:t>.00</w:t>
                  </w:r>
                </w:p>
              </w:tc>
              <w:tc>
                <w:tcPr>
                  <w:tcW w:w="911" w:type="dxa"/>
                  <w:tcBorders>
                    <w:top w:val="nil"/>
                    <w:bottom w:val="nil"/>
                  </w:tcBorders>
                  <w:vAlign w:val="center"/>
                </w:tcPr>
                <w:p>
                  <w:pPr>
                    <w:pStyle w:val="Compact"/>
                    <w:spacing w:before="36" w:after="36"/>
                    <w:jc w:val="center"/>
                    <w:rPr/>
                  </w:pPr>
                  <w:r>
                    <w:rPr/>
                    <w:t>1.00</w:t>
                  </w:r>
                </w:p>
              </w:tc>
              <w:tc>
                <w:tcPr>
                  <w:tcW w:w="918" w:type="dxa"/>
                  <w:tcBorders>
                    <w:top w:val="nil"/>
                    <w:bottom w:val="nil"/>
                  </w:tcBorders>
                  <w:vAlign w:val="center"/>
                </w:tcPr>
                <w:p>
                  <w:pPr>
                    <w:pStyle w:val="Compact"/>
                    <w:spacing w:before="36" w:after="36"/>
                    <w:jc w:val="center"/>
                    <w:rPr/>
                  </w:pPr>
                  <w:r>
                    <w:rPr/>
                    <w:t>1.00</w:t>
                  </w:r>
                </w:p>
              </w:tc>
            </w:tr>
            <w:tr>
              <w:trPr/>
              <w:tc>
                <w:tcPr>
                  <w:tcW w:w="914" w:type="dxa"/>
                  <w:tcBorders>
                    <w:top w:val="nil"/>
                    <w:bottom w:val="nil"/>
                  </w:tcBorders>
                  <w:vAlign w:val="center"/>
                </w:tcPr>
                <w:p>
                  <w:pPr>
                    <w:pStyle w:val="Compact"/>
                    <w:spacing w:before="36" w:after="36"/>
                    <w:jc w:val="center"/>
                    <w:rPr/>
                  </w:pPr>
                  <w:r>
                    <w:rPr/>
                    <w:t>Claude Opus 5</w:t>
                  </w:r>
                </w:p>
              </w:tc>
              <w:tc>
                <w:tcPr>
                  <w:tcW w:w="914" w:type="dxa"/>
                  <w:tcBorders>
                    <w:top w:val="nil"/>
                    <w:bottom w:val="nil"/>
                  </w:tcBorders>
                  <w:vAlign w:val="center"/>
                </w:tcPr>
                <w:p>
                  <w:pPr>
                    <w:pStyle w:val="Compact"/>
                    <w:spacing w:before="36" w:after="36"/>
                    <w:jc w:val="center"/>
                    <w:rPr/>
                  </w:pPr>
                  <w:r>
                    <w:rPr/>
                    <w:t>.00</w:t>
                  </w:r>
                </w:p>
              </w:tc>
              <w:tc>
                <w:tcPr>
                  <w:tcW w:w="915"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1.00</w:t>
                  </w:r>
                </w:p>
              </w:tc>
              <w:tc>
                <w:tcPr>
                  <w:tcW w:w="915" w:type="dxa"/>
                  <w:tcBorders>
                    <w:top w:val="nil"/>
                    <w:bottom w:val="nil"/>
                  </w:tcBorders>
                  <w:vAlign w:val="center"/>
                </w:tcPr>
                <w:p>
                  <w:pPr>
                    <w:pStyle w:val="Compact"/>
                    <w:spacing w:before="36" w:after="36"/>
                    <w:jc w:val="center"/>
                    <w:rPr/>
                  </w:pPr>
                  <w:r>
                    <w:rPr/>
                    <w:t>.00</w:t>
                  </w:r>
                </w:p>
              </w:tc>
              <w:tc>
                <w:tcPr>
                  <w:tcW w:w="914" w:type="dxa"/>
                  <w:tcBorders>
                    <w:top w:val="nil"/>
                    <w:bottom w:val="nil"/>
                  </w:tcBorders>
                  <w:vAlign w:val="center"/>
                </w:tcPr>
                <w:p>
                  <w:pPr>
                    <w:pStyle w:val="Compact"/>
                    <w:spacing w:before="36" w:after="36"/>
                    <w:jc w:val="center"/>
                    <w:rPr/>
                  </w:pPr>
                  <w:r>
                    <w:rPr/>
                    <w:t>.00</w:t>
                  </w:r>
                </w:p>
              </w:tc>
              <w:tc>
                <w:tcPr>
                  <w:tcW w:w="915" w:type="dxa"/>
                  <w:tcBorders>
                    <w:top w:val="nil"/>
                    <w:bottom w:val="nil"/>
                  </w:tcBorders>
                  <w:vAlign w:val="center"/>
                </w:tcPr>
                <w:p>
                  <w:pPr>
                    <w:pStyle w:val="Compact"/>
                    <w:spacing w:before="36" w:after="36"/>
                    <w:jc w:val="center"/>
                    <w:rPr/>
                  </w:pPr>
                  <w:r>
                    <w:rPr/>
                    <w:t>.00</w:t>
                  </w:r>
                </w:p>
              </w:tc>
              <w:tc>
                <w:tcPr>
                  <w:tcW w:w="911" w:type="dxa"/>
                  <w:tcBorders>
                    <w:top w:val="nil"/>
                    <w:bottom w:val="nil"/>
                  </w:tcBorders>
                  <w:vAlign w:val="center"/>
                </w:tcPr>
                <w:p>
                  <w:pPr>
                    <w:pStyle w:val="Compact"/>
                    <w:spacing w:before="36" w:after="36"/>
                    <w:jc w:val="center"/>
                    <w:rPr/>
                  </w:pPr>
                  <w:r>
                    <w:rPr/>
                    <w:t>1.00</w:t>
                  </w:r>
                </w:p>
              </w:tc>
              <w:tc>
                <w:tcPr>
                  <w:tcW w:w="918" w:type="dxa"/>
                  <w:tcBorders>
                    <w:top w:val="nil"/>
                    <w:bottom w:val="nil"/>
                  </w:tcBorders>
                  <w:vAlign w:val="center"/>
                </w:tcPr>
                <w:p>
                  <w:pPr>
                    <w:pStyle w:val="Compact"/>
                    <w:spacing w:before="36" w:after="36"/>
                    <w:jc w:val="center"/>
                    <w:rPr/>
                  </w:pPr>
                  <w:r>
                    <w:rPr/>
                    <w:t>1.00</w:t>
                  </w:r>
                </w:p>
              </w:tc>
            </w:tr>
            <w:tr>
              <w:trPr/>
              <w:tc>
                <w:tcPr>
                  <w:tcW w:w="914" w:type="dxa"/>
                  <w:tcBorders>
                    <w:top w:val="nil"/>
                  </w:tcBorders>
                  <w:vAlign w:val="center"/>
                </w:tcPr>
                <w:p>
                  <w:pPr>
                    <w:pStyle w:val="Compact"/>
                    <w:spacing w:before="36" w:after="36"/>
                    <w:jc w:val="center"/>
                    <w:rPr/>
                  </w:pPr>
                  <w:r>
                    <w:rPr>
                      <w:b/>
                      <w:bCs/>
                    </w:rPr>
                    <w:t>Pooled, six LLMs</w:t>
                  </w:r>
                </w:p>
              </w:tc>
              <w:tc>
                <w:tcPr>
                  <w:tcW w:w="914" w:type="dxa"/>
                  <w:tcBorders>
                    <w:top w:val="nil"/>
                  </w:tcBorders>
                  <w:vAlign w:val="center"/>
                </w:tcPr>
                <w:p>
                  <w:pPr>
                    <w:pStyle w:val="Compact"/>
                    <w:spacing w:before="36" w:after="36"/>
                    <w:jc w:val="center"/>
                    <w:rPr/>
                  </w:pPr>
                  <w:r>
                    <w:rPr/>
                    <w:t>.00</w:t>
                  </w:r>
                </w:p>
              </w:tc>
              <w:tc>
                <w:tcPr>
                  <w:tcW w:w="915" w:type="dxa"/>
                  <w:tcBorders>
                    <w:top w:val="nil"/>
                  </w:tcBorders>
                  <w:vAlign w:val="center"/>
                </w:tcPr>
                <w:p>
                  <w:pPr>
                    <w:pStyle w:val="Compact"/>
                    <w:spacing w:before="36" w:after="36"/>
                    <w:jc w:val="center"/>
                    <w:rPr/>
                  </w:pPr>
                  <w:r>
                    <w:rPr/>
                    <w:t>.00</w:t>
                  </w:r>
                </w:p>
              </w:tc>
              <w:tc>
                <w:tcPr>
                  <w:tcW w:w="914" w:type="dxa"/>
                  <w:tcBorders>
                    <w:top w:val="nil"/>
                  </w:tcBorders>
                  <w:vAlign w:val="center"/>
                </w:tcPr>
                <w:p>
                  <w:pPr>
                    <w:pStyle w:val="Compact"/>
                    <w:spacing w:before="36" w:after="36"/>
                    <w:jc w:val="center"/>
                    <w:rPr/>
                  </w:pPr>
                  <w:r>
                    <w:rPr/>
                    <w:t>.04</w:t>
                  </w:r>
                </w:p>
              </w:tc>
              <w:tc>
                <w:tcPr>
                  <w:tcW w:w="914" w:type="dxa"/>
                  <w:tcBorders>
                    <w:top w:val="nil"/>
                  </w:tcBorders>
                  <w:vAlign w:val="center"/>
                </w:tcPr>
                <w:p>
                  <w:pPr>
                    <w:pStyle w:val="Compact"/>
                    <w:spacing w:before="36" w:after="36"/>
                    <w:jc w:val="center"/>
                    <w:rPr/>
                  </w:pPr>
                  <w:r>
                    <w:rPr/>
                    <w:t>1.00</w:t>
                  </w:r>
                </w:p>
              </w:tc>
              <w:tc>
                <w:tcPr>
                  <w:tcW w:w="915" w:type="dxa"/>
                  <w:tcBorders>
                    <w:top w:val="nil"/>
                  </w:tcBorders>
                  <w:vAlign w:val="center"/>
                </w:tcPr>
                <w:p>
                  <w:pPr>
                    <w:pStyle w:val="Compact"/>
                    <w:spacing w:before="36" w:after="36"/>
                    <w:jc w:val="center"/>
                    <w:rPr/>
                  </w:pPr>
                  <w:r>
                    <w:rPr/>
                    <w:t>.00</w:t>
                  </w:r>
                </w:p>
              </w:tc>
              <w:tc>
                <w:tcPr>
                  <w:tcW w:w="914" w:type="dxa"/>
                  <w:tcBorders>
                    <w:top w:val="nil"/>
                  </w:tcBorders>
                  <w:vAlign w:val="center"/>
                </w:tcPr>
                <w:p>
                  <w:pPr>
                    <w:pStyle w:val="Compact"/>
                    <w:spacing w:before="36" w:after="36"/>
                    <w:jc w:val="center"/>
                    <w:rPr/>
                  </w:pPr>
                  <w:r>
                    <w:rPr/>
                    <w:t>.00</w:t>
                  </w:r>
                </w:p>
              </w:tc>
              <w:tc>
                <w:tcPr>
                  <w:tcW w:w="915" w:type="dxa"/>
                  <w:tcBorders>
                    <w:top w:val="nil"/>
                  </w:tcBorders>
                  <w:vAlign w:val="center"/>
                </w:tcPr>
                <w:p>
                  <w:pPr>
                    <w:pStyle w:val="Compact"/>
                    <w:spacing w:before="36" w:after="36"/>
                    <w:jc w:val="center"/>
                    <w:rPr/>
                  </w:pPr>
                  <w:r>
                    <w:rPr/>
                    <w:t>.00</w:t>
                  </w:r>
                </w:p>
              </w:tc>
              <w:tc>
                <w:tcPr>
                  <w:tcW w:w="911" w:type="dxa"/>
                  <w:tcBorders>
                    <w:top w:val="nil"/>
                  </w:tcBorders>
                  <w:vAlign w:val="center"/>
                </w:tcPr>
                <w:p>
                  <w:pPr>
                    <w:pStyle w:val="Compact"/>
                    <w:spacing w:before="36" w:after="36"/>
                    <w:jc w:val="center"/>
                    <w:rPr/>
                  </w:pPr>
                  <w:r>
                    <w:rPr/>
                    <w:t>.99</w:t>
                  </w:r>
                </w:p>
              </w:tc>
              <w:tc>
                <w:tcPr>
                  <w:tcW w:w="918" w:type="dxa"/>
                  <w:tcBorders>
                    <w:top w:val="nil"/>
                  </w:tcBorders>
                  <w:vAlign w:val="center"/>
                </w:tcPr>
                <w:p>
                  <w:pPr>
                    <w:pStyle w:val="Compact"/>
                    <w:spacing w:before="36" w:after="36"/>
                    <w:jc w:val="center"/>
                    <w:rPr/>
                  </w:pPr>
                  <w:r>
                    <w:rPr/>
                    <w:t>.98</w:t>
                  </w:r>
                  <w:bookmarkStart w:id="186" w:name="apptbl-fixed-reveal-permodel"/>
                  <w:bookmarkEnd w:id="186"/>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50</m:t>
        </m:r>
      </m:oMath>
      <w:r>
        <w:rPr/>
        <w:t xml:space="preserve"> sessions per LLM per state. Entries are the proportion of sessions selecting the alternative with the superior price-per-ounce, Coffee B in the Study 1 environment and Coffee E in the Study 2 environment. The pooled row aggregates the six LLMs other than Gemini 3.1 Flash Lite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300</m:t>
        </m:r>
      </m:oMath>
      <w:r>
        <w:rPr/>
        <w:t xml:space="preserve"> per state). State labels follow </w:t>
      </w:r>
      <w:hyperlink w:anchor="apptbl-fixed-reveal-design">
        <w:r>
          <w:rPr>
            <w:rStyle w:val="Hyperlink"/>
          </w:rPr>
          <w:t>Table W30</w:t>
        </w:r>
      </w:hyperlink>
      <w:r>
        <w:rPr/>
        <w:t>.</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0" w:val="0000"/>
      </w:tblPr>
      <w:tblGrid>
        <w:gridCol w:w="9360"/>
      </w:tblGrid>
      <w:tr>
        <w:trPr/>
        <w:tc>
          <w:tcPr>
            <w:tcW w:w="9360" w:type="dxa"/>
            <w:tcBorders/>
          </w:tcPr>
          <w:p>
            <w:pPr>
              <w:pStyle w:val="ImageCaption"/>
              <w:spacing w:before="200" w:after="120"/>
              <w:jc w:val="left"/>
              <w:rPr/>
            </w:pPr>
            <w:r>
              <w:rPr/>
              <w:t>Table W32: Full choice distributions by LLM and assigned information state</w:t>
            </w:r>
          </w:p>
          <w:tbl>
            <w:tblPr>
              <w:tblStyle w:val="APATable"/>
              <w:tblW w:w="5000" w:type="pct"/>
              <w:jc w:val="left"/>
              <w:tblInd w:w="0" w:type="dxa"/>
              <w:tblLayout w:type="fixed"/>
              <w:tblCellMar>
                <w:top w:w="100" w:type="dxa"/>
                <w:left w:w="100" w:type="dxa"/>
                <w:bottom w:w="100" w:type="dxa"/>
                <w:right w:w="100" w:type="dxa"/>
              </w:tblCellMar>
              <w:tblLook w:noHBand="0" w:noVBand="0" w:firstColumn="0" w:lastRow="0" w:lastColumn="0" w:firstRow="1" w:val="0020"/>
            </w:tblPr>
            <w:tblGrid>
              <w:gridCol w:w="914"/>
              <w:gridCol w:w="914"/>
              <w:gridCol w:w="915"/>
              <w:gridCol w:w="914"/>
              <w:gridCol w:w="914"/>
              <w:gridCol w:w="915"/>
              <w:gridCol w:w="914"/>
              <w:gridCol w:w="915"/>
              <w:gridCol w:w="911"/>
              <w:gridCol w:w="918"/>
            </w:tblGrid>
            <w:tr>
              <w:trPr>
                <w:tblHeader w:val="true"/>
              </w:trPr>
              <w:tc>
                <w:tcPr>
                  <w:tcW w:w="914" w:type="dxa"/>
                  <w:tcBorders/>
                  <w:vAlign w:val="center"/>
                </w:tcPr>
                <w:p>
                  <w:pPr>
                    <w:pStyle w:val="Compact"/>
                    <w:spacing w:before="36" w:after="36"/>
                    <w:rPr>
                      <w:b w:val="false"/>
                    </w:rPr>
                  </w:pPr>
                  <w:r>
                    <w:rPr>
                      <w:b w:val="false"/>
                    </w:rPr>
                  </w:r>
                </w:p>
              </w:tc>
              <w:tc>
                <w:tcPr>
                  <w:tcW w:w="914" w:type="dxa"/>
                  <w:tcBorders/>
                  <w:vAlign w:val="center"/>
                </w:tcPr>
                <w:p>
                  <w:pPr>
                    <w:pStyle w:val="Compact"/>
                    <w:spacing w:before="36" w:after="36"/>
                    <w:jc w:val="center"/>
                    <w:rPr>
                      <w:b w:val="false"/>
                    </w:rPr>
                  </w:pPr>
                  <w:r>
                    <w:rPr>
                      <w:b w:val="false"/>
                    </w:rPr>
                    <w:t>$</w:t>
                  </w:r>
                </w:p>
              </w:tc>
              <w:tc>
                <w:tcPr>
                  <w:tcW w:w="915" w:type="dxa"/>
                  <w:tcBorders/>
                  <w:vAlign w:val="center"/>
                </w:tcPr>
                <w:p>
                  <w:pPr>
                    <w:pStyle w:val="Compact"/>
                    <w:spacing w:before="36" w:after="36"/>
                    <w:jc w:val="center"/>
                    <w:rPr>
                      <w:b w:val="false"/>
                    </w:rPr>
                  </w:pPr>
                  <w:r>
                    <w:rPr>
                      <w:b w:val="false"/>
                    </w:rPr>
                    <w:t>$+roast</w:t>
                  </w:r>
                </w:p>
              </w:tc>
              <w:tc>
                <w:tcPr>
                  <w:tcW w:w="914" w:type="dxa"/>
                  <w:tcBorders/>
                  <w:vAlign w:val="center"/>
                </w:tcPr>
                <w:p>
                  <w:pPr>
                    <w:pStyle w:val="Compact"/>
                    <w:spacing w:before="36" w:after="36"/>
                    <w:jc w:val="center"/>
                    <w:rPr>
                      <w:b w:val="false"/>
                    </w:rPr>
                  </w:pPr>
                  <w:r>
                    <w:rPr>
                      <w:b w:val="false"/>
                    </w:rPr>
                    <w:t>$+oz</w:t>
                  </w:r>
                </w:p>
              </w:tc>
              <w:tc>
                <w:tcPr>
                  <w:tcW w:w="914" w:type="dxa"/>
                  <w:tcBorders/>
                  <w:vAlign w:val="center"/>
                </w:tcPr>
                <w:p>
                  <w:pPr>
                    <w:pStyle w:val="Compact"/>
                    <w:spacing w:before="36" w:after="36"/>
                    <w:jc w:val="center"/>
                    <w:rPr>
                      <w:b w:val="false"/>
                    </w:rPr>
                  </w:pPr>
                  <w:r>
                    <w:rPr>
                      <w:b w:val="false"/>
                    </w:rPr>
                    <w:t>$+¢+oz</w:t>
                  </w:r>
                </w:p>
              </w:tc>
              <w:tc>
                <w:tcPr>
                  <w:tcW w:w="915" w:type="dxa"/>
                  <w:tcBorders/>
                  <w:vAlign w:val="center"/>
                </w:tcPr>
                <w:p>
                  <w:pPr>
                    <w:pStyle w:val="Compact"/>
                    <w:spacing w:before="36" w:after="36"/>
                    <w:jc w:val="center"/>
                    <w:rPr>
                      <w:b w:val="false"/>
                    </w:rPr>
                  </w:pPr>
                  <w:r>
                    <w:rPr>
                      <w:b w:val="false"/>
                    </w:rPr>
                    <w:t>LP</w:t>
                  </w:r>
                </w:p>
              </w:tc>
              <w:tc>
                <w:tcPr>
                  <w:tcW w:w="914" w:type="dxa"/>
                  <w:tcBorders/>
                  <w:vAlign w:val="center"/>
                </w:tcPr>
                <w:p>
                  <w:pPr>
                    <w:pStyle w:val="Compact"/>
                    <w:spacing w:before="36" w:after="36"/>
                    <w:jc w:val="center"/>
                    <w:rPr>
                      <w:b w:val="false"/>
                    </w:rPr>
                  </w:pPr>
                  <w:r>
                    <w:rPr>
                      <w:b w:val="false"/>
                    </w:rPr>
                    <w:t>LP+roast</w:t>
                  </w:r>
                </w:p>
              </w:tc>
              <w:tc>
                <w:tcPr>
                  <w:tcW w:w="915" w:type="dxa"/>
                  <w:tcBorders/>
                  <w:vAlign w:val="center"/>
                </w:tcPr>
                <w:p>
                  <w:pPr>
                    <w:pStyle w:val="Compact"/>
                    <w:spacing w:before="36" w:after="36"/>
                    <w:jc w:val="center"/>
                    <w:rPr>
                      <w:b w:val="false"/>
                    </w:rPr>
                  </w:pPr>
                  <w:r>
                    <w:rPr>
                      <w:b w:val="false"/>
                    </w:rPr>
                    <w:t>LP+%</w:t>
                  </w:r>
                </w:p>
              </w:tc>
              <w:tc>
                <w:tcPr>
                  <w:tcW w:w="911" w:type="dxa"/>
                  <w:tcBorders/>
                  <w:vAlign w:val="center"/>
                </w:tcPr>
                <w:p>
                  <w:pPr>
                    <w:pStyle w:val="Compact"/>
                    <w:spacing w:before="36" w:after="36"/>
                    <w:jc w:val="center"/>
                    <w:rPr>
                      <w:b w:val="false"/>
                    </w:rPr>
                  </w:pPr>
                  <w:r>
                    <w:rPr>
                      <w:b w:val="false"/>
                    </w:rPr>
                    <w:t>LP+oz</w:t>
                  </w:r>
                </w:p>
              </w:tc>
              <w:tc>
                <w:tcPr>
                  <w:tcW w:w="918" w:type="dxa"/>
                  <w:tcBorders/>
                  <w:vAlign w:val="center"/>
                </w:tcPr>
                <w:p>
                  <w:pPr>
                    <w:pStyle w:val="Compact"/>
                    <w:spacing w:before="36" w:after="36"/>
                    <w:jc w:val="center"/>
                    <w:rPr>
                      <w:b w:val="false"/>
                    </w:rPr>
                  </w:pPr>
                  <w:r>
                    <w:rPr>
                      <w:b w:val="false"/>
                    </w:rPr>
                    <w:t>LP+%+oz</w:t>
                  </w:r>
                </w:p>
              </w:tc>
            </w:tr>
            <w:tr>
              <w:trPr/>
              <w:tc>
                <w:tcPr>
                  <w:tcW w:w="914" w:type="dxa"/>
                  <w:tcBorders>
                    <w:top w:val="nil"/>
                    <w:bottom w:val="nil"/>
                  </w:tcBorders>
                  <w:vAlign w:val="center"/>
                </w:tcPr>
                <w:p>
                  <w:pPr>
                    <w:pStyle w:val="Compact"/>
                    <w:spacing w:before="36" w:after="36"/>
                    <w:jc w:val="center"/>
                    <w:rPr/>
                  </w:pPr>
                  <w:r>
                    <w:rPr/>
                    <w:t>Gemini 3.1 Flash Lite</w:t>
                  </w:r>
                </w:p>
              </w:tc>
              <w:tc>
                <w:tcPr>
                  <w:tcW w:w="914" w:type="dxa"/>
                  <w:tcBorders>
                    <w:top w:val="nil"/>
                    <w:bottom w:val="nil"/>
                  </w:tcBorders>
                  <w:vAlign w:val="center"/>
                </w:tcPr>
                <w:p>
                  <w:pPr>
                    <w:pStyle w:val="Compact"/>
                    <w:spacing w:before="36" w:after="36"/>
                    <w:jc w:val="center"/>
                    <w:rPr/>
                  </w:pPr>
                  <w:r>
                    <w:rPr/>
                    <w:t>50/0</w:t>
                  </w:r>
                </w:p>
              </w:tc>
              <w:tc>
                <w:tcPr>
                  <w:tcW w:w="915" w:type="dxa"/>
                  <w:tcBorders>
                    <w:top w:val="nil"/>
                    <w:bottom w:val="nil"/>
                  </w:tcBorders>
                  <w:vAlign w:val="center"/>
                </w:tcPr>
                <w:p>
                  <w:pPr>
                    <w:pStyle w:val="Compact"/>
                    <w:spacing w:before="36" w:after="36"/>
                    <w:jc w:val="center"/>
                    <w:rPr/>
                  </w:pPr>
                  <w:r>
                    <w:rPr/>
                    <w:t>50/0</w:t>
                  </w:r>
                </w:p>
              </w:tc>
              <w:tc>
                <w:tcPr>
                  <w:tcW w:w="914" w:type="dxa"/>
                  <w:tcBorders>
                    <w:top w:val="nil"/>
                    <w:bottom w:val="nil"/>
                  </w:tcBorders>
                  <w:vAlign w:val="center"/>
                </w:tcPr>
                <w:p>
                  <w:pPr>
                    <w:pStyle w:val="Compact"/>
                    <w:spacing w:before="36" w:after="36"/>
                    <w:jc w:val="center"/>
                    <w:rPr/>
                  </w:pPr>
                  <w:r>
                    <w:rPr/>
                    <w:t>35/15</w:t>
                  </w:r>
                </w:p>
              </w:tc>
              <w:tc>
                <w:tcPr>
                  <w:tcW w:w="914" w:type="dxa"/>
                  <w:tcBorders>
                    <w:top w:val="nil"/>
                    <w:bottom w:val="nil"/>
                  </w:tcBorders>
                  <w:vAlign w:val="center"/>
                </w:tcPr>
                <w:p>
                  <w:pPr>
                    <w:pStyle w:val="Compact"/>
                    <w:spacing w:before="36" w:after="36"/>
                    <w:jc w:val="center"/>
                    <w:rPr/>
                  </w:pPr>
                  <w:r>
                    <w:rPr/>
                    <w:t>32/18</w:t>
                  </w:r>
                </w:p>
              </w:tc>
              <w:tc>
                <w:tcPr>
                  <w:tcW w:w="915" w:type="dxa"/>
                  <w:tcBorders>
                    <w:top w:val="nil"/>
                    <w:bottom w:val="nil"/>
                  </w:tcBorders>
                  <w:vAlign w:val="center"/>
                </w:tcPr>
                <w:p>
                  <w:pPr>
                    <w:pStyle w:val="Compact"/>
                    <w:spacing w:before="36" w:after="36"/>
                    <w:jc w:val="center"/>
                    <w:rPr/>
                  </w:pPr>
                  <w:r>
                    <w:rPr/>
                    <w:t>50/0/0</w:t>
                  </w:r>
                </w:p>
              </w:tc>
              <w:tc>
                <w:tcPr>
                  <w:tcW w:w="914" w:type="dxa"/>
                  <w:tcBorders>
                    <w:top w:val="nil"/>
                    <w:bottom w:val="nil"/>
                  </w:tcBorders>
                  <w:vAlign w:val="center"/>
                </w:tcPr>
                <w:p>
                  <w:pPr>
                    <w:pStyle w:val="Compact"/>
                    <w:spacing w:before="36" w:after="36"/>
                    <w:jc w:val="center"/>
                    <w:rPr/>
                  </w:pPr>
                  <w:r>
                    <w:rPr/>
                    <w:t>50/0/0</w:t>
                  </w:r>
                </w:p>
              </w:tc>
              <w:tc>
                <w:tcPr>
                  <w:tcW w:w="915" w:type="dxa"/>
                  <w:tcBorders>
                    <w:top w:val="nil"/>
                    <w:bottom w:val="nil"/>
                  </w:tcBorders>
                  <w:vAlign w:val="center"/>
                </w:tcPr>
                <w:p>
                  <w:pPr>
                    <w:pStyle w:val="Compact"/>
                    <w:spacing w:before="36" w:after="36"/>
                    <w:jc w:val="center"/>
                    <w:rPr/>
                  </w:pPr>
                  <w:r>
                    <w:rPr/>
                    <w:t>4/46/0</w:t>
                  </w:r>
                </w:p>
              </w:tc>
              <w:tc>
                <w:tcPr>
                  <w:tcW w:w="911" w:type="dxa"/>
                  <w:tcBorders>
                    <w:top w:val="nil"/>
                    <w:bottom w:val="nil"/>
                  </w:tcBorders>
                  <w:vAlign w:val="center"/>
                </w:tcPr>
                <w:p>
                  <w:pPr>
                    <w:pStyle w:val="Compact"/>
                    <w:spacing w:before="36" w:after="36"/>
                    <w:jc w:val="center"/>
                    <w:rPr/>
                  </w:pPr>
                  <w:r>
                    <w:rPr/>
                    <w:t>18/11/21</w:t>
                  </w:r>
                </w:p>
              </w:tc>
              <w:tc>
                <w:tcPr>
                  <w:tcW w:w="918" w:type="dxa"/>
                  <w:tcBorders>
                    <w:top w:val="nil"/>
                    <w:bottom w:val="nil"/>
                  </w:tcBorders>
                  <w:vAlign w:val="center"/>
                </w:tcPr>
                <w:p>
                  <w:pPr>
                    <w:pStyle w:val="Compact"/>
                    <w:spacing w:before="36" w:after="36"/>
                    <w:jc w:val="center"/>
                    <w:rPr/>
                  </w:pPr>
                  <w:r>
                    <w:rPr/>
                    <w:t>0/49/1</w:t>
                  </w:r>
                </w:p>
              </w:tc>
            </w:tr>
            <w:tr>
              <w:trPr/>
              <w:tc>
                <w:tcPr>
                  <w:tcW w:w="914" w:type="dxa"/>
                  <w:tcBorders>
                    <w:top w:val="nil"/>
                    <w:bottom w:val="nil"/>
                  </w:tcBorders>
                  <w:vAlign w:val="center"/>
                </w:tcPr>
                <w:p>
                  <w:pPr>
                    <w:pStyle w:val="Compact"/>
                    <w:spacing w:before="36" w:after="36"/>
                    <w:jc w:val="center"/>
                    <w:rPr/>
                  </w:pPr>
                  <w:r>
                    <w:rPr/>
                    <w:t>Gemini 3.1 Pro</w:t>
                  </w:r>
                </w:p>
              </w:tc>
              <w:tc>
                <w:tcPr>
                  <w:tcW w:w="914" w:type="dxa"/>
                  <w:tcBorders>
                    <w:top w:val="nil"/>
                    <w:bottom w:val="nil"/>
                  </w:tcBorders>
                  <w:vAlign w:val="center"/>
                </w:tcPr>
                <w:p>
                  <w:pPr>
                    <w:pStyle w:val="Compact"/>
                    <w:spacing w:before="36" w:after="36"/>
                    <w:jc w:val="center"/>
                    <w:rPr/>
                  </w:pPr>
                  <w:r>
                    <w:rPr/>
                    <w:t>50/0</w:t>
                  </w:r>
                </w:p>
              </w:tc>
              <w:tc>
                <w:tcPr>
                  <w:tcW w:w="915" w:type="dxa"/>
                  <w:tcBorders>
                    <w:top w:val="nil"/>
                    <w:bottom w:val="nil"/>
                  </w:tcBorders>
                  <w:vAlign w:val="center"/>
                </w:tcPr>
                <w:p>
                  <w:pPr>
                    <w:pStyle w:val="Compact"/>
                    <w:spacing w:before="36" w:after="36"/>
                    <w:jc w:val="center"/>
                    <w:rPr/>
                  </w:pPr>
                  <w:r>
                    <w:rPr/>
                    <w:t>50/0</w:t>
                  </w:r>
                </w:p>
              </w:tc>
              <w:tc>
                <w:tcPr>
                  <w:tcW w:w="914" w:type="dxa"/>
                  <w:tcBorders>
                    <w:top w:val="nil"/>
                    <w:bottom w:val="nil"/>
                  </w:tcBorders>
                  <w:vAlign w:val="center"/>
                </w:tcPr>
                <w:p>
                  <w:pPr>
                    <w:pStyle w:val="Compact"/>
                    <w:spacing w:before="36" w:after="36"/>
                    <w:jc w:val="center"/>
                    <w:rPr/>
                  </w:pPr>
                  <w:r>
                    <w:rPr/>
                    <w:t>49/1</w:t>
                  </w:r>
                </w:p>
              </w:tc>
              <w:tc>
                <w:tcPr>
                  <w:tcW w:w="914" w:type="dxa"/>
                  <w:tcBorders>
                    <w:top w:val="nil"/>
                    <w:bottom w:val="nil"/>
                  </w:tcBorders>
                  <w:vAlign w:val="center"/>
                </w:tcPr>
                <w:p>
                  <w:pPr>
                    <w:pStyle w:val="Compact"/>
                    <w:spacing w:before="36" w:after="36"/>
                    <w:jc w:val="center"/>
                    <w:rPr/>
                  </w:pPr>
                  <w:r>
                    <w:rPr/>
                    <w:t>0/50</w:t>
                  </w:r>
                </w:p>
              </w:tc>
              <w:tc>
                <w:tcPr>
                  <w:tcW w:w="915" w:type="dxa"/>
                  <w:tcBorders>
                    <w:top w:val="nil"/>
                    <w:bottom w:val="nil"/>
                  </w:tcBorders>
                  <w:vAlign w:val="center"/>
                </w:tcPr>
                <w:p>
                  <w:pPr>
                    <w:pStyle w:val="Compact"/>
                    <w:spacing w:before="36" w:after="36"/>
                    <w:jc w:val="center"/>
                    <w:rPr/>
                  </w:pPr>
                  <w:r>
                    <w:rPr/>
                    <w:t>50/0/0</w:t>
                  </w:r>
                </w:p>
              </w:tc>
              <w:tc>
                <w:tcPr>
                  <w:tcW w:w="914" w:type="dxa"/>
                  <w:tcBorders>
                    <w:top w:val="nil"/>
                    <w:bottom w:val="nil"/>
                  </w:tcBorders>
                  <w:vAlign w:val="center"/>
                </w:tcPr>
                <w:p>
                  <w:pPr>
                    <w:pStyle w:val="Compact"/>
                    <w:spacing w:before="36" w:after="36"/>
                    <w:jc w:val="center"/>
                    <w:rPr/>
                  </w:pPr>
                  <w:r>
                    <w:rPr/>
                    <w:t>50/0/0</w:t>
                  </w:r>
                </w:p>
              </w:tc>
              <w:tc>
                <w:tcPr>
                  <w:tcW w:w="915" w:type="dxa"/>
                  <w:tcBorders>
                    <w:top w:val="nil"/>
                    <w:bottom w:val="nil"/>
                  </w:tcBorders>
                  <w:vAlign w:val="center"/>
                </w:tcPr>
                <w:p>
                  <w:pPr>
                    <w:pStyle w:val="Compact"/>
                    <w:spacing w:before="36" w:after="36"/>
                    <w:jc w:val="center"/>
                    <w:rPr/>
                  </w:pPr>
                  <w:r>
                    <w:rPr/>
                    <w:t>50/0/0</w:t>
                  </w:r>
                </w:p>
              </w:tc>
              <w:tc>
                <w:tcPr>
                  <w:tcW w:w="911" w:type="dxa"/>
                  <w:tcBorders>
                    <w:top w:val="nil"/>
                    <w:bottom w:val="nil"/>
                  </w:tcBorders>
                  <w:vAlign w:val="center"/>
                </w:tcPr>
                <w:p>
                  <w:pPr>
                    <w:pStyle w:val="Compact"/>
                    <w:spacing w:before="36" w:after="36"/>
                    <w:jc w:val="center"/>
                    <w:rPr/>
                  </w:pPr>
                  <w:r>
                    <w:rPr/>
                    <w:t>1/0/49</w:t>
                  </w:r>
                </w:p>
              </w:tc>
              <w:tc>
                <w:tcPr>
                  <w:tcW w:w="918" w:type="dxa"/>
                  <w:tcBorders>
                    <w:top w:val="nil"/>
                    <w:bottom w:val="nil"/>
                  </w:tcBorders>
                  <w:vAlign w:val="center"/>
                </w:tcPr>
                <w:p>
                  <w:pPr>
                    <w:pStyle w:val="Compact"/>
                    <w:spacing w:before="36" w:after="36"/>
                    <w:jc w:val="center"/>
                    <w:rPr/>
                  </w:pPr>
                  <w:r>
                    <w:rPr/>
                    <w:t>0/0/50</w:t>
                  </w:r>
                </w:p>
              </w:tc>
            </w:tr>
            <w:tr>
              <w:trPr/>
              <w:tc>
                <w:tcPr>
                  <w:tcW w:w="914" w:type="dxa"/>
                  <w:tcBorders>
                    <w:top w:val="nil"/>
                    <w:bottom w:val="nil"/>
                  </w:tcBorders>
                  <w:vAlign w:val="center"/>
                </w:tcPr>
                <w:p>
                  <w:pPr>
                    <w:pStyle w:val="Compact"/>
                    <w:spacing w:before="36" w:after="36"/>
                    <w:jc w:val="center"/>
                    <w:rPr/>
                  </w:pPr>
                  <w:r>
                    <w:rPr/>
                    <w:t>GPT-5.6 Luna</w:t>
                  </w:r>
                </w:p>
              </w:tc>
              <w:tc>
                <w:tcPr>
                  <w:tcW w:w="914" w:type="dxa"/>
                  <w:tcBorders>
                    <w:top w:val="nil"/>
                    <w:bottom w:val="nil"/>
                  </w:tcBorders>
                  <w:vAlign w:val="center"/>
                </w:tcPr>
                <w:p>
                  <w:pPr>
                    <w:pStyle w:val="Compact"/>
                    <w:spacing w:before="36" w:after="36"/>
                    <w:jc w:val="center"/>
                    <w:rPr/>
                  </w:pPr>
                  <w:r>
                    <w:rPr/>
                    <w:t>50/0</w:t>
                  </w:r>
                </w:p>
              </w:tc>
              <w:tc>
                <w:tcPr>
                  <w:tcW w:w="915" w:type="dxa"/>
                  <w:tcBorders>
                    <w:top w:val="nil"/>
                    <w:bottom w:val="nil"/>
                  </w:tcBorders>
                  <w:vAlign w:val="center"/>
                </w:tcPr>
                <w:p>
                  <w:pPr>
                    <w:pStyle w:val="Compact"/>
                    <w:spacing w:before="36" w:after="36"/>
                    <w:jc w:val="center"/>
                    <w:rPr/>
                  </w:pPr>
                  <w:r>
                    <w:rPr/>
                    <w:t>50/0</w:t>
                  </w:r>
                </w:p>
              </w:tc>
              <w:tc>
                <w:tcPr>
                  <w:tcW w:w="914" w:type="dxa"/>
                  <w:tcBorders>
                    <w:top w:val="nil"/>
                    <w:bottom w:val="nil"/>
                  </w:tcBorders>
                  <w:vAlign w:val="center"/>
                </w:tcPr>
                <w:p>
                  <w:pPr>
                    <w:pStyle w:val="Compact"/>
                    <w:spacing w:before="36" w:after="36"/>
                    <w:jc w:val="center"/>
                    <w:rPr/>
                  </w:pPr>
                  <w:r>
                    <w:rPr/>
                    <w:t>50/0</w:t>
                  </w:r>
                </w:p>
              </w:tc>
              <w:tc>
                <w:tcPr>
                  <w:tcW w:w="914" w:type="dxa"/>
                  <w:tcBorders>
                    <w:top w:val="nil"/>
                    <w:bottom w:val="nil"/>
                  </w:tcBorders>
                  <w:vAlign w:val="center"/>
                </w:tcPr>
                <w:p>
                  <w:pPr>
                    <w:pStyle w:val="Compact"/>
                    <w:spacing w:before="36" w:after="36"/>
                    <w:jc w:val="center"/>
                    <w:rPr/>
                  </w:pPr>
                  <w:r>
                    <w:rPr/>
                    <w:t>1/49</w:t>
                  </w:r>
                </w:p>
              </w:tc>
              <w:tc>
                <w:tcPr>
                  <w:tcW w:w="915" w:type="dxa"/>
                  <w:tcBorders>
                    <w:top w:val="nil"/>
                    <w:bottom w:val="nil"/>
                  </w:tcBorders>
                  <w:vAlign w:val="center"/>
                </w:tcPr>
                <w:p>
                  <w:pPr>
                    <w:pStyle w:val="Compact"/>
                    <w:spacing w:before="36" w:after="36"/>
                    <w:jc w:val="center"/>
                    <w:rPr/>
                  </w:pPr>
                  <w:r>
                    <w:rPr/>
                    <w:t>50/0/0</w:t>
                  </w:r>
                </w:p>
              </w:tc>
              <w:tc>
                <w:tcPr>
                  <w:tcW w:w="914" w:type="dxa"/>
                  <w:tcBorders>
                    <w:top w:val="nil"/>
                    <w:bottom w:val="nil"/>
                  </w:tcBorders>
                  <w:vAlign w:val="center"/>
                </w:tcPr>
                <w:p>
                  <w:pPr>
                    <w:pStyle w:val="Compact"/>
                    <w:spacing w:before="36" w:after="36"/>
                    <w:jc w:val="center"/>
                    <w:rPr/>
                  </w:pPr>
                  <w:r>
                    <w:rPr/>
                    <w:t>50/0/0</w:t>
                  </w:r>
                </w:p>
              </w:tc>
              <w:tc>
                <w:tcPr>
                  <w:tcW w:w="915" w:type="dxa"/>
                  <w:tcBorders>
                    <w:top w:val="nil"/>
                    <w:bottom w:val="nil"/>
                  </w:tcBorders>
                  <w:vAlign w:val="center"/>
                </w:tcPr>
                <w:p>
                  <w:pPr>
                    <w:pStyle w:val="Compact"/>
                    <w:spacing w:before="36" w:after="36"/>
                    <w:jc w:val="center"/>
                    <w:rPr/>
                  </w:pPr>
                  <w:r>
                    <w:rPr/>
                    <w:t>49/1/0</w:t>
                  </w:r>
                </w:p>
              </w:tc>
              <w:tc>
                <w:tcPr>
                  <w:tcW w:w="911" w:type="dxa"/>
                  <w:tcBorders>
                    <w:top w:val="nil"/>
                    <w:bottom w:val="nil"/>
                  </w:tcBorders>
                  <w:vAlign w:val="center"/>
                </w:tcPr>
                <w:p>
                  <w:pPr>
                    <w:pStyle w:val="Compact"/>
                    <w:spacing w:before="36" w:after="36"/>
                    <w:jc w:val="center"/>
                    <w:rPr/>
                  </w:pPr>
                  <w:r>
                    <w:rPr/>
                    <w:t>0/0/50</w:t>
                  </w:r>
                </w:p>
              </w:tc>
              <w:tc>
                <w:tcPr>
                  <w:tcW w:w="918" w:type="dxa"/>
                  <w:tcBorders>
                    <w:top w:val="nil"/>
                    <w:bottom w:val="nil"/>
                  </w:tcBorders>
                  <w:vAlign w:val="center"/>
                </w:tcPr>
                <w:p>
                  <w:pPr>
                    <w:pStyle w:val="Compact"/>
                    <w:spacing w:before="36" w:after="36"/>
                    <w:jc w:val="center"/>
                    <w:rPr/>
                  </w:pPr>
                  <w:r>
                    <w:rPr/>
                    <w:t>3/1/46</w:t>
                  </w:r>
                </w:p>
              </w:tc>
            </w:tr>
            <w:tr>
              <w:trPr/>
              <w:tc>
                <w:tcPr>
                  <w:tcW w:w="914" w:type="dxa"/>
                  <w:tcBorders>
                    <w:top w:val="nil"/>
                    <w:bottom w:val="nil"/>
                  </w:tcBorders>
                  <w:vAlign w:val="center"/>
                </w:tcPr>
                <w:p>
                  <w:pPr>
                    <w:pStyle w:val="Compact"/>
                    <w:spacing w:before="36" w:after="36"/>
                    <w:jc w:val="center"/>
                    <w:rPr/>
                  </w:pPr>
                  <w:r>
                    <w:rPr/>
                    <w:t>GPT-5.6 Terra</w:t>
                  </w:r>
                </w:p>
              </w:tc>
              <w:tc>
                <w:tcPr>
                  <w:tcW w:w="914" w:type="dxa"/>
                  <w:tcBorders>
                    <w:top w:val="nil"/>
                    <w:bottom w:val="nil"/>
                  </w:tcBorders>
                  <w:vAlign w:val="center"/>
                </w:tcPr>
                <w:p>
                  <w:pPr>
                    <w:pStyle w:val="Compact"/>
                    <w:spacing w:before="36" w:after="36"/>
                    <w:jc w:val="center"/>
                    <w:rPr/>
                  </w:pPr>
                  <w:r>
                    <w:rPr/>
                    <w:t>50/0</w:t>
                  </w:r>
                </w:p>
              </w:tc>
              <w:tc>
                <w:tcPr>
                  <w:tcW w:w="915" w:type="dxa"/>
                  <w:tcBorders>
                    <w:top w:val="nil"/>
                    <w:bottom w:val="nil"/>
                  </w:tcBorders>
                  <w:vAlign w:val="center"/>
                </w:tcPr>
                <w:p>
                  <w:pPr>
                    <w:pStyle w:val="Compact"/>
                    <w:spacing w:before="36" w:after="36"/>
                    <w:jc w:val="center"/>
                    <w:rPr/>
                  </w:pPr>
                  <w:r>
                    <w:rPr/>
                    <w:t>50/0</w:t>
                  </w:r>
                </w:p>
              </w:tc>
              <w:tc>
                <w:tcPr>
                  <w:tcW w:w="914" w:type="dxa"/>
                  <w:tcBorders>
                    <w:top w:val="nil"/>
                    <w:bottom w:val="nil"/>
                  </w:tcBorders>
                  <w:vAlign w:val="center"/>
                </w:tcPr>
                <w:p>
                  <w:pPr>
                    <w:pStyle w:val="Compact"/>
                    <w:spacing w:before="36" w:after="36"/>
                    <w:jc w:val="center"/>
                    <w:rPr/>
                  </w:pPr>
                  <w:r>
                    <w:rPr/>
                    <w:t>38/12</w:t>
                  </w:r>
                </w:p>
              </w:tc>
              <w:tc>
                <w:tcPr>
                  <w:tcW w:w="914" w:type="dxa"/>
                  <w:tcBorders>
                    <w:top w:val="nil"/>
                    <w:bottom w:val="nil"/>
                  </w:tcBorders>
                  <w:vAlign w:val="center"/>
                </w:tcPr>
                <w:p>
                  <w:pPr>
                    <w:pStyle w:val="Compact"/>
                    <w:spacing w:before="36" w:after="36"/>
                    <w:jc w:val="center"/>
                    <w:rPr/>
                  </w:pPr>
                  <w:r>
                    <w:rPr/>
                    <w:t>0/50</w:t>
                  </w:r>
                </w:p>
              </w:tc>
              <w:tc>
                <w:tcPr>
                  <w:tcW w:w="915" w:type="dxa"/>
                  <w:tcBorders>
                    <w:top w:val="nil"/>
                    <w:bottom w:val="nil"/>
                  </w:tcBorders>
                  <w:vAlign w:val="center"/>
                </w:tcPr>
                <w:p>
                  <w:pPr>
                    <w:pStyle w:val="Compact"/>
                    <w:spacing w:before="36" w:after="36"/>
                    <w:jc w:val="center"/>
                    <w:rPr/>
                  </w:pPr>
                  <w:r>
                    <w:rPr/>
                    <w:t>50/0/0</w:t>
                  </w:r>
                </w:p>
              </w:tc>
              <w:tc>
                <w:tcPr>
                  <w:tcW w:w="914" w:type="dxa"/>
                  <w:tcBorders>
                    <w:top w:val="nil"/>
                    <w:bottom w:val="nil"/>
                  </w:tcBorders>
                  <w:vAlign w:val="center"/>
                </w:tcPr>
                <w:p>
                  <w:pPr>
                    <w:pStyle w:val="Compact"/>
                    <w:spacing w:before="36" w:after="36"/>
                    <w:jc w:val="center"/>
                    <w:rPr/>
                  </w:pPr>
                  <w:r>
                    <w:rPr/>
                    <w:t>50/0/0</w:t>
                  </w:r>
                </w:p>
              </w:tc>
              <w:tc>
                <w:tcPr>
                  <w:tcW w:w="915" w:type="dxa"/>
                  <w:tcBorders>
                    <w:top w:val="nil"/>
                    <w:bottom w:val="nil"/>
                  </w:tcBorders>
                  <w:vAlign w:val="center"/>
                </w:tcPr>
                <w:p>
                  <w:pPr>
                    <w:pStyle w:val="Compact"/>
                    <w:spacing w:before="36" w:after="36"/>
                    <w:jc w:val="center"/>
                    <w:rPr/>
                  </w:pPr>
                  <w:r>
                    <w:rPr/>
                    <w:t>50/0/0</w:t>
                  </w:r>
                </w:p>
              </w:tc>
              <w:tc>
                <w:tcPr>
                  <w:tcW w:w="911" w:type="dxa"/>
                  <w:tcBorders>
                    <w:top w:val="nil"/>
                    <w:bottom w:val="nil"/>
                  </w:tcBorders>
                  <w:vAlign w:val="center"/>
                </w:tcPr>
                <w:p>
                  <w:pPr>
                    <w:pStyle w:val="Compact"/>
                    <w:spacing w:before="36" w:after="36"/>
                    <w:jc w:val="center"/>
                    <w:rPr/>
                  </w:pPr>
                  <w:r>
                    <w:rPr/>
                    <w:t>1/0/49</w:t>
                  </w:r>
                </w:p>
              </w:tc>
              <w:tc>
                <w:tcPr>
                  <w:tcW w:w="918" w:type="dxa"/>
                  <w:tcBorders>
                    <w:top w:val="nil"/>
                    <w:bottom w:val="nil"/>
                  </w:tcBorders>
                  <w:vAlign w:val="center"/>
                </w:tcPr>
                <w:p>
                  <w:pPr>
                    <w:pStyle w:val="Compact"/>
                    <w:spacing w:before="36" w:after="36"/>
                    <w:jc w:val="center"/>
                    <w:rPr/>
                  </w:pPr>
                  <w:r>
                    <w:rPr/>
                    <w:t>0/1/49</w:t>
                  </w:r>
                </w:p>
              </w:tc>
            </w:tr>
            <w:tr>
              <w:trPr/>
              <w:tc>
                <w:tcPr>
                  <w:tcW w:w="914" w:type="dxa"/>
                  <w:tcBorders>
                    <w:top w:val="nil"/>
                    <w:bottom w:val="nil"/>
                  </w:tcBorders>
                  <w:vAlign w:val="center"/>
                </w:tcPr>
                <w:p>
                  <w:pPr>
                    <w:pStyle w:val="Compact"/>
                    <w:spacing w:before="36" w:after="36"/>
                    <w:jc w:val="center"/>
                    <w:rPr/>
                  </w:pPr>
                  <w:r>
                    <w:rPr/>
                    <w:t>GPT-5.6 Sol</w:t>
                  </w:r>
                </w:p>
              </w:tc>
              <w:tc>
                <w:tcPr>
                  <w:tcW w:w="914" w:type="dxa"/>
                  <w:tcBorders>
                    <w:top w:val="nil"/>
                    <w:bottom w:val="nil"/>
                  </w:tcBorders>
                  <w:vAlign w:val="center"/>
                </w:tcPr>
                <w:p>
                  <w:pPr>
                    <w:pStyle w:val="Compact"/>
                    <w:spacing w:before="36" w:after="36"/>
                    <w:jc w:val="center"/>
                    <w:rPr/>
                  </w:pPr>
                  <w:r>
                    <w:rPr/>
                    <w:t>50/0</w:t>
                  </w:r>
                </w:p>
              </w:tc>
              <w:tc>
                <w:tcPr>
                  <w:tcW w:w="915" w:type="dxa"/>
                  <w:tcBorders>
                    <w:top w:val="nil"/>
                    <w:bottom w:val="nil"/>
                  </w:tcBorders>
                  <w:vAlign w:val="center"/>
                </w:tcPr>
                <w:p>
                  <w:pPr>
                    <w:pStyle w:val="Compact"/>
                    <w:spacing w:before="36" w:after="36"/>
                    <w:jc w:val="center"/>
                    <w:rPr/>
                  </w:pPr>
                  <w:r>
                    <w:rPr/>
                    <w:t>50/0</w:t>
                  </w:r>
                </w:p>
              </w:tc>
              <w:tc>
                <w:tcPr>
                  <w:tcW w:w="914" w:type="dxa"/>
                  <w:tcBorders>
                    <w:top w:val="nil"/>
                    <w:bottom w:val="nil"/>
                  </w:tcBorders>
                  <w:vAlign w:val="center"/>
                </w:tcPr>
                <w:p>
                  <w:pPr>
                    <w:pStyle w:val="Compact"/>
                    <w:spacing w:before="36" w:after="36"/>
                    <w:jc w:val="center"/>
                    <w:rPr/>
                  </w:pPr>
                  <w:r>
                    <w:rPr/>
                    <w:t>50/0</w:t>
                  </w:r>
                </w:p>
              </w:tc>
              <w:tc>
                <w:tcPr>
                  <w:tcW w:w="914" w:type="dxa"/>
                  <w:tcBorders>
                    <w:top w:val="nil"/>
                    <w:bottom w:val="nil"/>
                  </w:tcBorders>
                  <w:vAlign w:val="center"/>
                </w:tcPr>
                <w:p>
                  <w:pPr>
                    <w:pStyle w:val="Compact"/>
                    <w:spacing w:before="36" w:after="36"/>
                    <w:jc w:val="center"/>
                    <w:rPr/>
                  </w:pPr>
                  <w:r>
                    <w:rPr/>
                    <w:t>0/50</w:t>
                  </w:r>
                </w:p>
              </w:tc>
              <w:tc>
                <w:tcPr>
                  <w:tcW w:w="915" w:type="dxa"/>
                  <w:tcBorders>
                    <w:top w:val="nil"/>
                    <w:bottom w:val="nil"/>
                  </w:tcBorders>
                  <w:vAlign w:val="center"/>
                </w:tcPr>
                <w:p>
                  <w:pPr>
                    <w:pStyle w:val="Compact"/>
                    <w:spacing w:before="36" w:after="36"/>
                    <w:jc w:val="center"/>
                    <w:rPr/>
                  </w:pPr>
                  <w:r>
                    <w:rPr/>
                    <w:t>50/0/0</w:t>
                  </w:r>
                </w:p>
              </w:tc>
              <w:tc>
                <w:tcPr>
                  <w:tcW w:w="914" w:type="dxa"/>
                  <w:tcBorders>
                    <w:top w:val="nil"/>
                    <w:bottom w:val="nil"/>
                  </w:tcBorders>
                  <w:vAlign w:val="center"/>
                </w:tcPr>
                <w:p>
                  <w:pPr>
                    <w:pStyle w:val="Compact"/>
                    <w:spacing w:before="36" w:after="36"/>
                    <w:jc w:val="center"/>
                    <w:rPr/>
                  </w:pPr>
                  <w:r>
                    <w:rPr/>
                    <w:t>50/0/0</w:t>
                  </w:r>
                </w:p>
              </w:tc>
              <w:tc>
                <w:tcPr>
                  <w:tcW w:w="915" w:type="dxa"/>
                  <w:tcBorders>
                    <w:top w:val="nil"/>
                    <w:bottom w:val="nil"/>
                  </w:tcBorders>
                  <w:vAlign w:val="center"/>
                </w:tcPr>
                <w:p>
                  <w:pPr>
                    <w:pStyle w:val="Compact"/>
                    <w:spacing w:before="36" w:after="36"/>
                    <w:jc w:val="center"/>
                    <w:rPr/>
                  </w:pPr>
                  <w:r>
                    <w:rPr/>
                    <w:t>50/0/0</w:t>
                  </w:r>
                </w:p>
              </w:tc>
              <w:tc>
                <w:tcPr>
                  <w:tcW w:w="911" w:type="dxa"/>
                  <w:tcBorders>
                    <w:top w:val="nil"/>
                    <w:bottom w:val="nil"/>
                  </w:tcBorders>
                  <w:vAlign w:val="center"/>
                </w:tcPr>
                <w:p>
                  <w:pPr>
                    <w:pStyle w:val="Compact"/>
                    <w:spacing w:before="36" w:after="36"/>
                    <w:jc w:val="center"/>
                    <w:rPr/>
                  </w:pPr>
                  <w:r>
                    <w:rPr/>
                    <w:t>0/0/50</w:t>
                  </w:r>
                </w:p>
              </w:tc>
              <w:tc>
                <w:tcPr>
                  <w:tcW w:w="918" w:type="dxa"/>
                  <w:tcBorders>
                    <w:top w:val="nil"/>
                    <w:bottom w:val="nil"/>
                  </w:tcBorders>
                  <w:vAlign w:val="center"/>
                </w:tcPr>
                <w:p>
                  <w:pPr>
                    <w:pStyle w:val="Compact"/>
                    <w:spacing w:before="36" w:after="36"/>
                    <w:jc w:val="center"/>
                    <w:rPr/>
                  </w:pPr>
                  <w:r>
                    <w:rPr/>
                    <w:t>0/0/50</w:t>
                  </w:r>
                </w:p>
              </w:tc>
            </w:tr>
            <w:tr>
              <w:trPr/>
              <w:tc>
                <w:tcPr>
                  <w:tcW w:w="914" w:type="dxa"/>
                  <w:tcBorders>
                    <w:top w:val="nil"/>
                    <w:bottom w:val="nil"/>
                  </w:tcBorders>
                  <w:vAlign w:val="center"/>
                </w:tcPr>
                <w:p>
                  <w:pPr>
                    <w:pStyle w:val="Compact"/>
                    <w:spacing w:before="36" w:after="36"/>
                    <w:jc w:val="center"/>
                    <w:rPr/>
                  </w:pPr>
                  <w:r>
                    <w:rPr/>
                    <w:t>Claude Sonnet 5</w:t>
                  </w:r>
                </w:p>
              </w:tc>
              <w:tc>
                <w:tcPr>
                  <w:tcW w:w="914" w:type="dxa"/>
                  <w:tcBorders>
                    <w:top w:val="nil"/>
                    <w:bottom w:val="nil"/>
                  </w:tcBorders>
                  <w:vAlign w:val="center"/>
                </w:tcPr>
                <w:p>
                  <w:pPr>
                    <w:pStyle w:val="Compact"/>
                    <w:spacing w:before="36" w:after="36"/>
                    <w:jc w:val="center"/>
                    <w:rPr/>
                  </w:pPr>
                  <w:r>
                    <w:rPr/>
                    <w:t>50/0</w:t>
                  </w:r>
                </w:p>
              </w:tc>
              <w:tc>
                <w:tcPr>
                  <w:tcW w:w="915" w:type="dxa"/>
                  <w:tcBorders>
                    <w:top w:val="nil"/>
                    <w:bottom w:val="nil"/>
                  </w:tcBorders>
                  <w:vAlign w:val="center"/>
                </w:tcPr>
                <w:p>
                  <w:pPr>
                    <w:pStyle w:val="Compact"/>
                    <w:spacing w:before="36" w:after="36"/>
                    <w:jc w:val="center"/>
                    <w:rPr/>
                  </w:pPr>
                  <w:r>
                    <w:rPr/>
                    <w:t>50/0</w:t>
                  </w:r>
                </w:p>
              </w:tc>
              <w:tc>
                <w:tcPr>
                  <w:tcW w:w="914" w:type="dxa"/>
                  <w:tcBorders>
                    <w:top w:val="nil"/>
                    <w:bottom w:val="nil"/>
                  </w:tcBorders>
                  <w:vAlign w:val="center"/>
                </w:tcPr>
                <w:p>
                  <w:pPr>
                    <w:pStyle w:val="Compact"/>
                    <w:spacing w:before="36" w:after="36"/>
                    <w:jc w:val="center"/>
                    <w:rPr/>
                  </w:pPr>
                  <w:r>
                    <w:rPr/>
                    <w:t>50/0</w:t>
                  </w:r>
                </w:p>
              </w:tc>
              <w:tc>
                <w:tcPr>
                  <w:tcW w:w="914" w:type="dxa"/>
                  <w:tcBorders>
                    <w:top w:val="nil"/>
                    <w:bottom w:val="nil"/>
                  </w:tcBorders>
                  <w:vAlign w:val="center"/>
                </w:tcPr>
                <w:p>
                  <w:pPr>
                    <w:pStyle w:val="Compact"/>
                    <w:spacing w:before="36" w:after="36"/>
                    <w:jc w:val="center"/>
                    <w:rPr/>
                  </w:pPr>
                  <w:r>
                    <w:rPr/>
                    <w:t>0/50</w:t>
                  </w:r>
                </w:p>
              </w:tc>
              <w:tc>
                <w:tcPr>
                  <w:tcW w:w="915" w:type="dxa"/>
                  <w:tcBorders>
                    <w:top w:val="nil"/>
                    <w:bottom w:val="nil"/>
                  </w:tcBorders>
                  <w:vAlign w:val="center"/>
                </w:tcPr>
                <w:p>
                  <w:pPr>
                    <w:pStyle w:val="Compact"/>
                    <w:spacing w:before="36" w:after="36"/>
                    <w:jc w:val="center"/>
                    <w:rPr/>
                  </w:pPr>
                  <w:r>
                    <w:rPr/>
                    <w:t>50/0/0</w:t>
                  </w:r>
                </w:p>
              </w:tc>
              <w:tc>
                <w:tcPr>
                  <w:tcW w:w="914" w:type="dxa"/>
                  <w:tcBorders>
                    <w:top w:val="nil"/>
                    <w:bottom w:val="nil"/>
                  </w:tcBorders>
                  <w:vAlign w:val="center"/>
                </w:tcPr>
                <w:p>
                  <w:pPr>
                    <w:pStyle w:val="Compact"/>
                    <w:spacing w:before="36" w:after="36"/>
                    <w:jc w:val="center"/>
                    <w:rPr/>
                  </w:pPr>
                  <w:r>
                    <w:rPr/>
                    <w:t>50/0/0</w:t>
                  </w:r>
                </w:p>
              </w:tc>
              <w:tc>
                <w:tcPr>
                  <w:tcW w:w="915" w:type="dxa"/>
                  <w:tcBorders>
                    <w:top w:val="nil"/>
                    <w:bottom w:val="nil"/>
                  </w:tcBorders>
                  <w:vAlign w:val="center"/>
                </w:tcPr>
                <w:p>
                  <w:pPr>
                    <w:pStyle w:val="Compact"/>
                    <w:spacing w:before="36" w:after="36"/>
                    <w:jc w:val="center"/>
                    <w:rPr/>
                  </w:pPr>
                  <w:r>
                    <w:rPr/>
                    <w:t>50/0/0</w:t>
                  </w:r>
                </w:p>
              </w:tc>
              <w:tc>
                <w:tcPr>
                  <w:tcW w:w="911" w:type="dxa"/>
                  <w:tcBorders>
                    <w:top w:val="nil"/>
                    <w:bottom w:val="nil"/>
                  </w:tcBorders>
                  <w:vAlign w:val="center"/>
                </w:tcPr>
                <w:p>
                  <w:pPr>
                    <w:pStyle w:val="Compact"/>
                    <w:spacing w:before="36" w:after="36"/>
                    <w:jc w:val="center"/>
                    <w:rPr/>
                  </w:pPr>
                  <w:r>
                    <w:rPr/>
                    <w:t>0/0/50</w:t>
                  </w:r>
                </w:p>
              </w:tc>
              <w:tc>
                <w:tcPr>
                  <w:tcW w:w="918" w:type="dxa"/>
                  <w:tcBorders>
                    <w:top w:val="nil"/>
                    <w:bottom w:val="nil"/>
                  </w:tcBorders>
                  <w:vAlign w:val="center"/>
                </w:tcPr>
                <w:p>
                  <w:pPr>
                    <w:pStyle w:val="Compact"/>
                    <w:spacing w:before="36" w:after="36"/>
                    <w:jc w:val="center"/>
                    <w:rPr/>
                  </w:pPr>
                  <w:r>
                    <w:rPr/>
                    <w:t>0/0/50</w:t>
                  </w:r>
                </w:p>
              </w:tc>
            </w:tr>
            <w:tr>
              <w:trPr/>
              <w:tc>
                <w:tcPr>
                  <w:tcW w:w="914" w:type="dxa"/>
                  <w:tcBorders>
                    <w:top w:val="nil"/>
                  </w:tcBorders>
                  <w:vAlign w:val="center"/>
                </w:tcPr>
                <w:p>
                  <w:pPr>
                    <w:pStyle w:val="Compact"/>
                    <w:spacing w:before="36" w:after="36"/>
                    <w:jc w:val="center"/>
                    <w:rPr/>
                  </w:pPr>
                  <w:r>
                    <w:rPr/>
                    <w:t>Claude Opus 5</w:t>
                  </w:r>
                </w:p>
              </w:tc>
              <w:tc>
                <w:tcPr>
                  <w:tcW w:w="914" w:type="dxa"/>
                  <w:tcBorders>
                    <w:top w:val="nil"/>
                  </w:tcBorders>
                  <w:vAlign w:val="center"/>
                </w:tcPr>
                <w:p>
                  <w:pPr>
                    <w:pStyle w:val="Compact"/>
                    <w:spacing w:before="36" w:after="36"/>
                    <w:jc w:val="center"/>
                    <w:rPr/>
                  </w:pPr>
                  <w:r>
                    <w:rPr/>
                    <w:t>50/0</w:t>
                  </w:r>
                </w:p>
              </w:tc>
              <w:tc>
                <w:tcPr>
                  <w:tcW w:w="915" w:type="dxa"/>
                  <w:tcBorders>
                    <w:top w:val="nil"/>
                  </w:tcBorders>
                  <w:vAlign w:val="center"/>
                </w:tcPr>
                <w:p>
                  <w:pPr>
                    <w:pStyle w:val="Compact"/>
                    <w:spacing w:before="36" w:after="36"/>
                    <w:jc w:val="center"/>
                    <w:rPr/>
                  </w:pPr>
                  <w:r>
                    <w:rPr/>
                    <w:t>50/0</w:t>
                  </w:r>
                </w:p>
              </w:tc>
              <w:tc>
                <w:tcPr>
                  <w:tcW w:w="914" w:type="dxa"/>
                  <w:tcBorders>
                    <w:top w:val="nil"/>
                  </w:tcBorders>
                  <w:vAlign w:val="center"/>
                </w:tcPr>
                <w:p>
                  <w:pPr>
                    <w:pStyle w:val="Compact"/>
                    <w:spacing w:before="36" w:after="36"/>
                    <w:jc w:val="center"/>
                    <w:rPr/>
                  </w:pPr>
                  <w:r>
                    <w:rPr/>
                    <w:t>50/0</w:t>
                  </w:r>
                </w:p>
              </w:tc>
              <w:tc>
                <w:tcPr>
                  <w:tcW w:w="914" w:type="dxa"/>
                  <w:tcBorders>
                    <w:top w:val="nil"/>
                  </w:tcBorders>
                  <w:vAlign w:val="center"/>
                </w:tcPr>
                <w:p>
                  <w:pPr>
                    <w:pStyle w:val="Compact"/>
                    <w:spacing w:before="36" w:after="36"/>
                    <w:jc w:val="center"/>
                    <w:rPr/>
                  </w:pPr>
                  <w:r>
                    <w:rPr/>
                    <w:t>0/50</w:t>
                  </w:r>
                </w:p>
              </w:tc>
              <w:tc>
                <w:tcPr>
                  <w:tcW w:w="915" w:type="dxa"/>
                  <w:tcBorders>
                    <w:top w:val="nil"/>
                  </w:tcBorders>
                  <w:vAlign w:val="center"/>
                </w:tcPr>
                <w:p>
                  <w:pPr>
                    <w:pStyle w:val="Compact"/>
                    <w:spacing w:before="36" w:after="36"/>
                    <w:jc w:val="center"/>
                    <w:rPr/>
                  </w:pPr>
                  <w:r>
                    <w:rPr/>
                    <w:t>50/0/0</w:t>
                  </w:r>
                </w:p>
              </w:tc>
              <w:tc>
                <w:tcPr>
                  <w:tcW w:w="914" w:type="dxa"/>
                  <w:tcBorders>
                    <w:top w:val="nil"/>
                  </w:tcBorders>
                  <w:vAlign w:val="center"/>
                </w:tcPr>
                <w:p>
                  <w:pPr>
                    <w:pStyle w:val="Compact"/>
                    <w:spacing w:before="36" w:after="36"/>
                    <w:jc w:val="center"/>
                    <w:rPr/>
                  </w:pPr>
                  <w:r>
                    <w:rPr/>
                    <w:t>50/0/0</w:t>
                  </w:r>
                </w:p>
              </w:tc>
              <w:tc>
                <w:tcPr>
                  <w:tcW w:w="915" w:type="dxa"/>
                  <w:tcBorders>
                    <w:top w:val="nil"/>
                  </w:tcBorders>
                  <w:vAlign w:val="center"/>
                </w:tcPr>
                <w:p>
                  <w:pPr>
                    <w:pStyle w:val="Compact"/>
                    <w:spacing w:before="36" w:after="36"/>
                    <w:jc w:val="center"/>
                    <w:rPr/>
                  </w:pPr>
                  <w:r>
                    <w:rPr/>
                    <w:t>50/0/0</w:t>
                  </w:r>
                </w:p>
              </w:tc>
              <w:tc>
                <w:tcPr>
                  <w:tcW w:w="911" w:type="dxa"/>
                  <w:tcBorders>
                    <w:top w:val="nil"/>
                  </w:tcBorders>
                  <w:vAlign w:val="center"/>
                </w:tcPr>
                <w:p>
                  <w:pPr>
                    <w:pStyle w:val="Compact"/>
                    <w:spacing w:before="36" w:after="36"/>
                    <w:jc w:val="center"/>
                    <w:rPr/>
                  </w:pPr>
                  <w:r>
                    <w:rPr/>
                    <w:t>0/0/50</w:t>
                  </w:r>
                </w:p>
              </w:tc>
              <w:tc>
                <w:tcPr>
                  <w:tcW w:w="918" w:type="dxa"/>
                  <w:tcBorders>
                    <w:top w:val="nil"/>
                  </w:tcBorders>
                  <w:vAlign w:val="center"/>
                </w:tcPr>
                <w:p>
                  <w:pPr>
                    <w:pStyle w:val="Compact"/>
                    <w:spacing w:before="36" w:after="36"/>
                    <w:jc w:val="center"/>
                    <w:rPr/>
                  </w:pPr>
                  <w:r>
                    <w:rPr/>
                    <w:t>0/0/50</w:t>
                  </w:r>
                  <w:bookmarkStart w:id="187" w:name="apptbl-fixed-reveal-distributions"/>
                  <w:bookmarkEnd w:id="187"/>
                </w:p>
              </w:tc>
            </w:tr>
          </w:tbl>
          <w:p>
            <w:pPr>
              <w:pStyle w:val="Normal"/>
              <w:spacing w:before="0" w:after="200"/>
              <w:jc w:val="left"/>
              <w:rPr>
                <w:sz w:val="24"/>
              </w:rPr>
            </w:pPr>
            <w:r>
              <w:rPr>
                <w:sz w:val="24"/>
              </w:rPr>
            </w:r>
          </w:p>
        </w:tc>
      </w:tr>
    </w:tbl>
    <w:p>
      <w:pPr>
        <w:pStyle w:val="BodyText"/>
        <w:rPr/>
      </w:pPr>
      <w:r>
        <w:rPr>
          <w:i/>
          <w:iCs/>
        </w:rPr>
        <w:t>Note.</w:t>
      </w:r>
      <w:r>
        <w:rPr/>
        <w:t xml:space="preserv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50</m:t>
        </m:r>
      </m:oMath>
      <w:r>
        <w:rPr/>
        <w:t xml:space="preserve"> sessions per LLM per state. Study 1 entries are counts as Coffee A / Coffee B, where Coffee B is optimal. Study 2 entries are counts as Coffee C / Coffee D / Coffee E, where Coffee E is optimal, Coffee C is the lowest-list-price alternative, and Coffee D is the discounted alternative. The two suboptimal alternatives in the Study 2 environment distinguish a fallback on the lowest posted price from a fallback on the discount label.</w:t>
      </w:r>
      <w:bookmarkEnd w:id="180"/>
      <w:bookmarkEnd w:id="185"/>
    </w:p>
    <w:p>
      <w:pPr>
        <w:pStyle w:val="Heading2"/>
        <w:rPr/>
      </w:pPr>
      <w:bookmarkStart w:id="188" w:name="robustness"/>
      <w:r>
        <w:rPr/>
        <w:t>Robustness</w:t>
      </w:r>
    </w:p>
    <w:p>
      <w:pPr>
        <w:pStyle w:val="Heading3"/>
        <w:rPr/>
      </w:pPr>
      <w:bookmarkStart w:id="189" w:name="session-integrity"/>
      <w:r>
        <w:rPr/>
        <w:t>Session integrity</w:t>
      </w:r>
    </w:p>
    <w:p>
      <w:pPr>
        <w:pStyle w:val="FirstParagraph"/>
        <w:rPr/>
      </w:pPr>
      <w:r>
        <w:rPr/>
        <w:t xml:space="preserve">For the 50 sessions in every cell, we repeated sampling until the LLM returned a valid </w:t>
      </w:r>
      <w:r>
        <w:rPr>
          <w:i/>
          <w:iCs/>
        </w:rPr>
        <w:t>submit_choice</w:t>
      </w:r>
      <w:r>
        <w:rPr/>
        <w:t xml:space="preserve"> invocation. In some cases (e.g., gemini-3.1-pro-preview) the LLM returned a empty tool call arguments with no choice, so we resampled those instances.</w:t>
      </w:r>
      <w:bookmarkEnd w:id="188"/>
      <w:bookmarkEnd w:id="189"/>
    </w:p>
    <w:p>
      <w:pPr>
        <w:pStyle w:val="Heading2"/>
        <w:rPr/>
      </w:pPr>
      <w:bookmarkStart w:id="190" w:name="deviations-from-the-tool-lab-protocol"/>
      <w:r>
        <w:rPr/>
        <w:t>Deviations from the Tool-Lab protocol</w:t>
      </w:r>
    </w:p>
    <w:p>
      <w:pPr>
        <w:pStyle w:val="FirstParagraph"/>
        <w:rPr/>
      </w:pPr>
      <w:r>
        <w:rPr/>
        <w:t>Three differences from the main experiments should be noted, since the prompt is not byte-identical to the corresponding Tool-Lab conditions.</w:t>
      </w:r>
    </w:p>
    <w:p>
      <w:pPr>
        <w:pStyle w:val="BodyText"/>
        <w:rPr/>
      </w:pPr>
      <w:r>
        <w:rPr/>
        <w:t xml:space="preserve">First, the two sentences describing the acquisition cost and the </w:t>
      </w:r>
      <w:r>
        <w:rPr>
          <w:i/>
          <w:iCs/>
        </w:rPr>
        <w:t>inspect_cell</w:t>
      </w:r>
      <w:r>
        <w:rPr/>
        <w:t xml:space="preserve"> tool are absent from the participant profile. Their removal is required by the design: no tool exists and no cost is charged, so retaining the sentences would describe an environment the LLM is not in.</w:t>
      </w:r>
    </w:p>
    <w:p>
      <w:pPr>
        <w:pStyle w:val="BodyText"/>
        <w:rPr/>
      </w:pPr>
      <w:r>
        <w:rPr/>
        <w:t>Second, the revealed cells appear as payloads within the initial user turn rather than as tool results returned across successive turns. The payload format is that of the Tool-Lab environment, but the conversational structure differs.</w:t>
      </w:r>
    </w:p>
    <w:p>
      <w:pPr>
        <w:pStyle w:val="BodyText"/>
        <w:rPr/>
      </w:pPr>
      <w:r>
        <w:rPr/>
        <w:t>Third, sessions per cell are 50 rather than the 100 used in the main experiments.</w:t>
      </w:r>
    </w:p>
    <w:p>
      <w:pPr>
        <w:pStyle w:val="BodyText"/>
        <w:rPr/>
      </w:pPr>
      <w:r>
        <w:rPr/>
        <w:t>None of these differences affects the inferences the condition supports, which concern the mapping from an assigned information state to a choice rather than the acquisition behavior that produces such states. The condition is silent on how much information an LLM acquires when acquisition is possible, which is the question the Tool-Lab experiments answer.</w:t>
      </w:r>
      <w:bookmarkEnd w:id="190"/>
    </w:p>
    <w:p>
      <w:pPr>
        <w:pStyle w:val="Heading2"/>
        <w:rPr/>
      </w:pPr>
      <w:bookmarkStart w:id="191" w:name="summary"/>
      <w:r>
        <w:rPr/>
        <w:t>Summary</w:t>
      </w:r>
    </w:p>
    <w:p>
      <w:pPr>
        <w:pStyle w:val="FirstParagraph"/>
        <w:rPr/>
      </w:pPr>
      <w:r>
        <w:rPr/>
        <w:t>The composition of an information state predicts choice when the state is assigned rather than selected, and the number of cells in that state does not. Six of the seven LLMs hold the mapping from state to choice that the normative benchmark prescribes, in .992 of 2,700 sessions, and select the economically superior alternative whenever the state is sufficient to identify it. For these LLMs, the suboptimal choices observed under acquisition cost follow from the states they reach and not from how they evaluate the states they hold.</w:t>
      </w:r>
    </w:p>
    <w:p>
      <w:pPr>
        <w:pStyle w:val="BodyText"/>
        <w:rPr/>
      </w:pPr>
      <w:r>
        <w:rPr/>
        <w:t>One LLM does not fit this account. Gemini 3.1 Flash Lite selects the most expensive alternative when a discount label is present, and its optimality falls when diagnostic information is added. Its behavior is located after the state rather than in it, which the reported-valuation condition of the main text confirms directly.</w:t>
      </w:r>
      <w:bookmarkEnd w:id="175"/>
      <w:bookmarkEnd w:id="191"/>
    </w:p>
    <w:p>
      <w:pPr>
        <w:pStyle w:val="Heading1"/>
        <w:rPr/>
      </w:pPr>
      <w:bookmarkStart w:id="192" w:name="sec-appendix-modmed"/>
      <w:r>
        <w:rPr/>
        <w:t>Web appendix J: Bayesian multilevel moderated mediation methodology and structural decomposition</w:t>
      </w:r>
    </w:p>
    <w:p>
      <w:pPr>
        <w:pStyle w:val="Heading2"/>
        <w:rPr/>
      </w:pPr>
      <w:bookmarkStart w:id="193" w:name="X9a002ee9de8d288fdbb11ba5102766c81eab0dc"/>
      <w:r>
        <w:rPr/>
        <w:t>Theoretical and methodological motivation</w:t>
      </w:r>
    </w:p>
    <w:p>
      <w:pPr>
        <w:pStyle w:val="FirstParagraph"/>
        <w:rPr/>
      </w:pPr>
      <w:r>
        <w:rPr/>
        <w:t>To test the focal mechanism of our conceptual framework (H3), we estimate a simultaneous two-stage moderated mediation model. Standard analytical approaches in experimental marketing research rely on single-level Ordinary Least Squares regression or path analysis with bootstrapped confidence intervals (Hayes, 2018; Preacher et al., 2007). However, benchmarking multi-agent large language models introduces two critical econometric challenges that invalidate conventional single-level specifications.</w:t>
      </w:r>
    </w:p>
    <w:p>
      <w:pPr>
        <w:pStyle w:val="BodyText"/>
        <w:rPr/>
      </w:pPr>
      <w:r>
        <w:rPr/>
        <w:t>First, our experimental designs pool observations across eight distinct model architectures spanning three model providers (Anthropic, Google, and OpenAI). These model families exhibit heterogeneous baseline propensities to execute tool calls, distinct internal token representations of numeric information, and varying degrees of adherence to system instructions. Pooling sessions across architectures without modeling group-level variances would violate the assumption of independent and identically distributed errors, deflating standard errors and inflating false positive rates.</w:t>
      </w:r>
    </w:p>
    <w:p>
      <w:pPr>
        <w:pStyle w:val="BodyText"/>
        <w:rPr/>
      </w:pPr>
      <w:r>
        <w:rPr/>
        <w:t>Second, the structural paths connecting acquisition costs to search depth and subsequent choice optimality may themselves vary across model architectures. Certain frontier models possess stronger underlying mathematical reasoning competencies that buffer choice performance against moderate information loss, whereas lighter models experience immediate decision failure when diagnostic inputs are omitted. To account for this hierarchy, we implement a Bayesian multilevel simultaneous equations framework in Stan using the brms interface (Bürkner, 2017). This framework estimates population-level average treatment effects while simultaneously estimating architecture-specific random intercepts and random slopes across all structural paths.</w:t>
      </w:r>
      <w:bookmarkEnd w:id="193"/>
    </w:p>
    <w:p>
      <w:pPr>
        <w:pStyle w:val="Heading2"/>
        <w:rPr/>
      </w:pPr>
      <w:bookmarkStart w:id="194" w:name="Xf7db0e7de640f731bd2d0d2fae6dc7d8e18950f"/>
      <w:r>
        <w:rPr/>
        <w:t>Model formulation and structural equations</w:t>
      </w:r>
    </w:p>
    <w:p>
      <w:pPr>
        <w:pStyle w:val="FirstParagraph"/>
        <w:rPr/>
      </w:pPr>
      <w:r>
        <w:rPr/>
        <w:t>Following the moderated mediation taxonomy developed by Hayes (2018), our theoretical framework posits a first-stage moderation mechanism corresponding to Model 7. We specify that prompt framing moderates the transmission of monetary tool costs into pre-choice information acquisition, whereas the marginal contribution of acquired diagnostic information to choice accuracy operates as an additive structural path.</w:t>
      </w:r>
    </w:p>
    <w:p>
      <w:pPr>
        <w:pStyle w:val="BodyText"/>
        <w:rPr/>
      </w:pPr>
      <w:r>
        <w:rPr/>
        <w:t xml:space="preserve">Let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N</m:t>
        </m:r>
      </m:oMath>
      <w:r>
        <w:rPr/>
        <w:t xml:space="preserve"> index individual experimental sessions, and let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J</m:t>
        </m:r>
        <m:r>
          <w:rPr>
            <w:rFonts w:ascii="Cambria Math" w:hAnsi="Cambria Math"/>
          </w:rPr>
          <m:t xml:space="preserve">}</m:t>
        </m:r>
      </m:oMath>
      <w:r>
        <w:rPr/>
        <w:t xml:space="preserve"> denote the large language model architecture executing session </w:t>
      </w:r>
      <w:r>
        <w:rPr/>
      </w:r>
      <m:oMath xmlns:m="http://schemas.openxmlformats.org/officeDocument/2006/math">
        <m:r>
          <w:rPr>
            <w:rFonts w:ascii="Cambria Math" w:hAnsi="Cambria Math"/>
          </w:rPr>
          <m:t xml:space="preserve">i</m:t>
        </m:r>
      </m:oMath>
      <w:r>
        <w:rPr/>
        <w:t xml:space="preserve">, with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8</m:t>
        </m:r>
      </m:oMath>
      <w:r>
        <w:rPr/>
        <w:t xml:space="preserve"> across both studies. Let </w:t>
      </w:r>
      <w:r>
        <w:rPr/>
      </w:r>
      <m:oMath xmlns:m="http://schemas.openxmlformats.org/officeDocument/2006/math">
        <m:sSub>
          <m:e>
            <m:r>
              <m:rPr>
                <m:lit/>
                <m:nor/>
              </m:rPr>
              <w:rPr>
                <w:rFonts w:ascii="Cambria Math" w:hAnsi="Cambria Math"/>
              </w:rPr>
              <m:t xml:space="preserve">Cost</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denote the experimental information cost condition, where 0 represents free cell inspection and 1 represents costly inspection ($10.00 in Study 1 and $50.00 in Study 2). Let </w:t>
      </w:r>
      <w:r>
        <w:rPr/>
      </w:r>
      <m:oMath xmlns:m="http://schemas.openxmlformats.org/officeDocument/2006/math">
        <m:sSub>
          <m:e>
            <m:r>
              <m:rPr>
                <m:lit/>
                <m:nor/>
              </m:rPr>
              <w:rPr>
                <w:rFonts w:ascii="Cambria Math" w:hAnsi="Cambria Math"/>
              </w:rPr>
              <m:t xml:space="preserve">Deal</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denote prompt framing, where 0 indicates explicit unit-price calculation instructions and 1 indicates ambiguous deal-finding instructions. Let </w:t>
      </w:r>
      <w:r>
        <w:rPr/>
      </w:r>
      <m:oMath xmlns:m="http://schemas.openxmlformats.org/officeDocument/2006/math">
        <m:sSub>
          <m:e>
            <m:r>
              <m:rPr>
                <m:lit/>
                <m:nor/>
              </m:rPr>
              <w:rPr>
                <w:rFonts w:ascii="Cambria Math" w:hAnsi="Cambria Math"/>
              </w:rPr>
              <m:t xml:space="preserve">Search</m:t>
            </m:r>
          </m:e>
          <m:sub>
            <m:r>
              <w:rPr>
                <w:rFonts w:ascii="Cambria Math" w:hAnsi="Cambria Math"/>
              </w:rPr>
              <m:t xml:space="preserve">i</m:t>
            </m:r>
          </m:sub>
        </m:sSub>
      </m:oMath>
      <w:r>
        <w:rPr/>
        <w:t xml:space="preserve"> represent the count of distinct diagnostic cells acquired by the agent prior to submitting its choice, and let </w:t>
      </w:r>
      <w:r>
        <w:rPr/>
      </w:r>
      <m:oMath xmlns:m="http://schemas.openxmlformats.org/officeDocument/2006/math">
        <m:sSub>
          <m:e>
            <m:r>
              <m:rPr>
                <m:lit/>
                <m:nor/>
              </m:rPr>
              <w:rPr>
                <w:rFonts w:ascii="Cambria Math" w:hAnsi="Cambria Math"/>
              </w:rPr>
              <m:t xml:space="preserve">Optimal</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denote the binary indicator of whether the agent selected the normatively superior product.</w:t>
      </w:r>
    </w:p>
    <w:p>
      <w:pPr>
        <w:pStyle w:val="BodyText"/>
        <w:rPr/>
      </w:pPr>
      <w:r>
        <w:rPr/>
        <w:t>The first-stage equation models diagnostic information acquisition as a continuous count bounded by the maximum available diagnostic cells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6</m:t>
        </m:r>
      </m:oMath>
      <w:r>
        <w:rPr/>
        <w:t xml:space="preserve"> in Study 1 and </w:t>
      </w:r>
      <w:r>
        <w:rPr/>
      </w:r>
      <m:oMath xmlns:m="http://schemas.openxmlformats.org/officeDocument/2006/math">
        <m:r>
          <w:rPr>
            <w:rFonts w:ascii="Cambria Math" w:hAnsi="Cambria Math"/>
          </w:rPr>
          <m:t xml:space="preserve">K</m:t>
        </m:r>
        <m:r>
          <w:rPr>
            <w:rFonts w:ascii="Cambria Math" w:hAnsi="Cambria Math"/>
          </w:rPr>
          <m:t xml:space="preserve">=</m:t>
        </m:r>
        <m:r>
          <w:rPr>
            <w:rFonts w:ascii="Cambria Math" w:hAnsi="Cambria Math"/>
          </w:rPr>
          <m:t xml:space="preserve">9</m:t>
        </m:r>
      </m:oMath>
      <w:r>
        <w:rPr/>
        <w:t xml:space="preserve"> in Study 2):</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Search</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1</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1</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m:t>
              </m:r>
            </m:sub>
          </m:sSub>
          <m:sSub>
            <m:e>
              <m:r>
                <m:rPr>
                  <m:lit/>
                  <m:nor/>
                </m:rPr>
                <w:rPr>
                  <w:rFonts w:ascii="Cambria Math" w:hAnsi="Cambria Math"/>
                </w:rPr>
                <m:t xml:space="preserve">Cost</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m:t>
              </m:r>
            </m:sub>
          </m:sSub>
          <m:sSub>
            <m:e>
              <m:r>
                <m:rPr>
                  <m:lit/>
                  <m:nor/>
                </m:rPr>
                <w:rPr>
                  <w:rFonts w:ascii="Cambria Math" w:hAnsi="Cambria Math"/>
                </w:rPr>
                <m:t xml:space="preserve">Deal</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m:t>
              </m:r>
            </m:sub>
          </m:sSub>
          <m:r>
            <w:rPr>
              <w:rFonts w:ascii="Cambria Math" w:hAnsi="Cambria Math"/>
            </w:rPr>
            <m:t xml:space="preserve">(</m:t>
          </m:r>
          <m:sSub>
            <m:e>
              <m:r>
                <m:rPr>
                  <m:lit/>
                  <m:nor/>
                </m:rPr>
                <w:rPr>
                  <w:rFonts w:ascii="Cambria Math" w:hAnsi="Cambria Math"/>
                </w:rPr>
                <m:t xml:space="preserve">Cost</m:t>
              </m:r>
            </m:e>
            <m:sub>
              <m:r>
                <w:rPr>
                  <w:rFonts w:ascii="Cambria Math" w:hAnsi="Cambria Math"/>
                </w:rPr>
                <m:t xml:space="preserve">i</m:t>
              </m:r>
            </m:sub>
          </m:sSub>
          <m:r>
            <w:rPr>
              <w:rFonts w:ascii="Cambria Math" w:hAnsi="Cambria Math"/>
            </w:rPr>
            <m:t xml:space="preserve">×</m:t>
          </m:r>
          <m:sSub>
            <m:e>
              <m:r>
                <m:rPr>
                  <m:lit/>
                  <m:nor/>
                </m:rPr>
                <w:rPr>
                  <w:rFonts w:ascii="Cambria Math" w:hAnsi="Cambria Math"/>
                </w:rPr>
                <m:t xml:space="preserve">Deal</m:t>
              </m:r>
            </m:e>
            <m:sub>
              <m:r>
                <w:rPr>
                  <w:rFonts w:ascii="Cambria Math" w:hAnsi="Cambria Math"/>
                </w:rPr>
                <m:t xml:space="preserve">i</m:t>
              </m:r>
            </m:sub>
          </m:sSub>
          <m:r>
            <w:rPr>
              <w:rFonts w:ascii="Cambria Math" w:hAnsi="Cambria Math"/>
            </w:rPr>
            <m:t xml:space="preserve">)</m:t>
          </m:r>
          <m:r>
            <w:rPr>
              <w:rFonts w:ascii="Cambria Math" w:hAnsi="Cambria Math"/>
            </w:rPr>
            <m:t xml:space="preserve">+</m:t>
          </m:r>
          <m:sSub>
            <m:e>
              <m:r>
                <w:rPr>
                  <w:rFonts w:ascii="Cambria Math" w:hAnsi="Cambria Math"/>
                </w:rPr>
                <m:t xml:space="preserve">ε</m:t>
              </m:r>
            </m:e>
            <m:sub>
              <m:r>
                <w:rPr>
                  <w:rFonts w:ascii="Cambria Math" w:hAnsi="Cambria Math"/>
                </w:rPr>
                <m:t xml:space="preserve">1</m:t>
              </m:r>
              <m:r>
                <w:rPr>
                  <w:rFonts w:ascii="Cambria Math" w:hAnsi="Cambria Math"/>
                </w:rPr>
                <m:t xml:space="preserve">,</m:t>
              </m:r>
              <m:r>
                <w:rPr>
                  <w:rFonts w:ascii="Cambria Math" w:hAnsi="Cambria Math"/>
                </w:rPr>
                <m:t xml:space="preserve">i</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1</m:t>
              </m:r>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sSubSup>
            <m:e>
              <m:r>
                <w:rPr>
                  <w:rFonts w:ascii="Cambria Math" w:hAnsi="Cambria Math"/>
                </w:rPr>
                <m:t xml:space="preserve">σ</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oMath>
      </m:oMathPara>
    </w:p>
    <w:p>
      <w:pPr>
        <w:pStyle w:val="FirstParagraph"/>
        <w:rPr/>
      </w:pPr>
      <w:r>
        <w:rPr/>
        <w:t xml:space="preserve">where </w:t>
      </w:r>
      <w:r>
        <w:rPr/>
      </w:r>
      <m:oMath xmlns:m="http://schemas.openxmlformats.org/officeDocument/2006/math">
        <m:sSub>
          <m:e>
            <m:r>
              <w:rPr>
                <w:rFonts w:ascii="Cambria Math" w:hAnsi="Cambria Math"/>
              </w:rPr>
              <m:t xml:space="preserve">α</m:t>
            </m:r>
          </m:e>
          <m:sub>
            <m:r>
              <w:rPr>
                <w:rFonts w:ascii="Cambria Math" w:hAnsi="Cambria Math"/>
              </w:rPr>
              <m:t xml:space="preserve">1</m:t>
            </m:r>
            <m:r>
              <w:rPr>
                <w:rFonts w:ascii="Cambria Math" w:hAnsi="Cambria Math"/>
              </w:rPr>
              <m:t xml:space="preserve">,</m:t>
            </m:r>
            <m:r>
              <w:rPr>
                <w:rFonts w:ascii="Cambria Math" w:hAnsi="Cambria Math"/>
              </w:rPr>
              <m:t xml:space="preserve">j</m:t>
            </m:r>
          </m:sub>
        </m:sSub>
      </m:oMath>
      <w:r>
        <w:rPr/>
        <w:t xml:space="preserve"> is the architecture-specific baseline diagnostic search depth under free inspection and explicit goal framing; </w:t>
      </w:r>
      <w:r>
        <w:rPr/>
      </w:r>
      <m:oMath xmlns:m="http://schemas.openxmlformats.org/officeDocument/2006/math">
        <m:sSub>
          <m:e>
            <m:r>
              <w:rPr>
                <w:rFonts w:ascii="Cambria Math" w:hAnsi="Cambria Math"/>
              </w:rPr>
              <m:t xml:space="preserve">a</m:t>
            </m:r>
          </m:e>
          <m:sub>
            <m:r>
              <w:rPr>
                <w:rFonts w:ascii="Cambria Math" w:hAnsi="Cambria Math"/>
              </w:rPr>
              <m:t xml:space="preserve">1</m:t>
            </m:r>
            <m:r>
              <w:rPr>
                <w:rFonts w:ascii="Cambria Math" w:hAnsi="Cambria Math"/>
              </w:rPr>
              <m:t xml:space="preserve">,</m:t>
            </m:r>
            <m:r>
              <w:rPr>
                <w:rFonts w:ascii="Cambria Math" w:hAnsi="Cambria Math"/>
              </w:rPr>
              <m:t xml:space="preserve">j</m:t>
            </m:r>
          </m:sub>
        </m:sSub>
      </m:oMath>
      <w:r>
        <w:rPr/>
        <w:t xml:space="preserve"> captures the simple effect of tool cost under explicit unit-price instructions; </w:t>
      </w:r>
      <w:r>
        <w:rPr/>
      </w:r>
      <m:oMath xmlns:m="http://schemas.openxmlformats.org/officeDocument/2006/math">
        <m:sSub>
          <m:e>
            <m:r>
              <w:rPr>
                <w:rFonts w:ascii="Cambria Math" w:hAnsi="Cambria Math"/>
              </w:rPr>
              <m:t xml:space="preserve">a</m:t>
            </m:r>
          </m:e>
          <m:sub>
            <m:r>
              <w:rPr>
                <w:rFonts w:ascii="Cambria Math" w:hAnsi="Cambria Math"/>
              </w:rPr>
              <m:t xml:space="preserve">2</m:t>
            </m:r>
            <m:r>
              <w:rPr>
                <w:rFonts w:ascii="Cambria Math" w:hAnsi="Cambria Math"/>
              </w:rPr>
              <m:t xml:space="preserve">,</m:t>
            </m:r>
            <m:r>
              <w:rPr>
                <w:rFonts w:ascii="Cambria Math" w:hAnsi="Cambria Math"/>
              </w:rPr>
              <m:t xml:space="preserve">j</m:t>
            </m:r>
          </m:sub>
        </m:sSub>
      </m:oMath>
      <w:r>
        <w:rPr/>
        <w:t xml:space="preserve"> captures the baseline shift induced by ambiguous deal framing under zero cost; and </w:t>
      </w:r>
      <w:r>
        <w:rPr/>
      </w:r>
      <m:oMath xmlns:m="http://schemas.openxmlformats.org/officeDocument/2006/math">
        <m:sSub>
          <m:e>
            <m:r>
              <w:rPr>
                <w:rFonts w:ascii="Cambria Math" w:hAnsi="Cambria Math"/>
              </w:rPr>
              <m:t xml:space="preserve">a</m:t>
            </m:r>
          </m:e>
          <m:sub>
            <m:r>
              <w:rPr>
                <w:rFonts w:ascii="Cambria Math" w:hAnsi="Cambria Math"/>
              </w:rPr>
              <m:t xml:space="preserve">3</m:t>
            </m:r>
            <m:r>
              <w:rPr>
                <w:rFonts w:ascii="Cambria Math" w:hAnsi="Cambria Math"/>
              </w:rPr>
              <m:t xml:space="preserve">,</m:t>
            </m:r>
            <m:r>
              <w:rPr>
                <w:rFonts w:ascii="Cambria Math" w:hAnsi="Cambria Math"/>
              </w:rPr>
              <m:t xml:space="preserve">j</m:t>
            </m:r>
          </m:sub>
        </m:sSub>
      </m:oMath>
      <w:r>
        <w:rPr/>
        <w:t xml:space="preserve"> is the focal first-stage interaction parameter testing whether prompt ambiguity exacerbates search truncation when tools are costly.</w:t>
      </w:r>
    </w:p>
    <w:p>
      <w:pPr>
        <w:pStyle w:val="BodyText"/>
        <w:rPr/>
      </w:pPr>
      <w:r>
        <w:rPr/>
        <w:t>The second-stage equation models choice optimality as a function of acquired diagnostic information, tool cost, and objective framing:</w:t>
      </w:r>
    </w:p>
    <w:p>
      <w:pPr>
        <w:pStyle w:val="BodyText"/>
        <w:jc w:val="center"/>
        <w:rPr/>
      </w:pPr>
      <w:r>
        <w:rPr/>
      </w:r>
      <m:oMathPara xmlns:m="http://schemas.openxmlformats.org/officeDocument/2006/math">
        <m:oMathParaPr>
          <m:jc m:val="center"/>
        </m:oMathParaPr>
        <m:oMath>
          <m:sSub>
            <m:e>
              <m:r>
                <m:rPr>
                  <m:lit/>
                  <m:nor/>
                </m:rPr>
                <w:rPr>
                  <w:rFonts w:ascii="Cambria Math" w:hAnsi="Cambria Math"/>
                </w:rPr>
                <m:t xml:space="preserve">Optimal</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α</m:t>
              </m:r>
            </m:e>
            <m:sub>
              <m:r>
                <w:rPr>
                  <w:rFonts w:ascii="Cambria Math" w:hAnsi="Cambria Math"/>
                </w:rPr>
                <m:t xml:space="preserve">2</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m:t>
              </m:r>
            </m:sub>
          </m:sSub>
          <m:sSub>
            <m:e>
              <m:r>
                <m:rPr>
                  <m:lit/>
                  <m:nor/>
                </m:rPr>
                <w:rPr>
                  <w:rFonts w:ascii="Cambria Math" w:hAnsi="Cambria Math"/>
                </w:rPr>
                <m:t xml:space="preserve">Search</m:t>
              </m:r>
            </m:e>
            <m:sub>
              <m:r>
                <w:rPr>
                  <w:rFonts w:ascii="Cambria Math" w:hAnsi="Cambria Math"/>
                </w:rPr>
                <m:t xml:space="preserve">i</m:t>
              </m:r>
            </m:sub>
          </m:sSub>
          <m:r>
            <w:rPr>
              <w:rFonts w:ascii="Cambria Math" w:hAnsi="Cambria Math"/>
            </w:rPr>
            <m:t xml:space="preserve">+</m:t>
          </m:r>
          <m:sSubSup>
            <m:e>
              <m:r>
                <w:rPr>
                  <w:rFonts w:ascii="Cambria Math" w:hAnsi="Cambria Math"/>
                </w:rPr>
                <m:t xml:space="preserve">c</m:t>
              </m:r>
            </m:e>
            <m:sub>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m:t>
              </m:r>
            </m:sub>
            <m:sup>
              <m:r>
                <w:rPr>
                  <w:rFonts w:ascii="Cambria Math" w:hAnsi="Cambria Math"/>
                </w:rPr>
                <m:t xml:space="preserve">′</m:t>
              </m:r>
            </m:sup>
          </m:sSubSup>
          <m:sSub>
            <m:e>
              <m:r>
                <m:rPr>
                  <m:lit/>
                  <m:nor/>
                </m:rPr>
                <w:rPr>
                  <w:rFonts w:ascii="Cambria Math" w:hAnsi="Cambria Math"/>
                </w:rPr>
                <m:t xml:space="preserve">Cost</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2</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i</m:t>
              </m:r>
              <m:r>
                <w:rPr>
                  <w:rFonts w:ascii="Cambria Math" w:hAnsi="Cambria Math"/>
                </w:rPr>
                <m:t xml:space="preserve">]</m:t>
              </m:r>
            </m:sub>
          </m:sSub>
          <m:sSub>
            <m:e>
              <m:r>
                <m:rPr>
                  <m:lit/>
                  <m:nor/>
                </m:rPr>
                <w:rPr>
                  <w:rFonts w:ascii="Cambria Math" w:hAnsi="Cambria Math"/>
                </w:rPr>
                <m:t xml:space="preserve">Deal</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2</m:t>
              </m:r>
              <m:r>
                <w:rPr>
                  <w:rFonts w:ascii="Cambria Math" w:hAnsi="Cambria Math"/>
                </w:rPr>
                <m:t xml:space="preserve">,</m:t>
              </m:r>
              <m:r>
                <w:rPr>
                  <w:rFonts w:ascii="Cambria Math" w:hAnsi="Cambria Math"/>
                </w:rPr>
                <m:t xml:space="preserve">i</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2</m:t>
              </m:r>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sSubSup>
            <m:e>
              <m:r>
                <w:rPr>
                  <w:rFonts w:ascii="Cambria Math" w:hAnsi="Cambria Math"/>
                </w:rPr>
                <m:t xml:space="preserve">σ</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oMath>
      </m:oMathPara>
    </w:p>
    <w:p>
      <w:pPr>
        <w:pStyle w:val="FirstParagraph"/>
        <w:rPr/>
      </w:pPr>
      <w:r>
        <w:rPr/>
        <w:t xml:space="preserve">where </w:t>
      </w:r>
      <w:r>
        <w:rPr/>
      </w:r>
      <m:oMath xmlns:m="http://schemas.openxmlformats.org/officeDocument/2006/math">
        <m:sSub>
          <m:e>
            <m:r>
              <w:rPr>
                <w:rFonts w:ascii="Cambria Math" w:hAnsi="Cambria Math"/>
              </w:rPr>
              <m:t xml:space="preserve">b</m:t>
            </m:r>
          </m:e>
          <m:sub>
            <m:r>
              <w:rPr>
                <w:rFonts w:ascii="Cambria Math" w:hAnsi="Cambria Math"/>
              </w:rPr>
              <m:t xml:space="preserve">1</m:t>
            </m:r>
            <m:r>
              <w:rPr>
                <w:rFonts w:ascii="Cambria Math" w:hAnsi="Cambria Math"/>
              </w:rPr>
              <m:t xml:space="preserve">,</m:t>
            </m:r>
            <m:r>
              <w:rPr>
                <w:rFonts w:ascii="Cambria Math" w:hAnsi="Cambria Math"/>
              </w:rPr>
              <m:t xml:space="preserve">j</m:t>
            </m:r>
          </m:sub>
        </m:sSub>
      </m:oMath>
      <w:r>
        <w:rPr/>
        <w:t xml:space="preserve"> represents the marginal effect of acquiring one additional diagnostic attribute on the probability of choosing the optimal alternative; </w:t>
      </w:r>
      <w:r>
        <w:rPr/>
      </w:r>
      <m:oMath xmlns:m="http://schemas.openxmlformats.org/officeDocument/2006/math">
        <m:sSubSup>
          <m:e>
            <m:r>
              <w:rPr>
                <w:rFonts w:ascii="Cambria Math" w:hAnsi="Cambria Math"/>
              </w:rPr>
              <m:t xml:space="preserve">c</m:t>
            </m:r>
          </m:e>
          <m:sub>
            <m:r>
              <w:rPr>
                <w:rFonts w:ascii="Cambria Math" w:hAnsi="Cambria Math"/>
              </w:rPr>
              <m:t xml:space="preserve">j</m:t>
            </m:r>
          </m:sub>
          <m:sup>
            <m:r>
              <w:rPr>
                <w:rFonts w:ascii="Cambria Math" w:hAnsi="Cambria Math"/>
              </w:rPr>
              <m:t xml:space="preserve">′</m:t>
            </m:r>
          </m:sup>
        </m:sSubSup>
      </m:oMath>
      <w:r>
        <w:rPr/>
        <w:t xml:space="preserve"> represents the unmediated direct effect of tool cost on choice optimality; and </w:t>
      </w:r>
      <w:r>
        <w:rPr/>
      </w:r>
      <m:oMath xmlns:m="http://schemas.openxmlformats.org/officeDocument/2006/math">
        <m:sSub>
          <m:e>
            <m:r>
              <w:rPr>
                <w:rFonts w:ascii="Cambria Math" w:hAnsi="Cambria Math"/>
              </w:rPr>
              <m:t xml:space="preserve">c</m:t>
            </m:r>
          </m:e>
          <m:sub>
            <m:r>
              <w:rPr>
                <w:rFonts w:ascii="Cambria Math" w:hAnsi="Cambria Math"/>
              </w:rPr>
              <m:t xml:space="preserve">2</m:t>
            </m:r>
            <m:r>
              <w:rPr>
                <w:rFonts w:ascii="Cambria Math" w:hAnsi="Cambria Math"/>
              </w:rPr>
              <m:t xml:space="preserve">,</m:t>
            </m:r>
            <m:r>
              <w:rPr>
                <w:rFonts w:ascii="Cambria Math" w:hAnsi="Cambria Math"/>
              </w:rPr>
              <m:t xml:space="preserve">j</m:t>
            </m:r>
          </m:sub>
        </m:sSub>
      </m:oMath>
      <w:r>
        <w:rPr/>
        <w:t xml:space="preserve"> is the direct effect of prompt framing. In accordance with Hayes (2018) Model 7, the interaction term between cost and framing is excluded from the second stage, reflecting the theoretical premise that tool costs degrade choice quality solely through information deprivation rather than through an unmediated psychological or cognitive distraction mechanism.</w:t>
      </w:r>
      <w:bookmarkEnd w:id="194"/>
    </w:p>
    <w:p>
      <w:pPr>
        <w:pStyle w:val="Heading2"/>
        <w:rPr/>
      </w:pPr>
      <w:bookmarkStart w:id="195" w:name="Xda865873427bbd01cd42ce4fc7fe78ec65cff3e"/>
      <w:r>
        <w:rPr/>
        <w:t>Justification of the linear probability model specification</w:t>
      </w:r>
    </w:p>
    <w:p>
      <w:pPr>
        <w:pStyle w:val="FirstParagraph"/>
        <w:rPr/>
      </w:pPr>
      <w:r>
        <w:rPr/>
        <w:t xml:space="preserve">A central econometric consideration in simultaneous mediation systems with binary outcomes is the choice of link function for the terminal endpoint (MacKinnon et al., 2007; Winship &amp; Mare, 1984). Although logistic or probit formulations are conventional for binary outcomes, applying non-linear link functions in multi-stage mediation introduces fundamental identification and decomposition dilemmas (Breen et al., 2014; VanderWeele, 2015). In logistic regression, the residual variance is fixed by identification convention to </w:t>
      </w:r>
      <w:r>
        <w:rPr/>
      </w:r>
      <m:oMath xmlns:m="http://schemas.openxmlformats.org/officeDocument/2006/math">
        <m:f>
          <m:fPr>
            <m:type m:val="lin"/>
          </m:fPr>
          <m:num>
            <m:sSup>
              <m:e>
                <m:r>
                  <w:rPr>
                    <w:rFonts w:ascii="Cambria Math" w:hAnsi="Cambria Math"/>
                  </w:rPr>
                  <m:t xml:space="preserve">π</m:t>
                </m:r>
              </m:e>
              <m:sup>
                <m:r>
                  <w:rPr>
                    <w:rFonts w:ascii="Cambria Math" w:hAnsi="Cambria Math"/>
                  </w:rPr>
                  <m:t xml:space="preserve">2</m:t>
                </m:r>
              </m:sup>
            </m:sSup>
          </m:num>
          <m:den>
            <m:r>
              <w:rPr>
                <w:rFonts w:ascii="Cambria Math" w:hAnsi="Cambria Math"/>
              </w:rPr>
              <m:t xml:space="preserve">3</m:t>
            </m:r>
          </m:den>
        </m:f>
        <m:r>
          <w:rPr>
            <w:rFonts w:ascii="Cambria Math" w:hAnsi="Cambria Math"/>
          </w:rPr>
          <m:t xml:space="preserve">≈</m:t>
        </m:r>
        <m:r>
          <w:rPr>
            <w:rFonts w:ascii="Cambria Math" w:hAnsi="Cambria Math"/>
          </w:rPr>
          <m:t xml:space="preserve">3.29</m:t>
        </m:r>
      </m:oMath>
      <w:r>
        <w:rPr/>
        <w:t>. Consequently, adding intermediate explanatory variables such as diagnostic search depth changes the scale of the underlying latent variable, rendering the product of the first-stage OLS coefficient and the second-stage logistic coefficient mathematically non-equivalent to the difference in total and direct effects (</w:t>
      </w:r>
      <w:r>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c</m:t>
        </m:r>
        <m:r>
          <w:rPr>
            <w:rFonts w:ascii="Cambria Math" w:hAnsi="Cambria Math"/>
          </w:rPr>
          <m:t xml:space="preserve">−</m:t>
        </m:r>
        <m:sSup>
          <m:e>
            <m:r>
              <w:rPr>
                <w:rFonts w:ascii="Cambria Math" w:hAnsi="Cambria Math"/>
              </w:rPr>
              <m:t xml:space="preserve">c</m:t>
            </m:r>
          </m:e>
          <m:sup>
            <m:r>
              <w:rPr>
                <w:rFonts w:ascii="Cambria Math" w:hAnsi="Cambria Math"/>
              </w:rPr>
              <m:t xml:space="preserve">′</m:t>
            </m:r>
          </m:sup>
        </m:sSup>
      </m:oMath>
      <w:r>
        <w:rPr/>
        <w:t>).</w:t>
      </w:r>
    </w:p>
    <w:p>
      <w:pPr>
        <w:pStyle w:val="BodyText"/>
        <w:rPr/>
      </w:pPr>
      <w:r>
        <w:rPr/>
        <w:t>To preserve an exact, transparent, and additive structural decomposition, we estimate the second-stage equation using a Linear Probability Model (LPM). Under the LPM specification, all structural coefficients, conditional indirect effects, and direct pathways are expressed directly in probability units (percentage points). This parameterization provides three primary methodological advantages:</w:t>
      </w:r>
    </w:p>
    <w:p>
      <w:pPr>
        <w:pStyle w:val="BodyText"/>
        <w:rPr/>
      </w:pPr>
      <w:r>
        <w:rPr/>
        <w:t>First, it permits exact computation of the Index of Moderated Mediation as the algebraic product of the first-stage interaction slope and the second-stage mediator slope (</w:t>
      </w:r>
      <w:r>
        <w:rPr/>
      </w:r>
      <m:oMath xmlns:m="http://schemas.openxmlformats.org/officeDocument/2006/math">
        <m:r>
          <m:rPr>
            <m:lit/>
            <m:nor/>
          </m:rPr>
          <w:rPr>
            <w:rFonts w:ascii="Cambria Math" w:hAnsi="Cambria Math"/>
          </w:rPr>
          <m:t xml:space="preserve">IMM</m:t>
        </m:r>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w:t>
      </w:r>
    </w:p>
    <w:p>
      <w:pPr>
        <w:pStyle w:val="BodyText"/>
        <w:rPr/>
      </w:pPr>
      <w:r>
        <w:rPr/>
        <w:t>Second, the total effect of acquisition cost under ambiguous framing decomposes exactly into the sum of the direct effect and the conditional indirect effect (</w:t>
      </w:r>
      <w:r>
        <w:rPr/>
      </w:r>
      <m:oMath xmlns:m="http://schemas.openxmlformats.org/officeDocument/2006/math">
        <m:sSub>
          <m:e>
            <m:r>
              <m:rPr>
                <m:lit/>
                <m:nor/>
              </m:rPr>
              <w:rPr>
                <w:rFonts w:ascii="Cambria Math" w:hAnsi="Cambria Math"/>
              </w:rPr>
              <m:t xml:space="preserve">Total</m:t>
            </m:r>
          </m:e>
          <m:sub>
            <m:r>
              <m:rPr>
                <m:lit/>
                <m:nor/>
              </m:rPr>
              <w:rPr>
                <w:rFonts w:ascii="Cambria Math" w:hAnsi="Cambria Math"/>
              </w:rPr>
              <m:t xml:space="preserve">deal</m:t>
            </m:r>
          </m:sub>
        </m:sSub>
        <m:r>
          <w:rPr>
            <w:rFonts w:ascii="Cambria Math" w:hAnsi="Cambria Math"/>
          </w:rPr>
          <m:t xml:space="preserve">=</m:t>
        </m:r>
        <m:sSup>
          <m:e>
            <m:r>
              <w:rPr>
                <w:rFonts w:ascii="Cambria Math" w:hAnsi="Cambria Math"/>
              </w:rPr>
              <m:t xml:space="preserve">c</m:t>
            </m:r>
          </m:e>
          <m:sup>
            <m:r>
              <w:rPr>
                <w:rFonts w:ascii="Cambria Math" w:hAnsi="Cambria Math"/>
              </w:rPr>
              <m:t xml:space="preserve">′</m:t>
            </m:r>
          </m:sup>
        </m:sSup>
        <m: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1</m:t>
            </m:r>
          </m:sub>
        </m:sSub>
      </m:oMath>
      <w:r>
        <w:rPr/>
        <w:t>).</w:t>
      </w:r>
    </w:p>
    <w:p>
      <w:pPr>
        <w:pStyle w:val="BodyText"/>
        <w:rPr/>
      </w:pPr>
      <w:r>
        <w:rPr/>
        <w:t>Third, the population-level estimates represent genuine average marginal effects across the support of the multi-agent data, avoiding the arbitrary baseline probability conditioning required to interpret non-linear logistic interaction terms (Ai &amp; Norton, 2003).</w:t>
      </w:r>
    </w:p>
    <w:p>
      <w:pPr>
        <w:pStyle w:val="BodyText"/>
        <w:rPr/>
      </w:pPr>
      <w:r>
        <w:rPr/>
        <w:t xml:space="preserve">Because linear probability models can theoretically predict probabilities outside the unit interval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t>, we systematically inspect the fitted values from our posterior distributions. Across all 3,200 sessions in Study 1, out-of-bounds fitted probabilities occur in less than 2.8% of posterior draws, concentrating exclusively in boundary cells where performance reaches ceiling (100% accuracy under zero cost). In Study 2, out-of-bounds fitted probabilities occur in less than 3.1% of draws. Furthermore, as detailed in the sensitivity section below, re-estimating the entire system using a non-linear Gaussian-mediator Bernoulli-outcome logistic specification confirms identical directional conclusions and statistical significance.</w:t>
      </w:r>
      <w:bookmarkEnd w:id="195"/>
    </w:p>
    <w:p>
      <w:pPr>
        <w:pStyle w:val="Heading2"/>
        <w:rPr/>
      </w:pPr>
      <w:bookmarkStart w:id="196" w:name="prior-elicitation-and-bayesian-inference"/>
      <w:r>
        <w:rPr/>
        <w:t>Prior elicitation and Bayesian inference</w:t>
      </w:r>
    </w:p>
    <w:p>
      <w:pPr>
        <w:pStyle w:val="FirstParagraph"/>
        <w:rPr/>
      </w:pPr>
      <w:r>
        <w:rPr/>
        <w:t>All models are estimated using full Bayesian inference via Hamiltonian Monte Carlo sampling in Stan. To prevent overfitting while avoiding dogmatic constraints, we specify weakly informative, regularizing priors on all model parameters:</w:t>
      </w:r>
    </w:p>
    <w:p>
      <w:pPr>
        <w:pStyle w:val="BodyText"/>
        <w:jc w:val="center"/>
        <w:rPr/>
      </w:pPr>
      <w:r>
        <w:rPr/>
      </w:r>
      <m:oMathPara xmlns:m="http://schemas.openxmlformats.org/officeDocument/2006/math">
        <m:oMathParaPr>
          <m:jc m:val="center"/>
        </m:oMathParaPr>
        <m:oMath>
          <m:eqArr>
            <m:e>
              <m:r>
                <m:rPr>
                  <m:lit/>
                  <m:nor/>
                </m:rPr>
                <w:rPr>
                  <w:rFonts w:ascii="Cambria Math" w:hAnsi="Cambria Math"/>
                </w:rPr>
                <m:t xml:space="preserve">Population slopes (First stage)</m:t>
              </m:r>
              <m:r>
                <w:rPr>
                  <w:rFonts w:ascii="Cambria Math" w:hAnsi="Cambria Math"/>
                </w:rPr>
                <m:t xml:space="preserve">:</m:t>
              </m:r>
              <m:r>
                <m:rPr>
                  <m:lit/>
                  <m:nor/>
                </m:rPr>
                <w:rPr>
                  <w:rFonts w:ascii="Cambria Math" w:hAnsi="Cambria Math"/>
                </w:rPr>
                <m:t xml:space="preserve">&amp;</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3</m:t>
              </m:r>
              <m:r>
                <w:rPr>
                  <w:rFonts w:ascii="Cambria Math" w:hAnsi="Cambria Math"/>
                </w:rPr>
                <m:t xml:space="preserve">)</m:t>
              </m:r>
            </m:e>
            <m:e>
              <m:r>
                <m:rPr>
                  <m:lit/>
                  <m:nor/>
                </m:rPr>
                <w:rPr>
                  <w:rFonts w:ascii="Cambria Math" w:hAnsi="Cambria Math"/>
                </w:rPr>
                <m:t xml:space="preserve">Population slopes (Second stage)</m:t>
              </m:r>
              <m:r>
                <w:rPr>
                  <w:rFonts w:ascii="Cambria Math" w:hAnsi="Cambria Math"/>
                </w:rPr>
                <m:t xml:space="preserve">:</m:t>
              </m:r>
              <m:r>
                <m:rPr>
                  <m:lit/>
                  <m:nor/>
                </m:rPr>
                <w:rPr>
                  <w:rFonts w:ascii="Cambria Math" w:hAnsi="Cambria Math"/>
                </w:rPr>
                <m:t xml:space="preserve">&amp;</m:t>
              </m:r>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sSup>
                <m:e>
                  <m:r>
                    <w:rPr>
                      <w:rFonts w:ascii="Cambria Math" w:hAnsi="Cambria Math"/>
                    </w:rPr>
                    <m:t xml:space="preserve">c</m:t>
                  </m:r>
                </m:e>
                <m:sup>
                  <m:r>
                    <w:rPr>
                      <w:rFonts w:ascii="Cambria Math" w:hAnsi="Cambria Math"/>
                    </w:rPr>
                    <m:t xml:space="preserve">′</m:t>
                  </m:r>
                </m:sup>
              </m:sSup>
              <m:r>
                <w:rPr>
                  <w:rFonts w:ascii="Cambria Math" w:hAnsi="Cambria Math"/>
                </w:rPr>
                <m:t xml:space="preserve">,</m:t>
              </m:r>
              <m:sSub>
                <m:e>
                  <m:r>
                    <w:rPr>
                      <w:rFonts w:ascii="Cambria Math" w:hAnsi="Cambria Math"/>
                    </w:rPr>
                    <m:t xml:space="preserve">c</m:t>
                  </m:r>
                </m:e>
                <m:sub>
                  <m:r>
                    <w:rPr>
                      <w:rFonts w:ascii="Cambria Math" w:hAnsi="Cambria Math"/>
                    </w:rPr>
                    <m:t xml:space="preserve">2</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e>
            <m:e>
              <m:r>
                <m:rPr>
                  <m:lit/>
                  <m:nor/>
                </m:rPr>
                <w:rPr>
                  <w:rFonts w:ascii="Cambria Math" w:hAnsi="Cambria Math"/>
                </w:rPr>
                <m:t xml:space="preserve">Residual standard deviations</m:t>
              </m:r>
              <m:r>
                <w:rPr>
                  <w:rFonts w:ascii="Cambria Math" w:hAnsi="Cambria Math"/>
                </w:rPr>
                <m:t xml:space="preserve">:</m:t>
              </m:r>
              <m:r>
                <m:rPr>
                  <m:lit/>
                  <m:nor/>
                </m:rPr>
                <w:rPr>
                  <w:rFonts w:ascii="Cambria Math" w:hAnsi="Cambria Math"/>
                </w:rPr>
                <m:t xml:space="preserve">&amp;</m:t>
              </m:r>
              <m:sSub>
                <m:e>
                  <m:r>
                    <w:rPr>
                      <w:rFonts w:ascii="Cambria Math" w:hAnsi="Cambria Math"/>
                    </w:rPr>
                    <m:t xml:space="preserve">σ</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σ</m:t>
                  </m:r>
                </m:e>
                <m:sub>
                  <m:r>
                    <w:rPr>
                      <w:rFonts w:ascii="Cambria Math" w:hAnsi="Cambria Math"/>
                    </w:rPr>
                    <m:t xml:space="preserve">2</m:t>
                  </m:r>
                </m:sub>
              </m:sSub>
              <m:r>
                <w:rPr>
                  <w:rFonts w:ascii="Cambria Math" w:hAnsi="Cambria Math"/>
                </w:rPr>
                <m:t xml:space="preserve">∼</m:t>
              </m:r>
              <m:r>
                <m:rPr>
                  <m:lit/>
                  <m:nor/>
                </m:rPr>
                <w:rPr>
                  <w:rFonts w:ascii="Cambria Math" w:hAnsi="Cambria Math"/>
                </w:rPr>
                <m:t xml:space="preserve">Exponential</m:t>
              </m:r>
              <m:r>
                <w:rPr>
                  <w:rFonts w:ascii="Cambria Math" w:hAnsi="Cambria Math"/>
                </w:rPr>
                <m:t xml:space="preserve">(</m:t>
              </m:r>
              <m:r>
                <w:rPr>
                  <w:rFonts w:ascii="Cambria Math" w:hAnsi="Cambria Math"/>
                </w:rPr>
                <m:t xml:space="preserve">1</m:t>
              </m:r>
              <m:r>
                <w:rPr>
                  <w:rFonts w:ascii="Cambria Math" w:hAnsi="Cambria Math"/>
                </w:rPr>
                <m:t xml:space="preserve">)</m:t>
              </m:r>
            </m:e>
            <m:e>
              <m:r>
                <m:rPr>
                  <m:lit/>
                  <m:nor/>
                </m:rPr>
                <w:rPr>
                  <w:rFonts w:ascii="Cambria Math" w:hAnsi="Cambria Math"/>
                </w:rPr>
                <m:t xml:space="preserve">Group-level standard deviations</m:t>
              </m:r>
              <m:r>
                <w:rPr>
                  <w:rFonts w:ascii="Cambria Math" w:hAnsi="Cambria Math"/>
                </w:rPr>
                <m:t xml:space="preserve">:</m:t>
              </m:r>
              <m:r>
                <m:rPr>
                  <m:lit/>
                  <m:nor/>
                </m:rPr>
                <w:rPr>
                  <w:rFonts w:ascii="Cambria Math" w:hAnsi="Cambria Math"/>
                </w:rPr>
                <m:t xml:space="preserve">&amp;</m:t>
              </m:r>
              <m:sSub>
                <m:e>
                  <m:r>
                    <w:rPr>
                      <w:rFonts w:ascii="Cambria Math" w:hAnsi="Cambria Math"/>
                    </w:rPr>
                    <m:t xml:space="preserve">τ</m:t>
                  </m:r>
                </m:e>
                <m:sub>
                  <m:sSub>
                    <m:e>
                      <m:r>
                        <w:rPr>
                          <w:rFonts w:ascii="Cambria Math" w:hAnsi="Cambria Math"/>
                        </w:rPr>
                        <m:t xml:space="preserve">a</m:t>
                      </m:r>
                    </m:e>
                    <m:sub>
                      <m:r>
                        <w:rPr>
                          <w:rFonts w:ascii="Cambria Math" w:hAnsi="Cambria Math"/>
                        </w:rPr>
                        <m:t xml:space="preserve">1</m:t>
                      </m:r>
                    </m:sub>
                  </m:sSub>
                </m:sub>
              </m:sSub>
              <m:r>
                <w:rPr>
                  <w:rFonts w:ascii="Cambria Math" w:hAnsi="Cambria Math"/>
                </w:rPr>
                <m:t xml:space="preserve">,</m:t>
              </m:r>
              <m:sSub>
                <m:e>
                  <m:r>
                    <w:rPr>
                      <w:rFonts w:ascii="Cambria Math" w:hAnsi="Cambria Math"/>
                    </w:rPr>
                    <m:t xml:space="preserve">τ</m:t>
                  </m:r>
                </m:e>
                <m:sub>
                  <m:sSub>
                    <m:e>
                      <m:r>
                        <w:rPr>
                          <w:rFonts w:ascii="Cambria Math" w:hAnsi="Cambria Math"/>
                        </w:rPr>
                        <m:t xml:space="preserve">a</m:t>
                      </m:r>
                    </m:e>
                    <m:sub>
                      <m:r>
                        <w:rPr>
                          <w:rFonts w:ascii="Cambria Math" w:hAnsi="Cambria Math"/>
                        </w:rPr>
                        <m:t xml:space="preserve">2</m:t>
                      </m:r>
                    </m:sub>
                  </m:sSub>
                </m:sub>
              </m:sSub>
              <m:r>
                <w:rPr>
                  <w:rFonts w:ascii="Cambria Math" w:hAnsi="Cambria Math"/>
                </w:rPr>
                <m:t xml:space="preserve">,</m:t>
              </m:r>
              <m:sSub>
                <m:e>
                  <m:r>
                    <w:rPr>
                      <w:rFonts w:ascii="Cambria Math" w:hAnsi="Cambria Math"/>
                    </w:rPr>
                    <m:t xml:space="preserve">τ</m:t>
                  </m:r>
                </m:e>
                <m:sub>
                  <m:sSub>
                    <m:e>
                      <m:r>
                        <w:rPr>
                          <w:rFonts w:ascii="Cambria Math" w:hAnsi="Cambria Math"/>
                        </w:rPr>
                        <m:t xml:space="preserve">a</m:t>
                      </m:r>
                    </m:e>
                    <m:sub>
                      <m:r>
                        <w:rPr>
                          <w:rFonts w:ascii="Cambria Math" w:hAnsi="Cambria Math"/>
                        </w:rPr>
                        <m:t xml:space="preserve">3</m:t>
                      </m:r>
                    </m:sub>
                  </m:sSub>
                </m:sub>
              </m:sSub>
              <m:r>
                <w:rPr>
                  <w:rFonts w:ascii="Cambria Math" w:hAnsi="Cambria Math"/>
                </w:rPr>
                <m:t xml:space="preserve">,</m:t>
              </m:r>
              <m:sSub>
                <m:e>
                  <m:r>
                    <w:rPr>
                      <w:rFonts w:ascii="Cambria Math" w:hAnsi="Cambria Math"/>
                    </w:rPr>
                    <m:t xml:space="preserve">τ</m:t>
                  </m:r>
                </m:e>
                <m:sub>
                  <m:sSub>
                    <m:e>
                      <m:r>
                        <w:rPr>
                          <w:rFonts w:ascii="Cambria Math" w:hAnsi="Cambria Math"/>
                        </w:rPr>
                        <m:t xml:space="preserve">b</m:t>
                      </m:r>
                    </m:e>
                    <m:sub>
                      <m:r>
                        <w:rPr>
                          <w:rFonts w:ascii="Cambria Math" w:hAnsi="Cambria Math"/>
                        </w:rPr>
                        <m:t xml:space="preserve">1</m:t>
                      </m:r>
                    </m:sub>
                  </m:sSub>
                </m:sub>
              </m:sSub>
              <m:r>
                <w:rPr>
                  <w:rFonts w:ascii="Cambria Math" w:hAnsi="Cambria Math"/>
                </w:rPr>
                <m:t xml:space="preserve">,</m:t>
              </m:r>
              <m:sSub>
                <m:e>
                  <m:r>
                    <w:rPr>
                      <w:rFonts w:ascii="Cambria Math" w:hAnsi="Cambria Math"/>
                    </w:rPr>
                    <m:t xml:space="preserve">τ</m:t>
                  </m:r>
                </m:e>
                <m:sub>
                  <m:sSup>
                    <m:e>
                      <m:r>
                        <w:rPr>
                          <w:rFonts w:ascii="Cambria Math" w:hAnsi="Cambria Math"/>
                        </w:rPr>
                        <m:t xml:space="preserve">c</m:t>
                      </m:r>
                    </m:e>
                    <m:sup>
                      <m:r>
                        <w:rPr>
                          <w:rFonts w:ascii="Cambria Math" w:hAnsi="Cambria Math"/>
                        </w:rPr>
                        <m:t xml:space="preserve">′</m:t>
                      </m:r>
                    </m:sup>
                  </m:sSup>
                </m:sub>
              </m:sSub>
              <m:r>
                <w:rPr>
                  <w:rFonts w:ascii="Cambria Math" w:hAnsi="Cambria Math"/>
                </w:rPr>
                <m:t xml:space="preserve">,</m:t>
              </m:r>
              <m:sSub>
                <m:e>
                  <m:r>
                    <w:rPr>
                      <w:rFonts w:ascii="Cambria Math" w:hAnsi="Cambria Math"/>
                    </w:rPr>
                    <m:t xml:space="preserve">τ</m:t>
                  </m:r>
                </m:e>
                <m:sub>
                  <m:sSub>
                    <m:e>
                      <m:r>
                        <w:rPr>
                          <w:rFonts w:ascii="Cambria Math" w:hAnsi="Cambria Math"/>
                        </w:rPr>
                        <m:t xml:space="preserve">c</m:t>
                      </m:r>
                    </m:e>
                    <m:sub>
                      <m:r>
                        <w:rPr>
                          <w:rFonts w:ascii="Cambria Math" w:hAnsi="Cambria Math"/>
                        </w:rPr>
                        <m:t xml:space="preserve">2</m:t>
                      </m:r>
                    </m:sub>
                  </m:sSub>
                </m:sub>
              </m:sSub>
              <m:r>
                <w:rPr>
                  <w:rFonts w:ascii="Cambria Math" w:hAnsi="Cambria Math"/>
                </w:rPr>
                <m:t xml:space="preserve">∼</m:t>
              </m:r>
              <m:r>
                <m:rPr>
                  <m:lit/>
                  <m:nor/>
                </m:rPr>
                <w:rPr>
                  <w:rFonts w:ascii="Cambria Math" w:hAnsi="Cambria Math"/>
                </w:rPr>
                <m:t xml:space="preserve">Exponential</m:t>
              </m:r>
              <m:r>
                <w:rPr>
                  <w:rFonts w:ascii="Cambria Math" w:hAnsi="Cambria Math"/>
                </w:rPr>
                <m:t xml:space="preserve">(</m:t>
              </m:r>
              <m:r>
                <w:rPr>
                  <w:rFonts w:ascii="Cambria Math" w:hAnsi="Cambria Math"/>
                </w:rPr>
                <m:t xml:space="preserve">1</m:t>
              </m:r>
              <m:r>
                <w:rPr>
                  <w:rFonts w:ascii="Cambria Math" w:hAnsi="Cambria Math"/>
                </w:rPr>
                <m:t xml:space="preserve">)</m:t>
              </m:r>
            </m:e>
            <m:e>
              <m:r>
                <m:rPr>
                  <m:lit/>
                  <m:nor/>
                </m:rPr>
                <w:rPr>
                  <w:rFonts w:ascii="Cambria Math" w:hAnsi="Cambria Math"/>
                </w:rPr>
                <m:t xml:space="preserve">Random effects correlation matrix</m:t>
              </m:r>
              <m:r>
                <w:rPr>
                  <w:rFonts w:ascii="Cambria Math" w:hAnsi="Cambria Math"/>
                </w:rPr>
                <m:t xml:space="preserve">:</m:t>
              </m:r>
              <m:r>
                <m:rPr>
                  <m:lit/>
                  <m:nor/>
                </m:rPr>
                <w:rPr>
                  <w:rFonts w:ascii="Cambria Math" w:hAnsi="Cambria Math"/>
                </w:rPr>
                <m:t xml:space="preserve">&amp;</m:t>
              </m:r>
              <m:r>
                <w:rPr>
                  <w:rFonts w:ascii="Cambria Math" w:hAnsi="Cambria Math"/>
                </w:rPr>
                <m:t xml:space="preserve">Ω</m:t>
              </m:r>
              <m:r>
                <w:rPr>
                  <w:rFonts w:ascii="Cambria Math" w:hAnsi="Cambria Math"/>
                </w:rPr>
                <m:t xml:space="preserve">∼</m:t>
              </m:r>
              <m:r>
                <m:rPr>
                  <m:lit/>
                  <m:nor/>
                </m:rPr>
                <w:rPr>
                  <w:rFonts w:ascii="Cambria Math" w:hAnsi="Cambria Math"/>
                </w:rPr>
                <m:t xml:space="preserve">LKJ</m:t>
              </m:r>
              <m:r>
                <w:rPr>
                  <w:rFonts w:ascii="Cambria Math" w:hAnsi="Cambria Math"/>
                </w:rPr>
                <m:t xml:space="preserve">(</m:t>
              </m:r>
              <m:r>
                <w:rPr>
                  <w:rFonts w:ascii="Cambria Math" w:hAnsi="Cambria Math"/>
                </w:rPr>
                <m:t xml:space="preserve">4</m:t>
              </m:r>
              <m:r>
                <w:rPr>
                  <w:rFonts w:ascii="Cambria Math" w:hAnsi="Cambria Math"/>
                </w:rPr>
                <m:t xml:space="preserve">)</m:t>
              </m:r>
            </m:e>
          </m:eqArr>
        </m:oMath>
      </m:oMathPara>
    </w:p>
    <w:p>
      <w:pPr>
        <w:pStyle w:val="FirstParagraph"/>
        <w:rPr/>
      </w:pPr>
      <w:r>
        <w:rPr/>
        <w:t xml:space="preserve">The normal prior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3</m:t>
        </m:r>
        <m:r>
          <w:rPr>
            <w:rFonts w:ascii="Cambria Math" w:hAnsi="Cambria Math"/>
          </w:rPr>
          <m:t xml:space="preserve">)</m:t>
        </m:r>
      </m:oMath>
      <w:r>
        <w:rPr/>
        <w:t xml:space="preserve"> on the first-stage search slopes is regularizing but broad relative to the six-cell or nine-cell bounds of the search environment, placing 95% of prior mass between </w:t>
      </w:r>
      <w:r>
        <w:rPr/>
      </w:r>
      <m:oMath xmlns:m="http://schemas.openxmlformats.org/officeDocument/2006/math">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m:t>
        </m:r>
        <m:r>
          <w:rPr>
            <w:rFonts w:ascii="Cambria Math" w:hAnsi="Cambria Math"/>
          </w:rPr>
          <m:t xml:space="preserve">6</m:t>
        </m:r>
      </m:oMath>
      <w:r>
        <w:rPr/>
        <w:t xml:space="preserve"> cells. The normal prior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t xml:space="preserve"> on the second-stage slopes reflects the scale of the probability metric, where a slope coefficient exceeding 1.0 would span the entire mathematical range of the outcome. The exponential prior with rate parameter 1 on variance components assigns high prior density to moderate group-level variation while penalizing excessively large variances that could induce computational instability. The LKJ prior with shape parameter 4 regularizes the group-level correlation matrix toward the identity matrix, heavily penalizing extreme correlation values near </w:t>
      </w:r>
      <w:r>
        <w:rPr/>
      </w:r>
      <m:oMath xmlns:m="http://schemas.openxmlformats.org/officeDocument/2006/math">
        <m:r>
          <w:rPr>
            <w:rFonts w:ascii="Cambria Math" w:hAnsi="Cambria Math"/>
          </w:rPr>
          <m:t xml:space="preserve">−</m:t>
        </m:r>
        <m:r>
          <w:rPr>
            <w:rFonts w:ascii="Cambria Math" w:hAnsi="Cambria Math"/>
          </w:rPr>
          <m:t xml:space="preserve">1</m:t>
        </m:r>
      </m:oMath>
      <w:r>
        <w:rPr/>
        <w:t xml:space="preserve"> or </w:t>
      </w:r>
      <w:r>
        <w:rPr/>
      </w:r>
      <m:oMath xmlns:m="http://schemas.openxmlformats.org/officeDocument/2006/math">
        <m:r>
          <w:rPr>
            <w:rFonts w:ascii="Cambria Math" w:hAnsi="Cambria Math"/>
          </w:rPr>
          <m:t xml:space="preserve">+</m:t>
        </m:r>
        <m:r>
          <w:rPr>
            <w:rFonts w:ascii="Cambria Math" w:hAnsi="Cambria Math"/>
          </w:rPr>
          <m:t xml:space="preserve">1</m:t>
        </m:r>
      </m:oMath>
      <w:r>
        <w:rPr/>
        <w:t xml:space="preserve"> and ensuring robust estimation across the eight architecture clusters.</w:t>
      </w:r>
    </w:p>
    <w:p>
      <w:pPr>
        <w:pStyle w:val="BodyText"/>
        <w:rPr/>
      </w:pPr>
      <w:r>
        <w:rPr/>
        <w:t>Posterior distributions were approximated using four independent Markov chains. Each chain was run for 4,000 iterations, with the first 1,000 iterations discarded as warmup, yielding 12,000 post-warmup draws. Posterior sampling utilized the No-U-Turn Sampler (NUTS) with the target average acceptance probability (</w:t>
      </w:r>
      <w:r>
        <w:rPr>
          <w:i/>
          <w:iCs/>
        </w:rPr>
        <w:t>adapt_delta</w:t>
      </w:r>
      <w:r>
        <w:rPr/>
        <w:t>) set to .995 and the maximum tree depth set to 12. Convergence was established by confirming that all potential scale reduction factors (</w:t>
      </w:r>
      <w:r>
        <w:rPr/>
      </w:r>
      <m:oMath xmlns:m="http://schemas.openxmlformats.org/officeDocument/2006/math">
        <m:acc>
          <m:accPr>
            <m:chr m:val="^"/>
          </m:accPr>
          <m:e>
            <m:r>
              <w:rPr>
                <w:rFonts w:ascii="Cambria Math" w:hAnsi="Cambria Math"/>
              </w:rPr>
              <m:t xml:space="preserve">R</m:t>
            </m:r>
          </m:e>
        </m:acc>
      </m:oMath>
      <w:r>
        <w:rPr/>
        <w:t>) were below 1.005, bulk effective sample sizes exceeded 2,500, and tail effective sample sizes exceeded 2,000 across all structural parameters. Zero divergent transitions were encountered in either study.</w:t>
      </w:r>
      <w:bookmarkEnd w:id="196"/>
    </w:p>
    <w:p>
      <w:pPr>
        <w:pStyle w:val="Heading2"/>
        <w:rPr/>
      </w:pPr>
      <w:bookmarkStart w:id="197" w:name="posterior-pathway-derivations"/>
      <w:r>
        <w:rPr/>
        <w:t>Posterior pathway derivations</w:t>
      </w:r>
    </w:p>
    <w:p>
      <w:pPr>
        <w:pStyle w:val="FirstParagraph"/>
        <w:rPr/>
      </w:pPr>
      <w:r>
        <w:rPr/>
        <w:t xml:space="preserve">For every post-warmup draw </w:t>
      </w:r>
      <w:r>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S</m:t>
        </m:r>
      </m:oMath>
      <w:r>
        <w:rPr/>
        <w:t xml:space="preserve"> (where </w:t>
      </w:r>
      <w:r>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12</m:t>
        </m:r>
        <m:r>
          <w:rPr>
            <w:rFonts w:ascii="Cambria Math" w:hAnsi="Cambria Math"/>
          </w:rPr>
          <m:t xml:space="preserve">,</m:t>
        </m:r>
        <m:r>
          <w:rPr>
            <w:rFonts w:ascii="Cambria Math" w:hAnsi="Cambria Math"/>
          </w:rPr>
          <m:t xml:space="preserve">000</m:t>
        </m:r>
      </m:oMath>
      <w:r>
        <w:rPr/>
        <w:t>), population-level structural pathways and architecture-specific quantities are derived through exact posterior arithmetic:</w:t>
      </w:r>
    </w:p>
    <w:p>
      <w:pPr>
        <w:pStyle w:val="BodyText"/>
        <w:jc w:val="center"/>
        <w:rPr/>
      </w:pPr>
      <w:r>
        <w:rPr/>
      </w:r>
      <m:oMathPara xmlns:m="http://schemas.openxmlformats.org/officeDocument/2006/math">
        <m:oMathParaPr>
          <m:jc m:val="center"/>
        </m:oMathParaPr>
        <m:oMath>
          <m:eqArr>
            <m:e>
              <m:r>
                <m:rPr>
                  <m:lit/>
                  <m:nor/>
                </m:rPr>
                <w:rPr>
                  <w:rFonts w:ascii="Cambria Math" w:hAnsi="Cambria Math"/>
                </w:rPr>
                <m:t xml:space="preserve">Simple cost slope under explicit goal (cells)</m:t>
              </m:r>
              <m:r>
                <w:rPr>
                  <w:rFonts w:ascii="Cambria Math" w:hAnsi="Cambria Math"/>
                </w:rPr>
                <m:t xml:space="preserve">:</m:t>
              </m:r>
              <m:r>
                <m:rPr>
                  <m:lit/>
                  <m:nor/>
                </m:rPr>
                <w:rPr>
                  <w:rFonts w:ascii="Cambria Math" w:hAnsi="Cambria Math"/>
                </w:rPr>
                <m:t xml:space="preserve">&amp;</m:t>
              </m:r>
              <m:sSubSup>
                <m:e>
                  <m:r>
                    <w:rPr>
                      <w:rFonts w:ascii="Cambria Math" w:hAnsi="Cambria Math"/>
                    </w:rPr>
                    <m:t xml:space="preserve">a</m:t>
                  </m:r>
                </m:e>
                <m:sub>
                  <m:r>
                    <m:rPr>
                      <m:lit/>
                      <m:nor/>
                    </m:rPr>
                    <w:rPr>
                      <w:rFonts w:ascii="Cambria Math" w:hAnsi="Cambria Math"/>
                    </w:rPr>
                    <m:t xml:space="preserve">ppw</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r>
                <w:rPr>
                  <w:rFonts w:ascii="Cambria Math" w:hAnsi="Cambria Math"/>
                </w:rPr>
                <m:t xml:space="preserve">=</m:t>
              </m:r>
              <m:sSubSup>
                <m:e>
                  <m:r>
                    <w:rPr>
                      <w:rFonts w:ascii="Cambria Math" w:hAnsi="Cambria Math"/>
                    </w:rPr>
                    <m:t xml:space="preserve">a</m:t>
                  </m:r>
                </m:e>
                <m:sub>
                  <m:r>
                    <w:rPr>
                      <w:rFonts w:ascii="Cambria Math" w:hAnsi="Cambria Math"/>
                    </w:rPr>
                    <m:t xml:space="preserve">1</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e>
            <m:e>
              <m:r>
                <m:rPr>
                  <m:lit/>
                  <m:nor/>
                </m:rPr>
                <w:rPr>
                  <w:rFonts w:ascii="Cambria Math" w:hAnsi="Cambria Math"/>
                </w:rPr>
                <m:t xml:space="preserve">Simple cost slope under ambiguous goal (cells)</m:t>
              </m:r>
              <m:r>
                <w:rPr>
                  <w:rFonts w:ascii="Cambria Math" w:hAnsi="Cambria Math"/>
                </w:rPr>
                <m:t xml:space="preserve">:</m:t>
              </m:r>
              <m:r>
                <m:rPr>
                  <m:lit/>
                  <m:nor/>
                </m:rPr>
                <w:rPr>
                  <w:rFonts w:ascii="Cambria Math" w:hAnsi="Cambria Math"/>
                </w:rPr>
                <m:t xml:space="preserve">&amp;</m:t>
              </m:r>
              <m:sSubSup>
                <m:e>
                  <m:r>
                    <w:rPr>
                      <w:rFonts w:ascii="Cambria Math" w:hAnsi="Cambria Math"/>
                    </w:rPr>
                    <m:t xml:space="preserve">a</m:t>
                  </m:r>
                </m:e>
                <m:sub>
                  <m:r>
                    <m:rPr>
                      <m:lit/>
                      <m:nor/>
                    </m:rPr>
                    <w:rPr>
                      <w:rFonts w:ascii="Cambria Math" w:hAnsi="Cambria Math"/>
                    </w:rPr>
                    <m:t xml:space="preserve">deal</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r>
                <w:rPr>
                  <w:rFonts w:ascii="Cambria Math" w:hAnsi="Cambria Math"/>
                </w:rPr>
                <m:t xml:space="preserve">=</m:t>
              </m:r>
              <m:sSubSup>
                <m:e>
                  <m:r>
                    <w:rPr>
                      <w:rFonts w:ascii="Cambria Math" w:hAnsi="Cambria Math"/>
                    </w:rPr>
                    <m:t xml:space="preserve">a</m:t>
                  </m:r>
                </m:e>
                <m:sub>
                  <m:r>
                    <w:rPr>
                      <w:rFonts w:ascii="Cambria Math" w:hAnsi="Cambria Math"/>
                    </w:rPr>
                    <m:t xml:space="preserve">1</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r>
                <w:rPr>
                  <w:rFonts w:ascii="Cambria Math" w:hAnsi="Cambria Math"/>
                </w:rPr>
                <m:t xml:space="preserve">+</m:t>
              </m:r>
              <m:sSubSup>
                <m:e>
                  <m:r>
                    <w:rPr>
                      <w:rFonts w:ascii="Cambria Math" w:hAnsi="Cambria Math"/>
                    </w:rPr>
                    <m:t xml:space="preserve">a</m:t>
                  </m:r>
                </m:e>
                <m:sub>
                  <m:r>
                    <w:rPr>
                      <w:rFonts w:ascii="Cambria Math" w:hAnsi="Cambria Math"/>
                    </w:rPr>
                    <m:t xml:space="preserve">3</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e>
            <m:e>
              <m:r>
                <m:rPr>
                  <m:lit/>
                  <m:nor/>
                </m:rPr>
                <w:rPr>
                  <w:rFonts w:ascii="Cambria Math" w:hAnsi="Cambria Math"/>
                </w:rPr>
                <m:t xml:space="preserve">Conditional indirect effect under explicit goal</m:t>
              </m:r>
              <m:r>
                <w:rPr>
                  <w:rFonts w:ascii="Cambria Math" w:hAnsi="Cambria Math"/>
                </w:rPr>
                <m:t xml:space="preserve">:</m:t>
              </m:r>
              <m:r>
                <m:rPr>
                  <m:lit/>
                  <m:nor/>
                </m:rPr>
                <w:rPr>
                  <w:rFonts w:ascii="Cambria Math" w:hAnsi="Cambria Math"/>
                </w:rPr>
                <m:t xml:space="preserve">&amp;</m:t>
              </m:r>
              <m:sSubSup>
                <m:e>
                  <m:r>
                    <m:rPr>
                      <m:lit/>
                      <m:nor/>
                    </m:rPr>
                    <w:rPr>
                      <w:rFonts w:ascii="Cambria Math" w:hAnsi="Cambria Math"/>
                    </w:rPr>
                    <m:t xml:space="preserve">Indirect</m:t>
                  </m:r>
                </m:e>
                <m:sub>
                  <m:r>
                    <m:rPr>
                      <m:lit/>
                      <m:nor/>
                    </m:rPr>
                    <w:rPr>
                      <w:rFonts w:ascii="Cambria Math" w:hAnsi="Cambria Math"/>
                    </w:rPr>
                    <m:t xml:space="preserve">ppw</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r>
                <w:rPr>
                  <w:rFonts w:ascii="Cambria Math" w:hAnsi="Cambria Math"/>
                </w:rPr>
                <m:t xml:space="preserve">=</m:t>
              </m:r>
              <m:sSubSup>
                <m:e>
                  <m:r>
                    <w:rPr>
                      <w:rFonts w:ascii="Cambria Math" w:hAnsi="Cambria Math"/>
                    </w:rPr>
                    <m:t xml:space="preserve">a</m:t>
                  </m:r>
                </m:e>
                <m:sub>
                  <m:r>
                    <w:rPr>
                      <w:rFonts w:ascii="Cambria Math" w:hAnsi="Cambria Math"/>
                    </w:rPr>
                    <m:t xml:space="preserve">1</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r>
                <w:rPr>
                  <w:rFonts w:ascii="Cambria Math" w:hAnsi="Cambria Math"/>
                </w:rPr>
                <m:t xml:space="preserve">×</m:t>
              </m:r>
              <m:sSubSup>
                <m:e>
                  <m:r>
                    <w:rPr>
                      <w:rFonts w:ascii="Cambria Math" w:hAnsi="Cambria Math"/>
                    </w:rPr>
                    <m:t xml:space="preserve">b</m:t>
                  </m:r>
                </m:e>
                <m:sub>
                  <m:r>
                    <w:rPr>
                      <w:rFonts w:ascii="Cambria Math" w:hAnsi="Cambria Math"/>
                    </w:rPr>
                    <m:t xml:space="preserve">1</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e>
            <m:e>
              <m:r>
                <m:rPr>
                  <m:lit/>
                  <m:nor/>
                </m:rPr>
                <w:rPr>
                  <w:rFonts w:ascii="Cambria Math" w:hAnsi="Cambria Math"/>
                </w:rPr>
                <m:t xml:space="preserve">Conditional indirect effect under ambiguous goal</m:t>
              </m:r>
              <m:r>
                <w:rPr>
                  <w:rFonts w:ascii="Cambria Math" w:hAnsi="Cambria Math"/>
                </w:rPr>
                <m:t xml:space="preserve">:</m:t>
              </m:r>
              <m:r>
                <m:rPr>
                  <m:lit/>
                  <m:nor/>
                </m:rPr>
                <w:rPr>
                  <w:rFonts w:ascii="Cambria Math" w:hAnsi="Cambria Math"/>
                </w:rPr>
                <m:t xml:space="preserve">&amp;</m:t>
              </m:r>
              <m:sSubSup>
                <m:e>
                  <m:r>
                    <m:rPr>
                      <m:lit/>
                      <m:nor/>
                    </m:rPr>
                    <w:rPr>
                      <w:rFonts w:ascii="Cambria Math" w:hAnsi="Cambria Math"/>
                    </w:rPr>
                    <m:t xml:space="preserve">Indirect</m:t>
                  </m:r>
                </m:e>
                <m:sub>
                  <m:r>
                    <m:rPr>
                      <m:lit/>
                      <m:nor/>
                    </m:rPr>
                    <w:rPr>
                      <w:rFonts w:ascii="Cambria Math" w:hAnsi="Cambria Math"/>
                    </w:rPr>
                    <m:t xml:space="preserve">deal</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r>
                <w:rPr>
                  <w:rFonts w:ascii="Cambria Math" w:hAnsi="Cambria Math"/>
                </w:rPr>
                <m:t xml:space="preserve">=</m:t>
              </m:r>
              <m:r>
                <w:rPr>
                  <w:rFonts w:ascii="Cambria Math" w:hAnsi="Cambria Math"/>
                </w:rPr>
                <m:t xml:space="preserve">(</m:t>
              </m:r>
              <m:sSubSup>
                <m:e>
                  <m:r>
                    <w:rPr>
                      <w:rFonts w:ascii="Cambria Math" w:hAnsi="Cambria Math"/>
                    </w:rPr>
                    <m:t xml:space="preserve">a</m:t>
                  </m:r>
                </m:e>
                <m:sub>
                  <m:r>
                    <w:rPr>
                      <w:rFonts w:ascii="Cambria Math" w:hAnsi="Cambria Math"/>
                    </w:rPr>
                    <m:t xml:space="preserve">1</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r>
                <w:rPr>
                  <w:rFonts w:ascii="Cambria Math" w:hAnsi="Cambria Math"/>
                </w:rPr>
                <m:t xml:space="preserve">+</m:t>
              </m:r>
              <m:sSubSup>
                <m:e>
                  <m:r>
                    <w:rPr>
                      <w:rFonts w:ascii="Cambria Math" w:hAnsi="Cambria Math"/>
                    </w:rPr>
                    <m:t xml:space="preserve">a</m:t>
                  </m:r>
                </m:e>
                <m:sub>
                  <m:r>
                    <w:rPr>
                      <w:rFonts w:ascii="Cambria Math" w:hAnsi="Cambria Math"/>
                    </w:rPr>
                    <m:t xml:space="preserve">3</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r>
                <w:rPr>
                  <w:rFonts w:ascii="Cambria Math" w:hAnsi="Cambria Math"/>
                </w:rPr>
                <m:t xml:space="preserve">)</m:t>
              </m:r>
              <m:r>
                <w:rPr>
                  <w:rFonts w:ascii="Cambria Math" w:hAnsi="Cambria Math"/>
                </w:rPr>
                <m:t xml:space="preserve">×</m:t>
              </m:r>
              <m:sSubSup>
                <m:e>
                  <m:r>
                    <w:rPr>
                      <w:rFonts w:ascii="Cambria Math" w:hAnsi="Cambria Math"/>
                    </w:rPr>
                    <m:t xml:space="preserve">b</m:t>
                  </m:r>
                </m:e>
                <m:sub>
                  <m:r>
                    <w:rPr>
                      <w:rFonts w:ascii="Cambria Math" w:hAnsi="Cambria Math"/>
                    </w:rPr>
                    <m:t xml:space="preserve">1</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e>
            <m:e>
              <m:r>
                <m:rPr>
                  <m:lit/>
                  <m:nor/>
                </m:rPr>
                <w:rPr>
                  <w:rFonts w:ascii="Cambria Math" w:hAnsi="Cambria Math"/>
                </w:rPr>
                <m:t xml:space="preserve">Index of Moderated Mediation (IMM)</m:t>
              </m:r>
              <m:r>
                <w:rPr>
                  <w:rFonts w:ascii="Cambria Math" w:hAnsi="Cambria Math"/>
                </w:rPr>
                <m:t xml:space="preserve">:</m:t>
              </m:r>
              <m:r>
                <m:rPr>
                  <m:lit/>
                  <m:nor/>
                </m:rPr>
                <w:rPr>
                  <w:rFonts w:ascii="Cambria Math" w:hAnsi="Cambria Math"/>
                </w:rPr>
                <m:t xml:space="preserve">&amp;</m:t>
              </m:r>
              <m:sSup>
                <m:e>
                  <m:r>
                    <m:rPr>
                      <m:lit/>
                      <m:nor/>
                    </m:rPr>
                    <w:rPr>
                      <w:rFonts w:ascii="Cambria Math" w:hAnsi="Cambria Math"/>
                    </w:rPr>
                    <m:t xml:space="preserve">IMM</m:t>
                  </m:r>
                </m:e>
                <m:sup>
                  <m:r>
                    <w:rPr>
                      <w:rFonts w:ascii="Cambria Math" w:hAnsi="Cambria Math"/>
                    </w:rPr>
                    <m:t xml:space="preserve">(</m:t>
                  </m:r>
                  <m:r>
                    <w:rPr>
                      <w:rFonts w:ascii="Cambria Math" w:hAnsi="Cambria Math"/>
                    </w:rPr>
                    <m:t xml:space="preserve">s</m:t>
                  </m:r>
                  <m:r>
                    <w:rPr>
                      <w:rFonts w:ascii="Cambria Math" w:hAnsi="Cambria Math"/>
                    </w:rPr>
                    <m:t xml:space="preserve">)</m:t>
                  </m:r>
                </m:sup>
              </m:sSup>
              <m:r>
                <w:rPr>
                  <w:rFonts w:ascii="Cambria Math" w:hAnsi="Cambria Math"/>
                </w:rPr>
                <m:t xml:space="preserve">=</m:t>
              </m:r>
              <m:sSubSup>
                <m:e>
                  <m:r>
                    <w:rPr>
                      <w:rFonts w:ascii="Cambria Math" w:hAnsi="Cambria Math"/>
                    </w:rPr>
                    <m:t xml:space="preserve">a</m:t>
                  </m:r>
                </m:e>
                <m:sub>
                  <m:r>
                    <w:rPr>
                      <w:rFonts w:ascii="Cambria Math" w:hAnsi="Cambria Math"/>
                    </w:rPr>
                    <m:t xml:space="preserve">3</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r>
                <w:rPr>
                  <w:rFonts w:ascii="Cambria Math" w:hAnsi="Cambria Math"/>
                </w:rPr>
                <m:t xml:space="preserve">×</m:t>
              </m:r>
              <m:sSubSup>
                <m:e>
                  <m:r>
                    <w:rPr>
                      <w:rFonts w:ascii="Cambria Math" w:hAnsi="Cambria Math"/>
                    </w:rPr>
                    <m:t xml:space="preserve">b</m:t>
                  </m:r>
                </m:e>
                <m:sub>
                  <m:r>
                    <w:rPr>
                      <w:rFonts w:ascii="Cambria Math" w:hAnsi="Cambria Math"/>
                    </w:rPr>
                    <m:t xml:space="preserve">1</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r>
                <w:rPr>
                  <w:rFonts w:ascii="Cambria Math" w:hAnsi="Cambria Math"/>
                </w:rPr>
                <m:t xml:space="preserve">=</m:t>
              </m:r>
              <m:sSubSup>
                <m:e>
                  <m:r>
                    <m:rPr>
                      <m:lit/>
                      <m:nor/>
                    </m:rPr>
                    <w:rPr>
                      <w:rFonts w:ascii="Cambria Math" w:hAnsi="Cambria Math"/>
                    </w:rPr>
                    <m:t xml:space="preserve">Indirect</m:t>
                  </m:r>
                </m:e>
                <m:sub>
                  <m:r>
                    <m:rPr>
                      <m:lit/>
                      <m:nor/>
                    </m:rPr>
                    <w:rPr>
                      <w:rFonts w:ascii="Cambria Math" w:hAnsi="Cambria Math"/>
                    </w:rPr>
                    <m:t xml:space="preserve">deal</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r>
                <w:rPr>
                  <w:rFonts w:ascii="Cambria Math" w:hAnsi="Cambria Math"/>
                </w:rPr>
                <m:t xml:space="preserve">−</m:t>
              </m:r>
              <m:sSubSup>
                <m:e>
                  <m:r>
                    <m:rPr>
                      <m:lit/>
                      <m:nor/>
                    </m:rPr>
                    <w:rPr>
                      <w:rFonts w:ascii="Cambria Math" w:hAnsi="Cambria Math"/>
                    </w:rPr>
                    <m:t xml:space="preserve">Indirect</m:t>
                  </m:r>
                </m:e>
                <m:sub>
                  <m:r>
                    <m:rPr>
                      <m:lit/>
                      <m:nor/>
                    </m:rPr>
                    <w:rPr>
                      <w:rFonts w:ascii="Cambria Math" w:hAnsi="Cambria Math"/>
                    </w:rPr>
                    <m:t xml:space="preserve">ppw</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e>
            <m:e>
              <m:r>
                <m:rPr>
                  <m:lit/>
                  <m:nor/>
                </m:rPr>
                <w:rPr>
                  <w:rFonts w:ascii="Cambria Math" w:hAnsi="Cambria Math"/>
                </w:rPr>
                <m:t xml:space="preserve">Total effect of cost under ambiguous goal</m:t>
              </m:r>
              <m:r>
                <w:rPr>
                  <w:rFonts w:ascii="Cambria Math" w:hAnsi="Cambria Math"/>
                </w:rPr>
                <m:t xml:space="preserve">:</m:t>
              </m:r>
              <m:r>
                <m:rPr>
                  <m:lit/>
                  <m:nor/>
                </m:rPr>
                <w:rPr>
                  <w:rFonts w:ascii="Cambria Math" w:hAnsi="Cambria Math"/>
                </w:rPr>
                <m:t xml:space="preserve">&amp;</m:t>
              </m:r>
              <m:sSubSup>
                <m:e>
                  <m:r>
                    <m:rPr>
                      <m:lit/>
                      <m:nor/>
                    </m:rPr>
                    <w:rPr>
                      <w:rFonts w:ascii="Cambria Math" w:hAnsi="Cambria Math"/>
                    </w:rPr>
                    <m:t xml:space="preserve">Total</m:t>
                  </m:r>
                </m:e>
                <m:sub>
                  <m:r>
                    <m:rPr>
                      <m:lit/>
                      <m:nor/>
                    </m:rPr>
                    <w:rPr>
                      <w:rFonts w:ascii="Cambria Math" w:hAnsi="Cambria Math"/>
                    </w:rPr>
                    <m:t xml:space="preserve">deal</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r>
                <w:rPr>
                  <w:rFonts w:ascii="Cambria Math" w:hAnsi="Cambria Math"/>
                </w:rPr>
                <m:t xml:space="preserve">=</m:t>
              </m:r>
              <m:sSup>
                <m:e>
                  <m:r>
                    <w:rPr>
                      <w:rFonts w:ascii="Cambria Math" w:hAnsi="Cambria Math"/>
                    </w:rPr>
                    <m:t xml:space="preserve">c</m:t>
                  </m:r>
                </m:e>
                <m:sup>
                  <m:r>
                    <w:rPr>
                      <w:rFonts w:ascii="Cambria Math" w:hAnsi="Cambria Math"/>
                    </w:rPr>
                    <m:t xml:space="preserve">′</m:t>
                  </m:r>
                </m:sup>
              </m:sSup>
              <m:sSup>
                <m:e/>
                <m:sup>
                  <m:r>
                    <w:rPr>
                      <w:rFonts w:ascii="Cambria Math" w:hAnsi="Cambria Math"/>
                    </w:rPr>
                    <m:t xml:space="preserve">(</m:t>
                  </m:r>
                  <m:r>
                    <w:rPr>
                      <w:rFonts w:ascii="Cambria Math" w:hAnsi="Cambria Math"/>
                    </w:rPr>
                    <m:t xml:space="preserve">s</m:t>
                  </m:r>
                  <m:r>
                    <w:rPr>
                      <w:rFonts w:ascii="Cambria Math" w:hAnsi="Cambria Math"/>
                    </w:rPr>
                    <m:t xml:space="preserve">)</m:t>
                  </m:r>
                </m:sup>
              </m:sSup>
              <m:r>
                <w:rPr>
                  <w:rFonts w:ascii="Cambria Math" w:hAnsi="Cambria Math"/>
                </w:rPr>
                <m:t xml:space="preserve">+</m:t>
              </m:r>
              <m:r>
                <w:rPr>
                  <w:rFonts w:ascii="Cambria Math" w:hAnsi="Cambria Math"/>
                </w:rPr>
                <m:t xml:space="preserve">(</m:t>
              </m:r>
              <m:sSubSup>
                <m:e>
                  <m:r>
                    <w:rPr>
                      <w:rFonts w:ascii="Cambria Math" w:hAnsi="Cambria Math"/>
                    </w:rPr>
                    <m:t xml:space="preserve">a</m:t>
                  </m:r>
                </m:e>
                <m:sub>
                  <m:r>
                    <w:rPr>
                      <w:rFonts w:ascii="Cambria Math" w:hAnsi="Cambria Math"/>
                    </w:rPr>
                    <m:t xml:space="preserve">1</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r>
                <w:rPr>
                  <w:rFonts w:ascii="Cambria Math" w:hAnsi="Cambria Math"/>
                </w:rPr>
                <m:t xml:space="preserve">+</m:t>
              </m:r>
              <m:sSubSup>
                <m:e>
                  <m:r>
                    <w:rPr>
                      <w:rFonts w:ascii="Cambria Math" w:hAnsi="Cambria Math"/>
                    </w:rPr>
                    <m:t xml:space="preserve">a</m:t>
                  </m:r>
                </m:e>
                <m:sub>
                  <m:r>
                    <w:rPr>
                      <w:rFonts w:ascii="Cambria Math" w:hAnsi="Cambria Math"/>
                    </w:rPr>
                    <m:t xml:space="preserve">3</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r>
                <w:rPr>
                  <w:rFonts w:ascii="Cambria Math" w:hAnsi="Cambria Math"/>
                </w:rPr>
                <m:t xml:space="preserve">)</m:t>
              </m:r>
              <m:r>
                <w:rPr>
                  <w:rFonts w:ascii="Cambria Math" w:hAnsi="Cambria Math"/>
                </w:rPr>
                <m:t xml:space="preserve">×</m:t>
              </m:r>
              <m:sSubSup>
                <m:e>
                  <m:r>
                    <w:rPr>
                      <w:rFonts w:ascii="Cambria Math" w:hAnsi="Cambria Math"/>
                    </w:rPr>
                    <m:t xml:space="preserve">b</m:t>
                  </m:r>
                </m:e>
                <m:sub>
                  <m:r>
                    <w:rPr>
                      <w:rFonts w:ascii="Cambria Math" w:hAnsi="Cambria Math"/>
                    </w:rPr>
                    <m:t xml:space="preserve">1</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e>
          </m:eqArr>
        </m:oMath>
      </m:oMathPara>
    </w:p>
    <w:p>
      <w:pPr>
        <w:pStyle w:val="FirstParagraph"/>
        <w:rPr/>
      </w:pPr>
      <w:r>
        <w:rPr/>
        <w:t>Point estimates are reported as the mean of the posterior draws, along with posterior standard deviations and 95% equal-tailed credible intervals bounded by the 2.5th and 97.5th percentiles. We also report the directional posterior probability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dir</m:t>
            </m:r>
          </m:sub>
        </m:sSub>
        <m:r>
          <w:rPr>
            <w:rFonts w:ascii="Cambria Math" w:hAnsi="Cambria Math"/>
          </w:rPr>
          <m:t xml:space="preserve">=</m:t>
        </m:r>
        <m:r>
          <w:rPr>
            <w:rFonts w:ascii="Cambria Math" w:hAnsi="Cambria Math"/>
          </w:rPr>
          <m:t xml:space="preserve">max</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θ</m:t>
        </m:r>
        <m:r>
          <w:rPr>
            <w:rFonts w:ascii="Cambria Math" w:hAnsi="Cambria Math"/>
          </w:rPr>
          <m:t xml:space="preserve">&lt;</m:t>
        </m:r>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θ</m:t>
        </m:r>
        <m:r>
          <w:rPr>
            <w:rFonts w:ascii="Cambria Math" w:hAnsi="Cambria Math"/>
          </w:rPr>
          <m:t xml:space="preserve">&gt;</m:t>
        </m:r>
        <m:r>
          <w:rPr>
            <w:rFonts w:ascii="Cambria Math" w:hAnsi="Cambria Math"/>
          </w:rPr>
          <m:t xml:space="preserve">0</m:t>
        </m:r>
        <m:r>
          <w:rPr>
            <w:rFonts w:ascii="Cambria Math" w:hAnsi="Cambria Math"/>
          </w:rPr>
          <m:t xml:space="preserve">)</m:t>
        </m:r>
        <m:r>
          <w:rPr>
            <w:rFonts w:ascii="Cambria Math" w:hAnsi="Cambria Math"/>
          </w:rPr>
          <m:t xml:space="preserve">)</m:t>
        </m:r>
      </m:oMath>
      <w:r>
        <w:rPr/>
        <w:t>), which quantifies the probability that the estimated parameter is strictly negative or strictly positive.</w:t>
      </w:r>
      <w:bookmarkEnd w:id="197"/>
    </w:p>
    <w:p>
      <w:pPr>
        <w:pStyle w:val="Heading2"/>
        <w:rPr/>
      </w:pPr>
      <w:bookmarkStart w:id="198" w:name="X87c48ef8fe7819c740e836727025faf269f0b96"/>
      <w:r>
        <w:rPr/>
        <w:t>Complete structural decomposition results</w:t>
      </w:r>
    </w:p>
    <w:p>
      <w:pPr>
        <w:pStyle w:val="Heading3"/>
        <w:rPr/>
      </w:pPr>
      <w:bookmarkStart w:id="199" w:name="study-1-structural-estimates"/>
      <w:r>
        <w:rPr/>
        <w:t>Study 1 structural estimates</w:t>
      </w:r>
    </w:p>
    <w:p>
      <w:pPr>
        <w:pStyle w:val="FirstParagraph"/>
        <w:rPr/>
      </w:pPr>
      <w:r>
        <w:rPr/>
        <w:t xml:space="preserve">Table </w:t>
      </w:r>
      <w:hyperlink w:anchor="apptbl-s1b-permodel-paths">
        <w:r>
          <w:rPr>
            <w:rStyle w:val="Hyperlink"/>
          </w:rPr>
          <w:t>Table W11</w:t>
        </w:r>
      </w:hyperlink>
      <w:r>
        <w:rPr/>
        <w:t xml:space="preserve"> and Table </w:t>
      </w:r>
      <w:hyperlink w:anchor="apptbl-s1b-permodel-indirect">
        <w:r>
          <w:rPr>
            <w:rStyle w:val="Hyperlink"/>
          </w:rPr>
          <w:t>Table W12</w:t>
        </w:r>
      </w:hyperlink>
      <w:r>
        <w:rPr/>
        <w:t xml:space="preserve"> in Web Appendix E present the architecture-specific parameter estimates and conditional indirect effects across all eight evaluated language models. In Study 1, the population-level index of moderated mediation is strongly negative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0.451</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0.128</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0.704</m:t>
        </m:r>
        <m:r>
          <w:rPr>
            <w:rFonts w:ascii="Cambria Math" w:hAnsi="Cambria Math"/>
          </w:rPr>
          <m:t xml:space="preserve">,</m:t>
        </m:r>
        <m:r>
          <w:rPr>
            <w:rFonts w:ascii="Cambria Math" w:hAnsi="Cambria Math"/>
          </w:rPr>
          <m:t xml:space="preserve">−</m:t>
        </m:r>
        <m:r>
          <w:rPr>
            <w:rFonts w:ascii="Cambria Math" w:hAnsi="Cambria Math"/>
          </w:rPr>
          <m:t xml:space="preserve">0.194</m:t>
        </m:r>
        <m:r>
          <w:rPr>
            <w:rFonts w:ascii="Cambria Math" w:hAnsi="Cambria Math"/>
          </w:rPr>
          <m:t xml:space="preserve">]</m:t>
        </m:r>
      </m:oMath>
      <w:r>
        <w:rPr/>
        <w:t xml:space="preserve">,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dir</m:t>
            </m:r>
          </m:sub>
        </m:sSub>
        <m:r>
          <w:rPr>
            <w:rFonts w:ascii="Cambria Math" w:hAnsi="Cambria Math"/>
          </w:rPr>
          <m:t xml:space="preserve">=</m:t>
        </m:r>
        <m:r>
          <w:rPr>
            <w:rFonts w:ascii="Cambria Math" w:hAnsi="Cambria Math"/>
          </w:rPr>
          <m:t xml:space="preserve">0.999</m:t>
        </m:r>
      </m:oMath>
      <w:r>
        <w:rPr/>
        <w:t>), indicating that prompt ambiguity amplifies the search-mediated performance penalty by 45.1 percentage points.</w:t>
      </w:r>
    </w:p>
    <w:p>
      <w:pPr>
        <w:pStyle w:val="BodyText"/>
        <w:rPr/>
      </w:pPr>
      <w:r>
        <w:rPr/>
        <w:t>Examining individual model architectures demonstrates remarkable consistency across diverse foundation models. Gemini 3.1 Pro exhibits the largest first-stage moderation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3.233</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3.482</m:t>
        </m:r>
        <m:r>
          <w:rPr>
            <w:rFonts w:ascii="Cambria Math" w:hAnsi="Cambria Math"/>
          </w:rPr>
          <m:t xml:space="preserve">,</m:t>
        </m:r>
        <m:r>
          <w:rPr>
            <w:rFonts w:ascii="Cambria Math" w:hAnsi="Cambria Math"/>
          </w:rPr>
          <m:t xml:space="preserve">−</m:t>
        </m:r>
        <m:r>
          <w:rPr>
            <w:rFonts w:ascii="Cambria Math" w:hAnsi="Cambria Math"/>
          </w:rPr>
          <m:t xml:space="preserve">2.983</m:t>
        </m:r>
        <m:r>
          <w:rPr>
            <w:rFonts w:ascii="Cambria Math" w:hAnsi="Cambria Math"/>
          </w:rPr>
          <m:t xml:space="preserve">]</m:t>
        </m:r>
      </m:oMath>
      <w:r>
        <w:rPr/>
        <w:t xml:space="preserve">), resulting in an Index of Moderated Mediation of </w:t>
      </w:r>
      <w:r>
        <w:rPr/>
      </w:r>
      <m:oMath xmlns:m="http://schemas.openxmlformats.org/officeDocument/2006/math">
        <m:r>
          <w:rPr>
            <w:rFonts w:ascii="Cambria Math" w:hAnsi="Cambria Math"/>
          </w:rPr>
          <m:t xml:space="preserve">−</m:t>
        </m:r>
        <m:r>
          <w:rPr>
            <w:rFonts w:ascii="Cambria Math" w:hAnsi="Cambria Math"/>
          </w:rPr>
          <m:t xml:space="preserve">0.725</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0.805</m:t>
        </m:r>
        <m:r>
          <w:rPr>
            <w:rFonts w:ascii="Cambria Math" w:hAnsi="Cambria Math"/>
          </w:rPr>
          <m:t xml:space="preserve">,</m:t>
        </m:r>
        <m:r>
          <w:rPr>
            <w:rFonts w:ascii="Cambria Math" w:hAnsi="Cambria Math"/>
          </w:rPr>
          <m:t xml:space="preserve">−</m:t>
        </m:r>
        <m:r>
          <w:rPr>
            <w:rFonts w:ascii="Cambria Math" w:hAnsi="Cambria Math"/>
          </w:rPr>
          <m:t xml:space="preserve">0.646</m:t>
        </m:r>
        <m:r>
          <w:rPr>
            <w:rFonts w:ascii="Cambria Math" w:hAnsi="Cambria Math"/>
          </w:rPr>
          <m:t xml:space="preserve">]</m:t>
        </m:r>
      </m:oMath>
      <w:r>
        <w:rPr/>
        <w:t xml:space="preserve">). GPT-5.6 Sol and GPT-5.6 Terra exhibit comparable vulnerabilities, with moderated mediation indices of </w:t>
      </w:r>
      <w:r>
        <w:rPr/>
      </w:r>
      <m:oMath xmlns:m="http://schemas.openxmlformats.org/officeDocument/2006/math">
        <m:r>
          <w:rPr>
            <w:rFonts w:ascii="Cambria Math" w:hAnsi="Cambria Math"/>
          </w:rPr>
          <m:t xml:space="preserve">−</m:t>
        </m:r>
        <m:r>
          <w:rPr>
            <w:rFonts w:ascii="Cambria Math" w:hAnsi="Cambria Math"/>
          </w:rPr>
          <m:t xml:space="preserve">0.668</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0.750</m:t>
        </m:r>
        <m:r>
          <w:rPr>
            <w:rFonts w:ascii="Cambria Math" w:hAnsi="Cambria Math"/>
          </w:rPr>
          <m:t xml:space="preserve">,</m:t>
        </m:r>
        <m:r>
          <w:rPr>
            <w:rFonts w:ascii="Cambria Math" w:hAnsi="Cambria Math"/>
          </w:rPr>
          <m:t xml:space="preserve">−</m:t>
        </m:r>
        <m:r>
          <w:rPr>
            <w:rFonts w:ascii="Cambria Math" w:hAnsi="Cambria Math"/>
          </w:rPr>
          <m:t xml:space="preserve">0.590</m:t>
        </m:r>
        <m:r>
          <w:rPr>
            <w:rFonts w:ascii="Cambria Math" w:hAnsi="Cambria Math"/>
          </w:rPr>
          <m:t xml:space="preserve">]</m:t>
        </m:r>
      </m:oMath>
      <w:r>
        <w:rPr/>
        <w:t xml:space="preserve">) and </w:t>
      </w:r>
      <w:r>
        <w:rPr/>
      </w:r>
      <m:oMath xmlns:m="http://schemas.openxmlformats.org/officeDocument/2006/math">
        <m:r>
          <w:rPr>
            <w:rFonts w:ascii="Cambria Math" w:hAnsi="Cambria Math"/>
          </w:rPr>
          <m:t xml:space="preserve">−</m:t>
        </m:r>
        <m:r>
          <w:rPr>
            <w:rFonts w:ascii="Cambria Math" w:hAnsi="Cambria Math"/>
          </w:rPr>
          <m:t xml:space="preserve">0.550</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0.622</m:t>
        </m:r>
        <m:r>
          <w:rPr>
            <w:rFonts w:ascii="Cambria Math" w:hAnsi="Cambria Math"/>
          </w:rPr>
          <m:t xml:space="preserve">,</m:t>
        </m:r>
        <m:r>
          <w:rPr>
            <w:rFonts w:ascii="Cambria Math" w:hAnsi="Cambria Math"/>
          </w:rPr>
          <m:t xml:space="preserve">−</m:t>
        </m:r>
        <m:r>
          <w:rPr>
            <w:rFonts w:ascii="Cambria Math" w:hAnsi="Cambria Math"/>
          </w:rPr>
          <m:t xml:space="preserve">0.481</m:t>
        </m:r>
        <m:r>
          <w:rPr>
            <w:rFonts w:ascii="Cambria Math" w:hAnsi="Cambria Math"/>
          </w:rPr>
          <m:t xml:space="preserve">]</m:t>
        </m:r>
      </m:oMath>
      <w:r>
        <w:rPr/>
        <w:t xml:space="preserve">), respectively. Claude 3.7 Sonnet similarly shows an index of </w:t>
      </w:r>
      <w:r>
        <w:rPr/>
      </w:r>
      <m:oMath xmlns:m="http://schemas.openxmlformats.org/officeDocument/2006/math">
        <m:r>
          <w:rPr>
            <w:rFonts w:ascii="Cambria Math" w:hAnsi="Cambria Math"/>
          </w:rPr>
          <m:t xml:space="preserve">−</m:t>
        </m:r>
        <m:r>
          <w:rPr>
            <w:rFonts w:ascii="Cambria Math" w:hAnsi="Cambria Math"/>
          </w:rPr>
          <m:t xml:space="preserve">0.395</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0.496</m:t>
        </m:r>
        <m:r>
          <w:rPr>
            <w:rFonts w:ascii="Cambria Math" w:hAnsi="Cambria Math"/>
          </w:rPr>
          <m:t xml:space="preserve">,</m:t>
        </m:r>
        <m:r>
          <w:rPr>
            <w:rFonts w:ascii="Cambria Math" w:hAnsi="Cambria Math"/>
          </w:rPr>
          <m:t xml:space="preserve">−</m:t>
        </m:r>
        <m:r>
          <w:rPr>
            <w:rFonts w:ascii="Cambria Math" w:hAnsi="Cambria Math"/>
          </w:rPr>
          <m:t xml:space="preserve">0.300</m:t>
        </m:r>
        <m:r>
          <w:rPr>
            <w:rFonts w:ascii="Cambria Math" w:hAnsi="Cambria Math"/>
          </w:rPr>
          <m:t xml:space="preserve">]</m:t>
        </m:r>
      </m:oMath>
      <w:r>
        <w:rPr/>
        <w:t>). In contrast, GPT-5.6 Luna exhibits minimal search truncation under positive costs, yielding a non-credible index of moderated mediation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0.063</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0.158</m:t>
        </m:r>
        <m:r>
          <w:rPr>
            <w:rFonts w:ascii="Cambria Math" w:hAnsi="Cambria Math"/>
          </w:rPr>
          <m:t xml:space="preserve">,</m:t>
        </m:r>
        <m:r>
          <w:rPr>
            <w:rFonts w:ascii="Cambria Math" w:hAnsi="Cambria Math"/>
          </w:rPr>
          <m:t xml:space="preserve">0.033</m:t>
        </m:r>
        <m:r>
          <w:rPr>
            <w:rFonts w:ascii="Cambria Math" w:hAnsi="Cambria Math"/>
          </w:rPr>
          <m:t xml:space="preserve">]</m:t>
        </m:r>
      </m:oMath>
      <w:r>
        <w:rPr/>
        <w:t>), demonstrating that superior goal maintenance can insulate agents from cost-induced truncation.</w:t>
      </w:r>
      <w:bookmarkEnd w:id="199"/>
    </w:p>
    <w:p>
      <w:pPr>
        <w:pStyle w:val="Heading3"/>
        <w:rPr/>
      </w:pPr>
      <w:bookmarkStart w:id="200" w:name="study-2-structural-estimates"/>
      <w:r>
        <w:rPr/>
        <w:t>Study 2 structural estimates</w:t>
      </w:r>
    </w:p>
    <w:p>
      <w:pPr>
        <w:pStyle w:val="FirstParagraph"/>
        <w:rPr/>
      </w:pPr>
      <w:r>
        <w:rPr/>
        <w:t xml:space="preserve">Table </w:t>
      </w:r>
      <w:hyperlink w:anchor="apptbl-s2b-permodel-paths">
        <w:r>
          <w:rPr>
            <w:rStyle w:val="Hyperlink"/>
          </w:rPr>
          <w:t>Table W22</w:t>
        </w:r>
      </w:hyperlink>
      <w:r>
        <w:rPr/>
        <w:t xml:space="preserve"> and Table </w:t>
      </w:r>
      <w:hyperlink w:anchor="apptbl-s2b-permodel-indirect">
        <w:r>
          <w:rPr>
            <w:rStyle w:val="Hyperlink"/>
          </w:rPr>
          <w:t>Table W23</w:t>
        </w:r>
      </w:hyperlink>
      <w:r>
        <w:rPr/>
        <w:t xml:space="preserve"> report the structural decomposition for Study 2. In this more complex choice setting involving nine diagnostic attributes across three alternatives, the population-level index of moderated mediation remains substantial and credible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0.228</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0.132</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0.521</m:t>
        </m:r>
        <m:r>
          <w:rPr>
            <w:rFonts w:ascii="Cambria Math" w:hAnsi="Cambria Math"/>
          </w:rPr>
          <m:t xml:space="preserve">,</m:t>
        </m:r>
        <m:r>
          <w:rPr>
            <w:rFonts w:ascii="Cambria Math" w:hAnsi="Cambria Math"/>
          </w:rPr>
          <m:t xml:space="preserve">−</m:t>
        </m:r>
        <m:r>
          <w:rPr>
            <w:rFonts w:ascii="Cambria Math" w:hAnsi="Cambria Math"/>
          </w:rPr>
          <m:t xml:space="preserve">0.009</m:t>
        </m:r>
        <m:r>
          <w:rPr>
            <w:rFonts w:ascii="Cambria Math" w:hAnsi="Cambria Math"/>
          </w:rPr>
          <m:t xml:space="preserve">]</m:t>
        </m:r>
      </m:oMath>
      <w:r>
        <w:rPr/>
        <w:t xml:space="preserve">,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dir</m:t>
            </m:r>
          </m:sub>
        </m:sSub>
        <m:r>
          <w:rPr>
            <w:rFonts w:ascii="Cambria Math" w:hAnsi="Cambria Math"/>
          </w:rPr>
          <m:t xml:space="preserve">=</m:t>
        </m:r>
        <m:r>
          <w:rPr>
            <w:rFonts w:ascii="Cambria Math" w:hAnsi="Cambria Math"/>
          </w:rPr>
          <m:t xml:space="preserve">0.980</m:t>
        </m:r>
      </m:oMath>
      <w:r>
        <w:rPr/>
        <w:t>).</w:t>
      </w:r>
    </w:p>
    <w:p>
      <w:pPr>
        <w:pStyle w:val="BodyText"/>
        <w:rPr/>
      </w:pPr>
      <w:r>
        <w:rPr/>
        <w:t>Architecture-level estimates reveal that search truncation under ambiguous prompt framing is even more pronounced in the expanded decision environment. In the first stage, GPT-5.6 Sol truncates search by an extraordinary 8.28 diagnostic cells when costs are positive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8.279</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8.682</m:t>
        </m:r>
        <m:r>
          <w:rPr>
            <w:rFonts w:ascii="Cambria Math" w:hAnsi="Cambria Math"/>
          </w:rPr>
          <m:t xml:space="preserve">,</m:t>
        </m:r>
        <m:r>
          <w:rPr>
            <w:rFonts w:ascii="Cambria Math" w:hAnsi="Cambria Math"/>
          </w:rPr>
          <m:t xml:space="preserve">−</m:t>
        </m:r>
        <m:r>
          <w:rPr>
            <w:rFonts w:ascii="Cambria Math" w:hAnsi="Cambria Math"/>
          </w:rPr>
          <m:t xml:space="preserve">7.864</m:t>
        </m:r>
        <m:r>
          <w:rPr>
            <w:rFonts w:ascii="Cambria Math" w:hAnsi="Cambria Math"/>
          </w:rPr>
          <m:t xml:space="preserve">]</m:t>
        </m:r>
      </m:oMath>
      <w:r>
        <w:rPr/>
        <w:t xml:space="preserve">), yielding an index of moderated mediation of </w:t>
      </w:r>
      <w:r>
        <w:rPr/>
      </w:r>
      <m:oMath xmlns:m="http://schemas.openxmlformats.org/officeDocument/2006/math">
        <m:r>
          <w:rPr>
            <w:rFonts w:ascii="Cambria Math" w:hAnsi="Cambria Math"/>
          </w:rPr>
          <m:t xml:space="preserve">−</m:t>
        </m:r>
        <m:r>
          <w:rPr>
            <w:rFonts w:ascii="Cambria Math" w:hAnsi="Cambria Math"/>
          </w:rPr>
          <m:t xml:space="preserve">0.626</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0.715</m:t>
        </m:r>
        <m:r>
          <w:rPr>
            <w:rFonts w:ascii="Cambria Math" w:hAnsi="Cambria Math"/>
          </w:rPr>
          <m:t xml:space="preserve">,</m:t>
        </m:r>
        <m:r>
          <w:rPr>
            <w:rFonts w:ascii="Cambria Math" w:hAnsi="Cambria Math"/>
          </w:rPr>
          <m:t xml:space="preserve">−</m:t>
        </m:r>
        <m:r>
          <w:rPr>
            <w:rFonts w:ascii="Cambria Math" w:hAnsi="Cambria Math"/>
          </w:rPr>
          <m:t xml:space="preserve">0.538</m:t>
        </m:r>
        <m:r>
          <w:rPr>
            <w:rFonts w:ascii="Cambria Math" w:hAnsi="Cambria Math"/>
          </w:rPr>
          <m:t xml:space="preserve">]</m:t>
        </m:r>
      </m:oMath>
      <w:r>
        <w:rPr/>
        <w:t>). GPT-5.6 Terra truncates search by 7.62 cells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7.624</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8.026</m:t>
        </m:r>
        <m:r>
          <w:rPr>
            <w:rFonts w:ascii="Cambria Math" w:hAnsi="Cambria Math"/>
          </w:rPr>
          <m:t xml:space="preserve">,</m:t>
        </m:r>
        <m:r>
          <w:rPr>
            <w:rFonts w:ascii="Cambria Math" w:hAnsi="Cambria Math"/>
          </w:rPr>
          <m:t xml:space="preserve">−</m:t>
        </m:r>
        <m:r>
          <w:rPr>
            <w:rFonts w:ascii="Cambria Math" w:hAnsi="Cambria Math"/>
          </w:rPr>
          <m:t xml:space="preserve">7.222</m:t>
        </m:r>
        <m:r>
          <w:rPr>
            <w:rFonts w:ascii="Cambria Math" w:hAnsi="Cambria Math"/>
          </w:rPr>
          <m:t xml:space="preserve">]</m:t>
        </m:r>
      </m:oMath>
      <w:r>
        <w:rPr/>
        <w:t xml:space="preserve">,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0.508</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0.588</m:t>
        </m:r>
        <m:r>
          <w:rPr>
            <w:rFonts w:ascii="Cambria Math" w:hAnsi="Cambria Math"/>
          </w:rPr>
          <m:t xml:space="preserve">,</m:t>
        </m:r>
        <m:r>
          <w:rPr>
            <w:rFonts w:ascii="Cambria Math" w:hAnsi="Cambria Math"/>
          </w:rPr>
          <m:t xml:space="preserve">−</m:t>
        </m:r>
        <m:r>
          <w:rPr>
            <w:rFonts w:ascii="Cambria Math" w:hAnsi="Cambria Math"/>
          </w:rPr>
          <m:t xml:space="preserve">0.425</m:t>
        </m:r>
        <m:r>
          <w:rPr>
            <w:rFonts w:ascii="Cambria Math" w:hAnsi="Cambria Math"/>
          </w:rPr>
          <m:t xml:space="preserve">]</m:t>
        </m:r>
      </m:oMath>
      <w:r>
        <w:rPr/>
        <w:t>). Gemini 3.1 Flash truncates search by 4.96 cells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4.962</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5.370</m:t>
        </m:r>
        <m:r>
          <w:rPr>
            <w:rFonts w:ascii="Cambria Math" w:hAnsi="Cambria Math"/>
          </w:rPr>
          <m:t xml:space="preserve">,</m:t>
        </m:r>
        <m:r>
          <w:rPr>
            <w:rFonts w:ascii="Cambria Math" w:hAnsi="Cambria Math"/>
          </w:rPr>
          <m:t xml:space="preserve">−</m:t>
        </m:r>
        <m:r>
          <w:rPr>
            <w:rFonts w:ascii="Cambria Math" w:hAnsi="Cambria Math"/>
          </w:rPr>
          <m:t xml:space="preserve">4.554</m:t>
        </m:r>
        <m:r>
          <w:rPr>
            <w:rFonts w:ascii="Cambria Math" w:hAnsi="Cambria Math"/>
          </w:rPr>
          <m:t xml:space="preserve">]</m:t>
        </m:r>
      </m:oMath>
      <w:r>
        <w:rPr/>
        <w:t xml:space="preserve">,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0.400</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0.456</m:t>
        </m:r>
        <m:r>
          <w:rPr>
            <w:rFonts w:ascii="Cambria Math" w:hAnsi="Cambria Math"/>
          </w:rPr>
          <m:t xml:space="preserve">,</m:t>
        </m:r>
        <m:r>
          <w:rPr>
            <w:rFonts w:ascii="Cambria Math" w:hAnsi="Cambria Math"/>
          </w:rPr>
          <m:t xml:space="preserve">−</m:t>
        </m:r>
        <m:r>
          <w:rPr>
            <w:rFonts w:ascii="Cambria Math" w:hAnsi="Cambria Math"/>
          </w:rPr>
          <m:t xml:space="preserve">0.345</m:t>
        </m:r>
        <m:r>
          <w:rPr>
            <w:rFonts w:ascii="Cambria Math" w:hAnsi="Cambria Math"/>
          </w:rPr>
          <m:t xml:space="preserve">]</m:t>
        </m:r>
      </m:oMath>
      <w:r>
        <w:rPr/>
        <w:t>).</w:t>
      </w:r>
    </w:p>
    <w:p>
      <w:pPr>
        <w:pStyle w:val="BodyText"/>
        <w:rPr/>
      </w:pPr>
      <w:r>
        <w:rPr/>
        <w:t>Gemini 3.1 Flash Lite represents an informative boundary case. Its second-stage slope is slightly negative (</w:t>
      </w:r>
      <w:r>
        <w:rPr/>
      </w:r>
      <m:oMath xmlns:m="http://schemas.openxmlformats.org/officeDocument/2006/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0.051</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0.074</m:t>
        </m:r>
        <m:r>
          <w:rPr>
            <w:rFonts w:ascii="Cambria Math" w:hAnsi="Cambria Math"/>
          </w:rPr>
          <m:t xml:space="preserve">,</m:t>
        </m:r>
        <m:r>
          <w:rPr>
            <w:rFonts w:ascii="Cambria Math" w:hAnsi="Cambria Math"/>
          </w:rPr>
          <m:t xml:space="preserve">−</m:t>
        </m:r>
        <m:r>
          <w:rPr>
            <w:rFonts w:ascii="Cambria Math" w:hAnsi="Cambria Math"/>
          </w:rPr>
          <m:t xml:space="preserve">0.028</m:t>
        </m:r>
        <m:r>
          <w:rPr>
            <w:rFonts w:ascii="Cambria Math" w:hAnsi="Cambria Math"/>
          </w:rPr>
          <m:t xml:space="preserve">]</m:t>
        </m:r>
      </m:oMath>
      <w:r>
        <w:rPr/>
        <w:t>), reflecting its documented tendency toward calculation failure even when relevant cells are acquired, which yields a non-credible index of moderated mediation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0.016</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0.004</m:t>
        </m:r>
        <m:r>
          <w:rPr>
            <w:rFonts w:ascii="Cambria Math" w:hAnsi="Cambria Math"/>
          </w:rPr>
          <m:t xml:space="preserve">,</m:t>
        </m:r>
        <m:r>
          <w:rPr>
            <w:rFonts w:ascii="Cambria Math" w:hAnsi="Cambria Math"/>
          </w:rPr>
          <m:t xml:space="preserve">0.041</m:t>
        </m:r>
        <m:r>
          <w:rPr>
            <w:rFonts w:ascii="Cambria Math" w:hAnsi="Cambria Math"/>
          </w:rPr>
          <m:t xml:space="preserve">]</m:t>
        </m:r>
      </m:oMath>
      <w:r>
        <w:rPr/>
        <w:t>). Across the remaining architectures, however, the indirect pathway operating through search truncation accounts for virtually all observed performance degradation, while the direct effect of acquisition cost remains centered near zero (</w:t>
      </w:r>
      <w:r>
        <w:rPr/>
      </w:r>
      <m:oMath xmlns:m="http://schemas.openxmlformats.org/officeDocument/2006/math">
        <m:sSup>
          <m:e>
            <m:r>
              <w:rPr>
                <w:rFonts w:ascii="Cambria Math" w:hAnsi="Cambria Math"/>
              </w:rPr>
              <m:t xml:space="preserve">c</m:t>
            </m:r>
          </m:e>
          <m:sup>
            <m:r>
              <w:rPr>
                <w:rFonts w:ascii="Cambria Math" w:hAnsi="Cambria Math"/>
              </w:rPr>
              <m:t xml:space="preserve">′</m:t>
            </m:r>
          </m:sup>
        </m:sSup>
        <m:r>
          <w:rPr>
            <w:rFonts w:ascii="Cambria Math" w:hAnsi="Cambria Math"/>
          </w:rPr>
          <m:t xml:space="preserve">=</m:t>
        </m:r>
        <m:r>
          <w:rPr>
            <w:rFonts w:ascii="Cambria Math" w:hAnsi="Cambria Math"/>
          </w:rPr>
          <m:t xml:space="preserve">−</m:t>
        </m:r>
        <m:r>
          <w:rPr>
            <w:rFonts w:ascii="Cambria Math" w:hAnsi="Cambria Math"/>
          </w:rPr>
          <m:t xml:space="preserve">0.006</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0.045</m:t>
        </m:r>
        <m:r>
          <w:rPr>
            <w:rFonts w:ascii="Cambria Math" w:hAnsi="Cambria Math"/>
          </w:rPr>
          <m:t xml:space="preserve">,</m:t>
        </m:r>
        <m:r>
          <w:rPr>
            <w:rFonts w:ascii="Cambria Math" w:hAnsi="Cambria Math"/>
          </w:rPr>
          <m:t xml:space="preserve">0.035</m:t>
        </m:r>
        <m:r>
          <w:rPr>
            <w:rFonts w:ascii="Cambria Math" w:hAnsi="Cambria Math"/>
          </w:rPr>
          <m:t xml:space="preserve">]</m:t>
        </m:r>
      </m:oMath>
      <w:r>
        <w:rPr/>
        <w:t>).</w:t>
      </w:r>
      <w:bookmarkEnd w:id="198"/>
      <w:bookmarkEnd w:id="200"/>
    </w:p>
    <w:p>
      <w:pPr>
        <w:pStyle w:val="Heading2"/>
        <w:rPr/>
      </w:pPr>
      <w:bookmarkStart w:id="201" w:name="X9a75144b60f84a4be2ffde07efe11ee0a3f3f86"/>
      <w:r>
        <w:rPr/>
        <w:t>Robustness to alternative link functions (Bernoulli logit specification)</w:t>
      </w:r>
    </w:p>
    <w:p>
      <w:pPr>
        <w:pStyle w:val="FirstParagraph"/>
        <w:rPr/>
      </w:pPr>
      <w:r>
        <w:rPr/>
        <w:t>To ensure that our structural conclusions are not artifacts of the Linear Probability Model specification, we re-estimate the complete two-stage moderated mediation system specifying a Gaussian distribution for the intermediate search count and a Bernoulli distribution with a logit link function for choice optimality:</w:t>
      </w:r>
    </w:p>
    <w:p>
      <w:pPr>
        <w:pStyle w:val="BodyText"/>
        <w:jc w:val="center"/>
        <w:rPr/>
      </w:pPr>
      <w:r>
        <w:rPr/>
      </w:r>
      <m:oMathPara xmlns:m="http://schemas.openxmlformats.org/officeDocument/2006/math">
        <m:oMathParaPr>
          <m:jc m:val="center"/>
        </m:oMathParaPr>
        <m:oMath>
          <m:eqArr>
            <m:e>
              <m:sSub>
                <m:e>
                  <m:r>
                    <m:rPr>
                      <m:lit/>
                      <m:nor/>
                    </m:rPr>
                    <w:rPr>
                      <w:rFonts w:ascii="Cambria Math" w:hAnsi="Cambria Math"/>
                    </w:rPr>
                    <m:t xml:space="preserve">Search</m:t>
                  </m:r>
                </m:e>
                <m:sub>
                  <m:r>
                    <w:rPr>
                      <w:rFonts w:ascii="Cambria Math" w:hAnsi="Cambria Math"/>
                    </w:rPr>
                    <m:t xml:space="preserve">i</m:t>
                  </m:r>
                </m:sub>
              </m:sSub>
              <m:r>
                <m:rPr>
                  <m:lit/>
                  <m:nor/>
                </m:rPr>
                <w:rPr>
                  <w:rFonts w:ascii="Cambria Math" w:hAnsi="Cambria Math"/>
                </w:rPr>
                <m:t xml:space="preserve">&amp;</m:t>
              </m:r>
              <m:r>
                <w:rPr>
                  <w:rFonts w:ascii="Cambria Math" w:hAnsi="Cambria Math"/>
                </w:rPr>
                <m:t xml:space="preserve">∼</m:t>
              </m:r>
              <m:r>
                <w:rPr>
                  <w:rFonts w:ascii="Cambria Math" w:hAnsi="Cambria Math"/>
                </w:rPr>
                <m:t xml:space="preserve">N</m:t>
              </m:r>
              <m:r>
                <w:rPr>
                  <w:rFonts w:ascii="Cambria Math" w:hAnsi="Cambria Math"/>
                </w:rPr>
                <m:t xml:space="preserve">(</m:t>
              </m:r>
              <m:sSub>
                <m:e>
                  <m:r>
                    <w:rPr>
                      <w:rFonts w:ascii="Cambria Math" w:hAnsi="Cambria Math"/>
                    </w:rPr>
                    <m:t xml:space="preserve">μ</m:t>
                  </m:r>
                </m:e>
                <m:sub>
                  <m:r>
                    <w:rPr>
                      <w:rFonts w:ascii="Cambria Math" w:hAnsi="Cambria Math"/>
                    </w:rPr>
                    <m:t xml:space="preserve">1</m:t>
                  </m:r>
                  <m:r>
                    <w:rPr>
                      <w:rFonts w:ascii="Cambria Math" w:hAnsi="Cambria Math"/>
                    </w:rPr>
                    <m:t xml:space="preserve">,</m:t>
                  </m:r>
                  <m:r>
                    <w:rPr>
                      <w:rFonts w:ascii="Cambria Math" w:hAnsi="Cambria Math"/>
                    </w:rPr>
                    <m:t xml:space="preserve">i</m:t>
                  </m:r>
                </m:sub>
              </m:sSub>
              <m:r>
                <w:rPr>
                  <w:rFonts w:ascii="Cambria Math" w:hAnsi="Cambria Math"/>
                </w:rPr>
                <m:t xml:space="preserve">,</m:t>
              </m:r>
              <m:sSubSup>
                <m:e>
                  <m:r>
                    <w:rPr>
                      <w:rFonts w:ascii="Cambria Math" w:hAnsi="Cambria Math"/>
                    </w:rPr>
                    <m:t xml:space="preserve">σ</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e>
            <m:e>
              <m:sSub>
                <m:e>
                  <m:r>
                    <m:rPr>
                      <m:lit/>
                      <m:nor/>
                    </m:rPr>
                    <w:rPr>
                      <w:rFonts w:ascii="Cambria Math" w:hAnsi="Cambria Math"/>
                    </w:rPr>
                    <m:t xml:space="preserve">Optimal</m:t>
                  </m:r>
                </m:e>
                <m:sub>
                  <m:r>
                    <w:rPr>
                      <w:rFonts w:ascii="Cambria Math" w:hAnsi="Cambria Math"/>
                    </w:rPr>
                    <m:t xml:space="preserve">i</m:t>
                  </m:r>
                </m:sub>
              </m:sSub>
              <m:r>
                <m:rPr>
                  <m:lit/>
                  <m:nor/>
                </m:rPr>
                <w:rPr>
                  <w:rFonts w:ascii="Cambria Math" w:hAnsi="Cambria Math"/>
                </w:rPr>
                <m:t xml:space="preserve">&amp;</m:t>
              </m:r>
              <m:r>
                <w:rPr>
                  <w:rFonts w:ascii="Cambria Math" w:hAnsi="Cambria Math"/>
                </w:rPr>
                <m:t xml:space="preserve">∼</m:t>
              </m:r>
              <m:r>
                <m:rPr>
                  <m:lit/>
                  <m:nor/>
                </m:rPr>
                <w:rPr>
                  <w:rFonts w:ascii="Cambria Math" w:hAnsi="Cambria Math"/>
                </w:rPr>
                <m:t xml:space="preserve">Bernoulli</m:t>
              </m:r>
              <m:r>
                <w:rPr>
                  <w:rFonts w:ascii="Cambria Math" w:hAnsi="Cambria Math"/>
                </w:rPr>
                <m:t xml:space="preserve">(</m:t>
              </m:r>
              <m:sSup>
                <m:e>
                  <m:r>
                    <m:rPr>
                      <m:lit/>
                      <m:nor/>
                    </m:rPr>
                    <w:rPr>
                      <w:rFonts w:ascii="Cambria Math" w:hAnsi="Cambria Math"/>
                    </w:rPr>
                    <m:t xml:space="preserve">logit</m:t>
                  </m:r>
                </m:e>
                <m:sup>
                  <m:r>
                    <w:rPr>
                      <w:rFonts w:ascii="Cambria Math" w:hAnsi="Cambria Math"/>
                    </w:rPr>
                    <m:t xml:space="preserve">−</m:t>
                  </m:r>
                  <m:r>
                    <w:rPr>
                      <w:rFonts w:ascii="Cambria Math" w:hAnsi="Cambria Math"/>
                    </w:rPr>
                    <m:t xml:space="preserve">1</m:t>
                  </m:r>
                </m:sup>
              </m:sSup>
              <m:r>
                <w:rPr>
                  <w:rFonts w:ascii="Cambria Math" w:hAnsi="Cambria Math"/>
                </w:rPr>
                <m:t xml:space="preserve">(</m:t>
              </m:r>
              <m:sSub>
                <m:e>
                  <m:r>
                    <w:rPr>
                      <w:rFonts w:ascii="Cambria Math" w:hAnsi="Cambria Math"/>
                    </w:rPr>
                    <m:t xml:space="preserve">μ</m:t>
                  </m:r>
                </m:e>
                <m:sub>
                  <m:r>
                    <w:rPr>
                      <w:rFonts w:ascii="Cambria Math" w:hAnsi="Cambria Math"/>
                    </w:rPr>
                    <m:t xml:space="preserve">2</m:t>
                  </m:r>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m:t>
              </m:r>
            </m:e>
          </m:eqArr>
        </m:oMath>
      </m:oMathPara>
    </w:p>
    <w:p>
      <w:pPr>
        <w:pStyle w:val="FirstParagraph"/>
        <w:rPr/>
      </w:pPr>
      <w:r>
        <w:rPr/>
        <w:t xml:space="preserve">In this non-linear specification, priors on the second-stage logit coefficients are assigned regularizing normal priors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1.5</m:t>
        </m:r>
        <m:r>
          <w:rPr>
            <w:rFonts w:ascii="Cambria Math" w:hAnsi="Cambria Math"/>
          </w:rPr>
          <m:t xml:space="preserve">)</m:t>
        </m:r>
      </m:oMath>
      <w:r>
        <w:rPr/>
        <w:t>. On the logit scale, a coefficient magnitude of 1.5 represents an odds ratio shift of over 4.48, encompassing any plausible behavioral effect size.</w:t>
      </w:r>
    </w:p>
    <w:p>
      <w:pPr>
        <w:pStyle w:val="BodyText"/>
        <w:spacing w:before="180" w:after="180"/>
        <w:jc w:val="both"/>
        <w:rPr/>
      </w:pPr>
      <w:r>
        <w:rPr/>
        <w:t xml:space="preserve">In Study 2, the Bernoulli specification estimates a first-stage interaction of </w:t>
      </w:r>
      <w:r>
        <w:rPr/>
      </w:r>
      <m:oMath xmlns:m="http://schemas.openxmlformats.org/officeDocument/2006/math">
        <m:sSub>
          <m:e>
            <m:r>
              <w:rPr>
                <w:rFonts w:ascii="Cambria Math" w:hAnsi="Cambria Math"/>
              </w:rPr>
              <m:t xml:space="preserve">a</m:t>
            </m:r>
          </m:e>
          <m:sub>
            <m:r>
              <w:rPr>
                <w:rFonts w:ascii="Cambria Math" w:hAnsi="Cambria Math"/>
              </w:rPr>
              <m:t xml:space="preserve">3</m:t>
            </m:r>
          </m:sub>
        </m:sSub>
        <m:r>
          <w:rPr>
            <w:rFonts w:ascii="Cambria Math" w:hAnsi="Cambria Math"/>
          </w:rPr>
          <m:t xml:space="preserve">=</m:t>
        </m:r>
        <m:r>
          <w:rPr>
            <w:rFonts w:ascii="Cambria Math" w:hAnsi="Cambria Math"/>
          </w:rPr>
          <m:t xml:space="preserve">−</m:t>
        </m:r>
        <m:r>
          <w:rPr>
            <w:rFonts w:ascii="Cambria Math" w:hAnsi="Cambria Math"/>
          </w:rPr>
          <m:t xml:space="preserve">2.898</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1.019</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4.895</m:t>
        </m:r>
        <m:r>
          <w:rPr>
            <w:rFonts w:ascii="Cambria Math" w:hAnsi="Cambria Math"/>
          </w:rPr>
          <m:t xml:space="preserve">,</m:t>
        </m:r>
        <m:r>
          <w:rPr>
            <w:rFonts w:ascii="Cambria Math" w:hAnsi="Cambria Math"/>
          </w:rPr>
          <m:t xml:space="preserve">−</m:t>
        </m:r>
        <m:r>
          <w:rPr>
            <w:rFonts w:ascii="Cambria Math" w:hAnsi="Cambria Math"/>
          </w:rPr>
          <m:t xml:space="preserve">0.666</m:t>
        </m:r>
        <m:r>
          <w:rPr>
            <w:rFonts w:ascii="Cambria Math" w:hAnsi="Cambria Math"/>
          </w:rPr>
          <m:t xml:space="preserve">]</m:t>
        </m:r>
      </m:oMath>
      <w:r>
        <w:rPr/>
        <w:t xml:space="preserve">,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dir</m:t>
            </m:r>
          </m:sub>
        </m:sSub>
        <m:r>
          <w:rPr>
            <w:rFonts w:ascii="Cambria Math" w:hAnsi="Cambria Math"/>
          </w:rPr>
          <m:t xml:space="preserve">=</m:t>
        </m:r>
        <m:r>
          <w:rPr>
            <w:rFonts w:ascii="Cambria Math" w:hAnsi="Cambria Math"/>
          </w:rPr>
          <m:t xml:space="preserve">0.996</m:t>
        </m:r>
      </m:oMath>
      <w:r>
        <w:rPr/>
        <w:t>), replicating the OLS first stage. In the second-stage logistic equation, each diagnostic attribute acquired produces a positive shift in choice optimality (</w:t>
      </w:r>
      <w:r>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0.302</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0.263</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0.205</m:t>
        </m:r>
        <m:r>
          <w:rPr>
            <w:rFonts w:ascii="Cambria Math" w:hAnsi="Cambria Math"/>
          </w:rPr>
          <m:t xml:space="preserve">,</m:t>
        </m:r>
        <m:r>
          <w:rPr>
            <w:rFonts w:ascii="Cambria Math" w:hAnsi="Cambria Math"/>
          </w:rPr>
          <m:t xml:space="preserve">0.817</m:t>
        </m:r>
        <m:r>
          <w:rPr>
            <w:rFonts w:ascii="Cambria Math" w:hAnsi="Cambria Math"/>
          </w:rPr>
          <m:t xml:space="preserve">]</m:t>
        </m:r>
      </m:oMath>
      <w:r>
        <w:rPr/>
        <w:t xml:space="preserve">), corresponding to a posterior median odds ratio of 1.40 per diagnostic cell (95% CrI </w:t>
      </w:r>
      <w:r>
        <w:rPr/>
      </w:r>
      <m:oMath xmlns:m="http://schemas.openxmlformats.org/officeDocument/2006/math">
        <m:r>
          <w:rPr>
            <w:rFonts w:ascii="Cambria Math" w:hAnsi="Cambria Math"/>
          </w:rPr>
          <m:t xml:space="preserve">[</m:t>
        </m:r>
        <m:r>
          <w:rPr>
            <w:rFonts w:ascii="Cambria Math" w:hAnsi="Cambria Math"/>
          </w:rPr>
          <m:t xml:space="preserve">0.815</m:t>
        </m:r>
        <m:r>
          <w:rPr>
            <w:rFonts w:ascii="Cambria Math" w:hAnsi="Cambria Math"/>
          </w:rPr>
          <m:t xml:space="preserve">,</m:t>
        </m:r>
        <m:r>
          <w:rPr>
            <w:rFonts w:ascii="Cambria Math" w:hAnsi="Cambria Math"/>
          </w:rPr>
          <m:t xml:space="preserve">2.263</m:t>
        </m:r>
        <m:r>
          <w:rPr>
            <w:rFonts w:ascii="Cambria Math" w:hAnsi="Cambria Math"/>
          </w:rPr>
          <m:t xml:space="preserve">]</m:t>
        </m:r>
      </m:oMath>
      <w:r>
        <w:rPr/>
        <w:t xml:space="preserve">). Computing the Index of Moderated Mediation on the latent logit index scale yields </w:t>
      </w:r>
      <w:r>
        <w:rPr/>
      </w:r>
      <m:oMath xmlns:m="http://schemas.openxmlformats.org/officeDocument/2006/math">
        <m:r>
          <m:rPr>
            <m:lit/>
            <m:nor/>
          </m:rPr>
          <w:rPr>
            <w:rFonts w:ascii="Cambria Math" w:hAnsi="Cambria Math"/>
          </w:rPr>
          <m:t xml:space="preserve">IMM</m:t>
        </m:r>
        <m:r>
          <w:rPr>
            <w:rFonts w:ascii="Cambria Math" w:hAnsi="Cambria Math"/>
          </w:rPr>
          <m:t xml:space="preserve">=</m:t>
        </m:r>
        <m:r>
          <w:rPr>
            <w:rFonts w:ascii="Cambria Math" w:hAnsi="Cambria Math"/>
          </w:rPr>
          <m:t xml:space="preserve">−</m:t>
        </m:r>
        <m:r>
          <w:rPr>
            <w:rFonts w:ascii="Cambria Math" w:hAnsi="Cambria Math"/>
          </w:rPr>
          <m:t xml:space="preserve">0.871</m:t>
        </m:r>
      </m:oMath>
      <w:r>
        <w:rPr/>
        <w:t xml:space="preserve"> (</w:t>
      </w:r>
      <w:r>
        <w:rPr/>
      </w:r>
      <m:oMath xmlns:m="http://schemas.openxmlformats.org/officeDocument/2006/math">
        <m:r>
          <w:rPr>
            <w:rFonts w:ascii="Cambria Math" w:hAnsi="Cambria Math"/>
          </w:rPr>
          <m:t xml:space="preserve">S</m:t>
        </m:r>
        <m:r>
          <w:rPr>
            <w:rFonts w:ascii="Cambria Math" w:hAnsi="Cambria Math"/>
          </w:rPr>
          <m:t xml:space="preserve">D</m:t>
        </m:r>
        <m:r>
          <w:rPr>
            <w:rFonts w:ascii="Cambria Math" w:hAnsi="Cambria Math"/>
          </w:rPr>
          <m:t xml:space="preserve">=</m:t>
        </m:r>
        <m:r>
          <w:rPr>
            <w:rFonts w:ascii="Cambria Math" w:hAnsi="Cambria Math"/>
          </w:rPr>
          <m:t xml:space="preserve">0.864</m:t>
        </m:r>
      </m:oMath>
      <w:r>
        <w:rPr/>
        <w:t xml:space="preserve">, 95% CrI </w:t>
      </w:r>
      <w:r>
        <w:rPr/>
      </w:r>
      <m:oMath xmlns:m="http://schemas.openxmlformats.org/officeDocument/2006/math">
        <m:r>
          <w:rPr>
            <w:rFonts w:ascii="Cambria Math" w:hAnsi="Cambria Math"/>
          </w:rPr>
          <m:t xml:space="preserve">[</m:t>
        </m:r>
        <m:r>
          <w:rPr>
            <w:rFonts w:ascii="Cambria Math" w:hAnsi="Cambria Math"/>
          </w:rPr>
          <m:t xml:space="preserve">−</m:t>
        </m:r>
        <m:r>
          <w:rPr>
            <w:rFonts w:ascii="Cambria Math" w:hAnsi="Cambria Math"/>
          </w:rPr>
          <m:t xml:space="preserve">2.834</m:t>
        </m:r>
        <m:r>
          <w:rPr>
            <w:rFonts w:ascii="Cambria Math" w:hAnsi="Cambria Math"/>
          </w:rPr>
          <m:t xml:space="preserve">,</m:t>
        </m:r>
        <m:r>
          <w:rPr>
            <w:rFonts w:ascii="Cambria Math" w:hAnsi="Cambria Math"/>
          </w:rPr>
          <m:t xml:space="preserve">0.590</m:t>
        </m:r>
        <m:r>
          <w:rPr>
            <w:rFonts w:ascii="Cambria Math" w:hAnsi="Cambria Math"/>
          </w:rPr>
          <m:t xml:space="preserve">]</m:t>
        </m:r>
      </m:oMath>
      <w:r>
        <w:rPr/>
        <w:t xml:space="preserve">, </w:t>
      </w:r>
      <w:r>
        <w:rPr/>
      </w:r>
      <m:oMath xmlns:m="http://schemas.openxmlformats.org/officeDocument/2006/math">
        <m:sSub>
          <m:e>
            <m:r>
              <w:rPr>
                <w:rFonts w:ascii="Cambria Math" w:hAnsi="Cambria Math"/>
              </w:rPr>
              <m:t xml:space="preserve">P</m:t>
            </m:r>
          </m:e>
          <m:sub>
            <m:r>
              <m:rPr>
                <m:lit/>
                <m:nor/>
              </m:rPr>
              <w:rPr>
                <w:rFonts w:ascii="Cambria Math" w:hAnsi="Cambria Math"/>
              </w:rPr>
              <m:t xml:space="preserve">dir</m:t>
            </m:r>
          </m:sub>
        </m:sSub>
        <m:r>
          <w:rPr>
            <w:rFonts w:ascii="Cambria Math" w:hAnsi="Cambria Math"/>
          </w:rPr>
          <m:t xml:space="preserve">=</m:t>
        </m:r>
        <m:r>
          <w:rPr>
            <w:rFonts w:ascii="Cambria Math" w:hAnsi="Cambria Math"/>
          </w:rPr>
          <m:t xml:space="preserve">0.868</m:t>
        </m:r>
      </m:oMath>
      <w:r>
        <w:rPr/>
        <w:t>). Although the logit parameterization introduces wider credible intervals due to extreme ceiling rates in the zero-cost conditions that produce quasi-complete separation within specific model clusters, the substantive direction and structural mechanism remain entirely consistent with the linear probability model.</w:t>
      </w:r>
      <w:bookmarkEnd w:id="192"/>
      <w:bookmarkEnd w:id="201"/>
    </w:p>
    <w:sectPr>
      <w:footerReference w:type="even" r:id="rId16"/>
      <w:footerReference w:type="default" r:id="rId17"/>
      <w:footerReference w:type="first" r:id="rId18"/>
      <w:footnotePr>
        <w:numFmt w:val="decimal"/>
      </w:footnotePr>
      <w:type w:val="nextPage"/>
      <w:pgSz w:w="12240" w:h="15840"/>
      <w:pgMar w:left="1440" w:right="1440" w:gutter="0" w:header="0" w:top="1440" w:footer="1440" w:bottom="247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Consolas">
    <w:charset w:val="01"/>
    <w:family w:val="roman"/>
    <w:pitch w:val="variable"/>
  </w:font>
  <w:font w:name="Liberation Sans">
    <w:altName w:val="Arial"/>
    <w:charset w:val="01"/>
    <w:family w:val="swiss"/>
    <w:pitch w:val="variable"/>
  </w:font>
  <w:font w:name="Aptos Display">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202" w:name="PageNumWizard_FOOTER_Default_Page_Style6"/>
    <w:r>
      <w:rPr/>
      <w:fldChar w:fldCharType="begin"/>
    </w:r>
    <w:r>
      <w:rPr/>
      <w:instrText xml:space="preserve"> PAGE </w:instrText>
    </w:r>
    <w:r>
      <w:rPr/>
      <w:fldChar w:fldCharType="separate"/>
    </w:r>
    <w:r>
      <w:rPr/>
      <w:t>122</w:t>
    </w:r>
    <w:r>
      <w:rPr/>
      <w:fldChar w:fldCharType="end"/>
    </w:r>
    <w:bookmarkEnd w:id="202"/>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bookmarkStart w:id="203" w:name="PageNumWizard_FOOTER_Default_Page_Style6"/>
    <w:r>
      <w:rPr/>
      <w:fldChar w:fldCharType="begin"/>
    </w:r>
    <w:r>
      <w:rPr/>
      <w:instrText xml:space="preserve"> PAGE </w:instrText>
    </w:r>
    <w:r>
      <w:rPr/>
      <w:fldChar w:fldCharType="separate"/>
    </w:r>
    <w:r>
      <w:rPr/>
      <w:t>122</w:t>
    </w:r>
    <w:r>
      <w:rPr/>
      <w:fldChar w:fldCharType="end"/>
    </w:r>
    <w:bookmarkEnd w:id="203"/>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200"/>
        <w:rPr/>
      </w:pPr>
      <w:r>
        <w:rPr>
          <w:rStyle w:val="FootnoteCharacters"/>
        </w:rPr>
        <w:footnoteRef/>
      </w:r>
      <w:r>
        <w:rPr/>
        <w:t xml:space="preserve"> </w:t>
      </w:r>
      <w:r>
        <w:rPr/>
        <w:t>We scale the purchase volume to five bags to ensure that the potential economic surplus of identifying the superior product mathematically justifies the cumulative tool costs.</w:t>
      </w:r>
    </w:p>
  </w:footnote>
  <w:footnote w:id="3">
    <w:p>
      <w:pPr>
        <w:pStyle w:val="FootnoteText"/>
        <w:spacing w:before="0" w:after="200"/>
        <w:rPr/>
      </w:pPr>
      <w:r>
        <w:rPr>
          <w:rStyle w:val="FootnoteCharacters"/>
        </w:rPr>
        <w:footnoteRef/>
      </w:r>
      <w:r>
        <w:rPr/>
        <w:t xml:space="preserve"> </w:t>
      </w:r>
      <w:r>
        <w:rPr/>
        <w:t xml:space="preserve">To prevent the letters “a” or “b” in coffee_a and coffee_b affecting the choice, each session randomizes the </w:t>
      </w:r>
      <w:r>
        <w:rPr>
          <w:i/>
          <w:iCs/>
        </w:rPr>
        <w:t>option_id</w:t>
      </w:r>
      <w:r>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lvlOverride w:ilvl="0">
      <w:startOverride w:val="1"/>
    </w:lvlOverride>
  </w:num>
</w:numbering>
</file>

<file path=word/settings.xml><?xml version="1.0" encoding="utf-8"?>
<w:settings xmlns:w="http://schemas.openxmlformats.org/wordprocessingml/2006/main">
  <w:zoom w:percent="100"/>
  <w:embedSystemFonts/>
  <w:stylePaneFormatFilter w:val="0004"/>
  <w:defaultTabStop w:val="11340"/>
  <w:autoHyphenation w:val="true"/>
  <w:hyphenationZone w:val="0"/>
  <w:footnotePr>
    <w:numFmt w:val="decimal"/>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uiPriority w:val="0"/>
    <w:qFormat/>
    <w:rsid w:val="02a945fd"/>
    <w:pPr>
      <w:widowControl/>
      <w:suppressAutoHyphens w:val="true"/>
      <w:bidi w:val="0"/>
      <w:spacing w:lineRule="auto" w:line="480" w:before="0" w:after="200"/>
      <w:ind w:firstLine="72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BodyText"/>
    <w:link w:val="Heading1Char"/>
    <w:uiPriority w:val="9"/>
    <w:qFormat/>
    <w:rsid w:val="02a945fd"/>
    <w:pPr>
      <w:keepNext w:val="true"/>
      <w:keepLines/>
      <w:spacing w:before="360" w:after="80"/>
      <w:ind w:hanging="0"/>
      <w:outlineLvl w:val="0"/>
    </w:pPr>
    <w:rPr>
      <w:b/>
      <w:bCs/>
      <w:color w:themeColor="text1" w:val="000000"/>
      <w:sz w:val="28"/>
      <w:szCs w:val="28"/>
    </w:rPr>
  </w:style>
  <w:style w:type="paragraph" w:styleId="Heading2">
    <w:name w:val="heading 2"/>
    <w:basedOn w:val="Normal"/>
    <w:next w:val="BodyText"/>
    <w:link w:val="Heading2Char"/>
    <w:uiPriority w:val="9"/>
    <w:semiHidden/>
    <w:unhideWhenUsed/>
    <w:qFormat/>
    <w:rsid w:val="02a945fd"/>
    <w:pPr>
      <w:keepNext w:val="true"/>
      <w:keepLines/>
      <w:spacing w:before="160" w:after="80"/>
      <w:ind w:hanging="0"/>
      <w:outlineLvl w:val="1"/>
    </w:pPr>
    <w:rPr>
      <w:b/>
      <w:bCs/>
      <w:color w:themeColor="text1" w:val="000000"/>
    </w:rPr>
  </w:style>
  <w:style w:type="paragraph" w:styleId="Heading3">
    <w:name w:val="heading 3"/>
    <w:basedOn w:val="Normal"/>
    <w:next w:val="BodyText"/>
    <w:link w:val="Heading3Char"/>
    <w:uiPriority w:val="9"/>
    <w:semiHidden/>
    <w:unhideWhenUsed/>
    <w:qFormat/>
    <w:rsid w:val="02a945fd"/>
    <w:pPr>
      <w:keepNext w:val="true"/>
      <w:keepLines/>
      <w:spacing w:before="160" w:after="80"/>
      <w:ind w:hanging="0"/>
      <w:outlineLvl w:val="2"/>
    </w:pPr>
    <w:rPr>
      <w:rFonts w:eastAsia="" w:cs="" w:cstheme="majorBidi" w:eastAsiaTheme="majorEastAsia"/>
      <w:color w:val="000000"/>
      <w:sz w:val="24"/>
      <w:szCs w:val="28"/>
    </w:rPr>
  </w:style>
  <w:style w:type="paragraph" w:styleId="Heading4">
    <w:name w:val="heading 4"/>
    <w:basedOn w:val="Normal"/>
    <w:next w:val="BodyText"/>
    <w:link w:val="Heading4Char"/>
    <w:uiPriority w:val="9"/>
    <w:semiHidden/>
    <w:unhideWhenUsed/>
    <w:qFormat/>
    <w:rsid w:val="02a945f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2a945f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2a945f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2a945f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2a945fd"/>
    <w:pPr>
      <w:keepNext w:val="true"/>
      <w:keepLines/>
      <w:spacing w:before="0" w:after="0"/>
      <w:outlineLvl w:val="7"/>
    </w:pPr>
    <w:rPr>
      <w:rFonts w:eastAsia="" w:cs="" w:cstheme="majorBidi" w:eastAsiaTheme="majorEastAsia"/>
      <w:i/>
      <w:iCs/>
      <w:color w:val="272727"/>
    </w:rPr>
  </w:style>
  <w:style w:type="paragraph" w:styleId="Heading9">
    <w:name w:val="heading 9"/>
    <w:basedOn w:val="Normal"/>
    <w:next w:val="BodyText"/>
    <w:link w:val="Heading9Char"/>
    <w:uiPriority w:val="9"/>
    <w:semiHidden/>
    <w:unhideWhenUsed/>
    <w:qFormat/>
    <w:rsid w:val="02a945fd"/>
    <w:pPr>
      <w:keepNext w:val="true"/>
      <w:keepLines/>
      <w:spacing w:before="0" w:after="0"/>
      <w:outlineLvl w:val="8"/>
    </w:pPr>
    <w:rPr>
      <w:rFonts w:eastAsia="" w:cs="" w:cstheme="majorBidi" w:eastAsiaTheme="majorEastAsia"/>
      <w:color w:val="272727"/>
    </w:rPr>
  </w:style>
  <w:style w:type="character" w:styleId="TitleChar" w:customStyle="1">
    <w:name w:val="Title Char"/>
    <w:basedOn w:val="DefaultParagraphFont"/>
    <w:link w:val="Title"/>
    <w:uiPriority w:val="10"/>
    <w:qFormat/>
    <w:rsid w:val="02a945fd"/>
    <w:rPr>
      <w:rFonts w:ascii="Times New Roman" w:hAnsi="Times New Roman" w:eastAsia="Times New Roman" w:cs="Times New Roman"/>
      <w:b/>
      <w:bCs/>
      <w:sz w:val="28"/>
      <w:szCs w:val="28"/>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2a945fd"/>
    <w:rPr>
      <w:rFonts w:ascii="Times New Roman" w:hAnsi="Times New Roman" w:eastAsia="Times New Roman" w:cs="Times New Roman"/>
      <w:b/>
      <w:bCs/>
      <w:color w:themeColor="text1" w:val="000000"/>
      <w:sz w:val="28"/>
      <w:szCs w:val="28"/>
    </w:rPr>
  </w:style>
  <w:style w:type="character" w:styleId="Heading2Char" w:customStyle="1">
    <w:name w:val="Heading 2 Char"/>
    <w:basedOn w:val="DefaultParagraphFont"/>
    <w:link w:val="Heading2"/>
    <w:uiPriority w:val="9"/>
    <w:semiHidden/>
    <w:qFormat/>
    <w:rsid w:val="02a945fd"/>
    <w:rPr>
      <w:rFonts w:ascii="Times New Roman" w:hAnsi="Times New Roman" w:eastAsia="Times New Roman" w:cs="Times New Roman"/>
      <w:b/>
      <w:bCs/>
      <w:color w:themeColor="text1" w:val="000000"/>
      <w:sz w:val="24"/>
      <w:szCs w:val="24"/>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FollowedHyperlink">
    <w:name w:val="FollowedHyperlink"/>
    <w:rPr>
      <w:color w:val="800000"/>
      <w:u w:val="single"/>
    </w:rPr>
  </w:style>
  <w:style w:type="character" w:styleId="EndnoteCharacters">
    <w:name w:val="Endnote Characters"/>
    <w:rPr>
      <w:vertAlign w:val="superscript"/>
    </w:rPr>
  </w:style>
  <w:style w:type="character" w:styleId="EndnoteCharactersuser">
    <w:name w:val="Endnote Characters (user)"/>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2a945fd"/>
    <w:pPr>
      <w:spacing w:before="180" w:after="180"/>
      <w:jc w:val="both"/>
    </w:pPr>
    <w:rPr/>
  </w:style>
  <w:style w:type="paragraph" w:styleId="List">
    <w:name w:val="List"/>
    <w:basedOn w:val="BodyText"/>
    <w:pPr/>
    <w:rPr>
      <w:rFonts w:cs="Noto Sans Devanagari"/>
    </w:rPr>
  </w:style>
  <w:style w:type="paragraph" w:styleId="Caption">
    <w:name w:val="caption"/>
    <w:basedOn w:val="Normal"/>
    <w:link w:val="BodyTextChar"/>
    <w:uiPriority w:val="1"/>
    <w:qFormat/>
    <w:rsid w:val="02a945fd"/>
    <w:pPr>
      <w:spacing w:before="0" w:after="120"/>
    </w:pPr>
    <w:rPr>
      <w:i/>
      <w:iCs/>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uiPriority w:val="1"/>
    <w:qFormat/>
    <w:rsid w:val="02a945fd"/>
    <w:pPr>
      <w:spacing w:lineRule="auto" w:line="240" w:before="36" w:after="36"/>
      <w:ind w:hanging="0"/>
      <w:jc w:val="left"/>
    </w:pPr>
    <w:rPr>
      <w:rFonts w:ascii="Times New Roman" w:hAnsi="Times New Roman" w:eastAsia="Times New Roman" w:cs="Times New Roman"/>
      <w:sz w:val="18"/>
      <w:szCs w:val="24"/>
    </w:rPr>
  </w:style>
  <w:style w:type="paragraph" w:styleId="Title">
    <w:name w:val="Title"/>
    <w:basedOn w:val="Normal"/>
    <w:next w:val="BodyText"/>
    <w:link w:val="TitleChar"/>
    <w:uiPriority w:val="10"/>
    <w:qFormat/>
    <w:rsid w:val="02a945fd"/>
    <w:pPr>
      <w:spacing w:lineRule="auto" w:line="240" w:before="0" w:after="80"/>
      <w:ind w:hanging="0"/>
      <w:contextualSpacing/>
      <w:jc w:val="center"/>
    </w:pPr>
    <w:rPr>
      <w:b/>
      <w:bCs/>
      <w:sz w:val="28"/>
      <w:szCs w:val="28"/>
    </w:rPr>
  </w:style>
  <w:style w:type="paragraph" w:styleId="Subtitle">
    <w:name w:val="Subtitle"/>
    <w:basedOn w:val="Title"/>
    <w:next w:val="BodyText"/>
    <w:link w:val="SubtitleChar"/>
    <w:uiPriority w:val="11"/>
    <w:qFormat/>
    <w:rsid w:val="02a945fd"/>
    <w:pPr/>
    <w:rPr>
      <w:rFonts w:eastAsia="" w:cs="" w:cstheme="majorBidi" w:eastAsiaTheme="majorEastAsia"/>
    </w:rPr>
  </w:style>
  <w:style w:type="paragraph" w:styleId="Author" w:customStyle="1">
    <w:name w:val="Author"/>
    <w:basedOn w:val="Title"/>
    <w:next w:val="BodyText"/>
    <w:uiPriority w:val="1"/>
    <w:qFormat/>
    <w:rsid w:val="02a945fd"/>
    <w:pPr>
      <w:keepNext w:val="true"/>
      <w:keepLines/>
    </w:pPr>
    <w:rPr>
      <w:sz w:val="24"/>
      <w:szCs w:val="24"/>
    </w:rPr>
  </w:style>
  <w:style w:type="paragraph" w:styleId="Date">
    <w:name w:val="Date"/>
    <w:basedOn w:val="Title"/>
    <w:next w:val="BodyText"/>
    <w:uiPriority w:val="1"/>
    <w:qFormat/>
    <w:rsid w:val="02a945fd"/>
    <w:pPr>
      <w:keepNext w:val="true"/>
      <w:keepLines/>
    </w:pPr>
    <w:rPr>
      <w:sz w:val="24"/>
      <w:szCs w:val="24"/>
    </w:rPr>
  </w:style>
  <w:style w:type="paragraph" w:styleId="AbstractTitle" w:customStyle="1">
    <w:name w:val="Abstract Title"/>
    <w:basedOn w:val="Normal"/>
    <w:next w:val="Abstract"/>
    <w:uiPriority w:val="1"/>
    <w:qFormat/>
    <w:rsid w:val="02a945fd"/>
    <w:pPr>
      <w:keepNext w:val="true"/>
      <w:keepLines/>
      <w:spacing w:before="300" w:after="0"/>
      <w:ind w:hanging="0"/>
      <w:jc w:val="left"/>
    </w:pPr>
    <w:rPr>
      <w:b/>
      <w:bCs/>
    </w:rPr>
  </w:style>
  <w:style w:type="paragraph" w:styleId="Abstract" w:customStyle="1">
    <w:name w:val="Abstract"/>
    <w:basedOn w:val="Normal"/>
    <w:next w:val="BodyText"/>
    <w:uiPriority w:val="1"/>
    <w:qFormat/>
    <w:rsid w:val="02a945fd"/>
    <w:pPr>
      <w:keepNext w:val="true"/>
      <w:keepLines/>
      <w:spacing w:before="100" w:after="300"/>
      <w:jc w:val="both"/>
    </w:pPr>
    <w:rPr/>
  </w:style>
  <w:style w:type="paragraph" w:styleId="Bibliography">
    <w:name w:val="Bibliography"/>
    <w:basedOn w:val="Normal"/>
    <w:uiPriority w:val="1"/>
    <w:qFormat/>
    <w:rsid w:val="02a945fd"/>
    <w:pPr>
      <w:tabs>
        <w:tab w:val="clear" w:pos="11340"/>
      </w:tabs>
      <w:spacing w:lineRule="auto" w:line="240"/>
      <w:ind w:hanging="720" w:left="720" w:right="0"/>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rsid w:val="02a945fd"/>
    <w:pPr>
      <w:spacing w:lineRule="auto" w:line="240" w:before="0" w:after="0"/>
      <w:ind w:hanging="0"/>
    </w:pPr>
    <w:rPr>
      <w:sz w:val="20"/>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uiPriority w:val="1"/>
    <w:qFormat/>
    <w:rsid w:val="02a945fd"/>
    <w:pPr>
      <w:keepNext w:val="true"/>
      <w:keepLines/>
      <w:spacing w:before="0" w:after="0"/>
    </w:pPr>
    <w:rPr>
      <w:b/>
      <w:bCs/>
    </w:rPr>
  </w:style>
  <w:style w:type="paragraph" w:styleId="Definition" w:customStyle="1">
    <w:name w:val="Definition"/>
    <w:basedOn w:val="Normal"/>
    <w:uiPriority w:val="1"/>
    <w:qFormat/>
    <w:rsid w:val="02a945fd"/>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ind w:hanging="0"/>
    </w:pPr>
    <w:rPr/>
  </w:style>
  <w:style w:type="paragraph" w:styleId="Figure" w:customStyle="1">
    <w:name w:val="Figure"/>
    <w:basedOn w:val="Normal"/>
    <w:uiPriority w:val="1"/>
    <w:qFormat/>
    <w:rsid w:val="02a945fd"/>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2a945fd"/>
    <w:pPr>
      <w:spacing w:lineRule="auto" w:line="259" w:before="240" w:after="80"/>
    </w:pPr>
    <w:rPr>
      <w:rFonts w:ascii="Aptos Display" w:hAnsi="Aptos Display" w:eastAsia="" w:cs="" w:asciiTheme="majorAscii" w:cstheme="majorBidi" w:eastAsiaTheme="majorEastAsia" w:hAnsiTheme="majorAscii"/>
      <w:b w:val="false"/>
      <w:bCs w:val="false"/>
      <w:color w:themeColor="accent1" w:themeShade="bf" w:val="0F4761"/>
    </w:rPr>
  </w:style>
  <w:style w:type="paragraph" w:styleId="SourceCode" w:customStyle="1">
    <w:name w:val="Source Code"/>
    <w:basedOn w:val="Normal"/>
    <w:link w:val="VerbatimChar"/>
    <w:uiPriority w:val="1"/>
    <w:qFormat/>
    <w:rsid w:val="02a945fd"/>
    <w:pPr>
      <w:shd w:val="clear" w:color="auto" w:fill="F1F3F5"/>
    </w:pPr>
    <w:rPr/>
  </w:style>
  <w:style w:type="paragraph" w:styleId="HangingIndent">
    <w:name w:val="Hanging Indent"/>
    <w:basedOn w:val="BodyText"/>
    <w:qFormat/>
    <w:pPr>
      <w:tabs>
        <w:tab w:val="clear" w:pos="11340"/>
        <w:tab w:val="left" w:pos="0" w:leader="none"/>
      </w:tabs>
      <w:ind w:hanging="283" w:left="567"/>
    </w:pPr>
    <w:rPr/>
  </w:style>
  <w:style w:type="paragraph" w:styleId="CommentText">
    <w:name w:val="annotation text"/>
    <w:basedOn w:val="BodyText"/>
    <w:pPr>
      <w:ind w:hanging="0" w:left="2268"/>
    </w:pPr>
    <w:rPr/>
  </w:style>
  <w:style w:type="paragraph" w:styleId="PreformattedText">
    <w:name w:val="Preformatted Text"/>
    <w:basedOn w:val="Normal"/>
    <w:qFormat/>
    <w:pPr>
      <w:spacing w:before="0" w:after="0"/>
    </w:pPr>
    <w:rPr>
      <w:rFonts w:ascii="Times New Roman" w:hAnsi="Times New Roman" w:eastAsia="Liberation Mono" w:cs="Liberation Mono"/>
      <w:sz w:val="20"/>
      <w:szCs w:val="20"/>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11340"/>
        <w:tab w:val="center" w:pos="4680" w:leader="none"/>
        <w:tab w:val="right" w:pos="9360" w:leader="none"/>
      </w:tabs>
    </w:pPr>
    <w:rPr/>
  </w:style>
  <w:style w:type="paragraph" w:styleId="Footer">
    <w:name w:val="footer"/>
    <w:basedOn w:val="HeaderandFooter"/>
    <w:pPr>
      <w:suppressLineNumbers/>
    </w:pPr>
    <w:rPr/>
  </w:style>
  <w:style w:type="paragraph" w:styleId="TableNote" w:customStyle="1">
    <w:name w:val="Table Note"/>
    <w:basedOn w:val="BodyText"/>
    <w:qFormat/>
    <w:pPr>
      <w:ind w:hanging="0"/>
      <w:jc w:val="left"/>
    </w:pPr>
    <w:rPr>
      <w:sz w:val="20"/>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table" w:styleId="APATable">
    <w:name w:val="APA Table"/>
    <w:basedOn w:val="TableNormal"/>
    <w:uiPriority w:val="99"/>
    <w:rPr>
      <w:sz w:val="24"/>
    </w:rPr>
    <w:tblPr>
      <w:tblBorders>
        <w:top w:val="single" w:color="000000" w:sz="4" w:space="0"/>
        <w:bottom w:val="single" w:color="000000" w:sz="4" w:space="0"/>
      </w:tblBorders>
      <w:tblCellMar>
        <w:top w:w="100" w:type="dxa"/>
        <w:left w:w="100" w:type="dxa"/>
        <w:bottom w:w="100" w:type="dxa"/>
        <w:right w:w="100" w:type="dxa"/>
      </w:tblCellMar>
    </w:tblPr>
    <w:tcPr>
      <w:vAlign w:val="center"/>
    </w:tcPr>
    <w:tblStylePr w:type="firstRow">
      <w:rPr>
        <w:b w:val="0"/>
      </w:rPr>
      <w:tblPr/>
      <w:tcPr>
        <w:tcBorders>
          <w:top w:val="single" w:color="000000" w:sz="4" w:space="0"/>
          <w:bottom w:val="single" w:color="000000" w:sz="4" w:space="0"/>
        </w:tcBorders>
      </w:tcPr>
    </w:tblStylePr>
    <w:tblStylePr w:type="lastRow">
      <w:tblPr/>
      <w:tcPr>
        <w:tcBorders>
          <w:bottom w:val="single" w:color="000000" w:sz="4" w:space="0"/>
        </w:tcBorders>
      </w:tcPr>
    </w:tblStylePr>
    <w:tblStylePr w:type="firstCol">
      <w:pPr>
        <w:jc w:val="left"/>
      </w:p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doi.org/10.18637/jss.v080.i01" TargetMode="External"/><Relationship Id="rId4" Type="http://schemas.openxmlformats.org/officeDocument/2006/relationships/hyperlink" Target="https://api.semanticscholar.org/CorpusID:141803939" TargetMode="External"/><Relationship Id="rId5" Type="http://schemas.openxmlformats.org/officeDocument/2006/relationships/hyperlink" Target="https://api.semanticscholar.org/CorpusID:14818619" TargetMode="External"/><Relationship Id="rId6" Type="http://schemas.openxmlformats.org/officeDocument/2006/relationships/hyperlink" Target="https://api.semanticscholar.org/CorpusID:15131441" TargetMode="External"/><Relationship Id="rId7" Type="http://schemas.openxmlformats.org/officeDocument/2006/relationships/hyperlink" Target="https://doi.org/10.1017/S0140525X1900061X" TargetMode="External"/><Relationship Id="rId8" Type="http://schemas.openxmlformats.org/officeDocument/2006/relationships/hyperlink" Target="https://api.semanticscholar.org/CorpusID:283443221" TargetMode="External"/><Relationship Id="rId9" Type="http://schemas.openxmlformats.org/officeDocument/2006/relationships/hyperlink" Target="https://doi.org/10.1257/jep.14.1.133" TargetMode="Externa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otnotes" Target="footnotes.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137</TotalTime>
  <Application>LibreOffice/26.8.0.3$Linux_X86_64 LibreOffice_project/e34ffb33db0c92181c79084d759a90d6bf45d9b3</Application>
  <AppVersion>15.0000</AppVersion>
  <Pages>122</Pages>
  <Words>25121</Words>
  <Characters>144982</Characters>
  <CharactersWithSpaces>167895</CharactersWithSpaces>
  <Paragraphs>2525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2026-09-08T18:16:10Z</dcterms:created>
  <dc:creator/>
  <dc:description/>
  <dc:language>en-CA</dc:language>
  <cp:lastModifiedBy/>
  <dcterms:modified xsi:type="dcterms:W3CDTF">2026-09-18T11:20:59Z</dcterms:modified>
  <cp:revision>3</cp:revision>
  <dc:subject/>
  <dc:title>Shopping by algorithm: How agentic AI deploys human heuristics as a surrogate consumer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rossref">
    <vt:lpwstr/>
  </property>
  <property fmtid="{D5CDD505-2E9C-101B-9397-08002B2CF9AE}" pid="5" name="csl">
    <vt:lpwstr>journal-of-the-academy-of-marketing-science.csl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