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ind w:hanging="0"/>
        <w:rPr/>
      </w:pPr>
      <w:bookmarkStart w:id="0" w:name="overview-of-the-revision"/>
      <w:r>
        <w:rPr/>
        <w:t>Overview of the revision</w:t>
      </w:r>
    </w:p>
    <w:p>
      <w:pPr>
        <w:pStyle w:val="FirstParagraph"/>
        <w:rPr/>
      </w:pPr>
      <w:r>
        <w:rPr/>
        <w:t>We used the decision letter as a blueprint for this revision. Following the Editor’s recommendation, we substantially revised the manuscript’s positioning. We also addressed the four central concerns raised in the reviews (construct validity, theoretical interpretation, process inference, and generalizability) by redesigning our experiments and conducting extensive additional robustness tests, including those suggested by the review team. We summarize how we addressed each concern below.</w:t>
      </w:r>
    </w:p>
    <w:p>
      <w:pPr>
        <w:pStyle w:val="BodyText"/>
        <w:rPr/>
      </w:pPr>
      <w:r>
        <w:rPr>
          <w:b/>
          <w:bCs/>
        </w:rPr>
        <w:t>Positioning and theoretical interpretation</w:t>
      </w:r>
      <w:r>
        <w:rPr/>
        <w:t xml:space="preserve"> We have completely revamped the introduction, literature review, and conceptual development along the positioning suggested by the Editor: when AI shopping agents exhibit heuristic-like behavior under information-acquisition constraints. Following the recommendations of the Editor, R1, and R3, we removed the resource-rationality and synthesis-failure accounts and the use of LLM size as a construct. Our revised framework builds on the Editor’s suggestion that cue effectiveness may depend on the information architecture through which AI agents shop. The framework proposes that heuristic-like choices can arise from the information state the AI agent holds when it commits to a choice. It centers on two factors: the cost of acquiring attributes, set by the retailer, and the specificity of the delegating prompt, set by the consumer. When acquisition costs are imposed under a vague goal prompt, AI agents acquire fewer diagnostic attributes, reducing choice optimality. Together, these revisions shift our theoretical focus toward how the retailer’s information architecture and the consumer’s delegation instruction jointly shape AI agents’ search and choice.</w:t>
      </w:r>
    </w:p>
    <w:p>
      <w:pPr>
        <w:pStyle w:val="BodyText"/>
        <w:rPr/>
      </w:pPr>
      <w:r>
        <w:rPr/>
        <w:t>Following R1’s recommendation, we replaced the original Study 1 baseline with a new experiment in which cents are drawn independently of dollars from the empirical distribution of retail prices. We also redesigned the Study 2 baseline to match its Tool-Lab counterpart, providing only the list price, discount percentage, and weight.</w:t>
      </w:r>
    </w:p>
    <w:p>
      <w:pPr>
        <w:pStyle w:val="BodyText"/>
        <w:rPr/>
      </w:pPr>
      <w:r>
        <w:rPr>
          <w:b/>
          <w:bCs/>
        </w:rPr>
        <w:t>Construct validity</w:t>
      </w:r>
      <w:r>
        <w:rPr/>
        <w:t xml:space="preserve"> Following the Editor’s and R2’s recommendations, we removed LLM size as a construct because the parameter counts and architectures of the commercial LLMs are not publicly disclosed. We now identify each LLM by name and make no hypotheses about differences between LLMs.</w:t>
      </w:r>
    </w:p>
    <w:p>
      <w:pPr>
        <w:pStyle w:val="BodyText"/>
        <w:rPr/>
      </w:pPr>
      <w:r>
        <w:rPr>
          <w:b/>
          <w:bCs/>
        </w:rPr>
        <w:t>Process inference</w:t>
      </w:r>
      <w:r>
        <w:rPr/>
        <w:t xml:space="preserve"> Following the Editor’s and R3’s recommendations, we revised our terminology to clarify that Tool-Lab traces observable information acquisition rather than revealing the internal processes underlying LLM decision making. We explicitly acknowledge this limitation, introduce Tool-Lab before presenting the studies, and remove anthropomorphic language throughout the manuscript.</w:t>
      </w:r>
    </w:p>
    <w:p>
      <w:pPr>
        <w:pStyle w:val="BodyText"/>
        <w:rPr/>
      </w:pPr>
      <w:r>
        <w:rPr/>
        <w:t>We conducted all additional experiments requested in the decision letter (Editor, R1):</w:t>
      </w:r>
    </w:p>
    <w:p>
      <w:pPr>
        <w:pStyle w:val="CompactList"/>
        <w:numPr>
          <w:ilvl w:val="0"/>
          <w:numId w:val="11"/>
        </w:numPr>
        <w:rPr/>
      </w:pPr>
      <w:r>
        <w:rPr/>
        <w:t>We tested exogenously assigned information states, which separate acquisition from utilization (Validation studies, “Exogenous information states”).</w:t>
      </w:r>
    </w:p>
    <w:p>
      <w:pPr>
        <w:pStyle w:val="CompactList"/>
        <w:numPr>
          <w:ilvl w:val="0"/>
          <w:numId w:val="4"/>
        </w:numPr>
        <w:rPr/>
      </w:pPr>
      <w:r>
        <w:rPr/>
        <w:t>We ran an experiment to directly assess whether LLMs compute unit prices correctly (Validation studies, “Reported valuations”).</w:t>
      </w:r>
    </w:p>
    <w:p>
      <w:pPr>
        <w:pStyle w:val="CompactList"/>
        <w:numPr>
          <w:ilvl w:val="0"/>
          <w:numId w:val="4"/>
        </w:numPr>
        <w:rPr/>
      </w:pPr>
      <w:r>
        <w:rPr/>
        <w:t>We provided a unified price attribute to eliminate price partitioning (Study 1, Tool-Lab, “Price partitioning”).</w:t>
      </w:r>
    </w:p>
    <w:p>
      <w:pPr>
        <w:pStyle w:val="CompactList"/>
        <w:numPr>
          <w:ilvl w:val="0"/>
          <w:numId w:val="4"/>
        </w:numPr>
        <w:rPr/>
      </w:pPr>
      <w:r>
        <w:rPr/>
        <w:t>We manipulated purchase volume to test the sensitivity to the benefits of information where acquisition costs are zero (Study 1, Tool-Lab, “Sensitivity to purchase volume”).</w:t>
      </w:r>
    </w:p>
    <w:p>
      <w:pPr>
        <w:pStyle w:val="FirstParagraph"/>
        <w:rPr/>
      </w:pPr>
      <w:r>
        <w:rPr/>
        <w:t>We also adopted Expectimax as a benchmark (Editor), documented the details of the Expectimax benchmark in the appendix to support reproducibility (R1), and reported model identifiers and decoding settings for each LLM (Editor, R1). Together, these revisions clarify the scope of Tool-Lab’s process evidence and strengthen the empirical basis for our interpretation of search and choice.</w:t>
      </w:r>
    </w:p>
    <w:p>
      <w:pPr>
        <w:pStyle w:val="BodyText"/>
        <w:rPr/>
      </w:pPr>
      <w:r>
        <w:rPr>
          <w:b/>
          <w:bCs/>
        </w:rPr>
        <w:t>Generalizability</w:t>
      </w:r>
      <w:r>
        <w:rPr/>
        <w:t xml:space="preserve"> Following the Editor’s, R1’s, and R3’s recommendations, we expanded the sample from two Gemini LLMs to eight commercially deployed LLMs from three major providers, with multiple LLMs from each provider:</w:t>
      </w:r>
    </w:p>
    <w:p>
      <w:pPr>
        <w:pStyle w:val="CompactList"/>
        <w:numPr>
          <w:ilvl w:val="0"/>
          <w:numId w:val="12"/>
        </w:numPr>
        <w:rPr/>
      </w:pPr>
      <w:r>
        <w:rPr/>
        <w:t>Gemini 3.5 Flash Lite, Gemini 3.8 Flash, and Gemini 3.1 Pro from Google;</w:t>
      </w:r>
    </w:p>
    <w:p>
      <w:pPr>
        <w:pStyle w:val="CompactList"/>
        <w:numPr>
          <w:ilvl w:val="0"/>
          <w:numId w:val="4"/>
        </w:numPr>
        <w:rPr/>
      </w:pPr>
      <w:r>
        <w:rPr/>
        <w:t>GPT-5.6 Luna, GPT-5.6 Terra, and GPT-5.6 Sol from OpenAI;</w:t>
      </w:r>
    </w:p>
    <w:p>
      <w:pPr>
        <w:pStyle w:val="CompactList"/>
        <w:numPr>
          <w:ilvl w:val="0"/>
          <w:numId w:val="4"/>
        </w:numPr>
        <w:rPr/>
      </w:pPr>
      <w:r>
        <w:rPr/>
        <w:t>Claude Sonnet 5 and Claude Opus 5 from Anthropic.</w:t>
      </w:r>
    </w:p>
    <w:p>
      <w:pPr>
        <w:pStyle w:val="FirstParagraph"/>
        <w:rPr/>
      </w:pPr>
      <w:r>
        <w:rPr/>
        <w:t>Because Google has since updated Flash Lite, the revised studies use Gemini 3.5 Flash Lite in place of the older Gemini 3.1 Flash Lite. We reran both baseline experiments and both Tool-Lab studies across all eight LLMs. We tested the hypotheses across this sample with a Bayesian multilevel moderated mediation, which allows each path to vary by LLM. To address the concern about prompt sensitivity (R3), we also conducted a prompt-variation study. These additions broaden the empirical scope of our findings and assess their robustness across LLMs, providers, and prompt formulations.</w:t>
      </w:r>
    </w:p>
    <w:p>
      <w:pPr>
        <w:pStyle w:val="BodyText"/>
        <w:rPr/>
      </w:pPr>
      <w:r>
        <w:rPr/>
        <w:t>Together, these revisions strengthen the paper’s evidence while clarifying its scope: how acquisition costs and goal specificity shape diagnostic acquisition and choice optimality across eight LLMs. We also expanded the Limitations and future research section to discuss unresolved mechanisms, model-specific differences, generalizability to other shopping settings, and broader implications for consumer welfare and seller behavior.</w:t>
      </w:r>
    </w:p>
    <w:p>
      <w:pPr>
        <w:pStyle w:val="Normal"/>
        <w:rPr/>
      </w:pPr>
      <w:r>
        <w:rPr/>
      </w:r>
      <w:bookmarkEnd w:id="0"/>
      <w:r>
        <w:br w:type="page"/>
      </w:r>
    </w:p>
    <w:p>
      <w:pPr>
        <w:pStyle w:val="Heading1"/>
        <w:spacing w:before="0" w:after="80"/>
        <w:rPr/>
      </w:pPr>
      <w:bookmarkStart w:id="1" w:name="response-to-the-editor"/>
      <w:r>
        <w:rPr/>
        <w:t>Response to the Editor</w:t>
      </w:r>
    </w:p>
    <w:p>
      <w:pPr>
        <w:pStyle w:val="BlockText"/>
        <w:rPr/>
      </w:pPr>
      <w:r>
        <w:rPr/>
        <w:t>Despite these merits. the manuscript currently makes claims that go substantially beyond what the research design can establish. The central problems concern construct validity, theoretical interpretation, process inference, and generalizability. These are fundamental rather than presentational concerns. I am willing to invite a major and risky revision. A successful revision will require substantial reconceptualization and additional empirical work, not simply reframing the existing analyses.</w:t>
      </w:r>
    </w:p>
    <w:p>
      <w:pPr>
        <w:pStyle w:val="FirstParagraph"/>
        <w:rPr/>
      </w:pPr>
      <w:r>
        <w:rPr>
          <w:b/>
          <w:bCs/>
        </w:rPr>
        <w:t>Response.</w:t>
      </w:r>
      <w:r>
        <w:rPr/>
        <w:t xml:space="preserve"> Thank you very much for your detailed and constructive feedback and for the opportunity to revise the paper. We found your specific guidance particularly helpful in undertaking this major revision. We agree that the concerns you identified were fundamental. We have therefore substantially reconceptualized the paper and conducted additional experiments. Please see the Overview of the revision for a summary of the principal changes. Below, we respond to each of your comments in turn.</w:t>
      </w:r>
    </w:p>
    <w:p>
      <w:pPr>
        <w:pStyle w:val="Heading2"/>
        <w:rPr/>
      </w:pPr>
      <w:bookmarkStart w:id="2" w:name="Xcd6bfcfa4d4bfebfe90a6734371311e82d7354c"/>
      <w:r>
        <w:rPr/>
        <w:t>E1. Clarify what the paper actually establishes and rebuild the theoretical contribution</w:t>
      </w:r>
    </w:p>
    <w:p>
      <w:pPr>
        <w:pStyle w:val="BlockText"/>
        <w:rPr/>
      </w:pPr>
      <w:r>
        <w:rPr/>
        <w:t>The manuscript currently seeks to explain LLM heuristic behavior using two distinct accounts: resource-rational adaptation for more capable models and “synthesis failure” for less capable models. As R1 observes, these are conceptually different explanations operating at different stages of decision making, yet the manuscript does not adequately explain why model capability should activate one rather than the other. R3 goes further and questions whether the evidence identifies resource rationality at all: Tool-Lab observes external information-acquisition behavior, but it does not reveal an LLM’s internal reasoning or establish that search truncation reflects intentional optimization rather than planning limitations, prompt sensitivity, learned statistical regularities, or other mechanisms. The current anthropomorphic language—e.g., “strategically,” “intentionally,” “recognize,” and “maximize”—therefore overstates the evidence.</w:t>
      </w:r>
    </w:p>
    <w:p>
      <w:pPr>
        <w:pStyle w:val="BlockText"/>
        <w:rPr/>
      </w:pPr>
      <w:r>
        <w:rPr/>
        <w:t>The revision should choose a sharper contribution. One promising route is to position the paper around when and how AI shopping agents exhibit marketing-relevant heuristic behavior under information-acquisition constraints, with Tool-Lab as the methodological vehicle for distinguishing acquisition from utilization. Resource rationality can provide a benchmark against which behavior is evaluated, but behavior consistent with resource rationality should not be equated with evidence that resource rationality is the underlying causal process. Similarly, if “synthesis failure” is retained, it should be directly measured rather than inferred residually (R1).</w:t>
      </w:r>
    </w:p>
    <w:p>
      <w:pPr>
        <w:pStyle w:val="FirstParagraph"/>
        <w:rPr/>
      </w:pPr>
      <w:r>
        <w:rPr>
          <w:b/>
          <w:bCs/>
        </w:rPr>
        <w:t>Response.</w:t>
      </w:r>
      <w:r>
        <w:rPr/>
        <w:t xml:space="preserve"> We have followed the route you proposed and substantially rewritten the introduction, literature review, and conceptual development. The revised paper focuses on when and how AI shopping agents exhibit heuristic-like choices under information-acquisition constraints.</w:t>
      </w:r>
    </w:p>
    <w:p>
      <w:pPr>
        <w:pStyle w:val="BodyText"/>
        <w:rPr/>
      </w:pPr>
      <w:r>
        <w:rPr/>
        <w:t>We removed the resource-rationality and synthesis-failure accounts. As you suggested, we retain a normative benchmark without treating it as evidence of an underlying causal process. When appropriate, we compare the LLMs’ search and choices against an Expectimax policy. We now measure directly whether the LLMs utilize the information that they acquire, in two new experiments (Validation studies, “Exogenous information states” and “Reported valuations”; see responses to E4b and E4c).</w:t>
      </w:r>
    </w:p>
    <w:p>
      <w:pPr>
        <w:pStyle w:val="BodyText"/>
        <w:rPr/>
      </w:pPr>
      <w:r>
        <w:rPr/>
        <w:t>We removed anthropomorphic language throughout the paper and use “heuristic-like” to describe observable behavior without attributing intentions to the LLMs. We now present Tool-Lab as an adaptation of information-board process tracing that records which attributes an agent acquires (see response to E3). We also explicitly acknowledge that Tool-Lab does not reveal the internal processes underlying acquisition behavior and discuss alternative explanations for search truncation that our design cannot rule out, although our revised hypotheses are independent of these alternative explanations (see response to R3.4).</w:t>
      </w:r>
      <w:bookmarkEnd w:id="2"/>
    </w:p>
    <w:p>
      <w:pPr>
        <w:pStyle w:val="Heading2"/>
        <w:rPr/>
      </w:pPr>
      <w:bookmarkStart w:id="3" w:name="Xf77332eda19fa59141d7967463d7cc6c2e39626"/>
      <w:r>
        <w:rPr/>
        <w:t>E2. Resolve the construct-validity problem surrounding “LLM size”</w:t>
      </w:r>
    </w:p>
    <w:p>
      <w:pPr>
        <w:pStyle w:val="Heading3"/>
        <w:rPr/>
      </w:pPr>
      <w:bookmarkStart w:id="4" w:name="e2a.-model-size-and-terminology"/>
      <w:r>
        <w:rPr/>
        <w:t>E2a. Model size and terminology</w:t>
      </w:r>
    </w:p>
    <w:p>
      <w:pPr>
        <w:pStyle w:val="BlockText"/>
        <w:rPr/>
      </w:pPr>
      <w:r>
        <w:rPr/>
        <w:t>This is a particularly important concern raised by R2. The manuscript treats Gemini 3.1 Pro and Flash Lite as higher- versus lower-parameter models even though their parameter counts and architecture are proprietary and undisclosed. The two services could differ in training, inference procedures, architecture, tool use, system instructions, or other dimensions besides model size. Thus, the present design identifies differences between two Gemini model tiers, not the causal effect of parameter count or “LLM size” (R2). At minimum, the paper should replace “model size” or “higher/lower parameter” with model tier/capability unless parameter counts can be independently established.</w:t>
      </w:r>
    </w:p>
    <w:p>
      <w:pPr>
        <w:pStyle w:val="FirstParagraph"/>
        <w:rPr/>
      </w:pPr>
      <w:r>
        <w:rPr>
          <w:b/>
          <w:bCs/>
        </w:rPr>
        <w:t>Response.</w:t>
      </w:r>
      <w:r>
        <w:rPr/>
        <w:t xml:space="preserve"> We agree and have removed LLM size as a construct. We now identify each LLM by name. We did not substitute “model tier” or “capability” because provider-defined tiers are not comparable across providers, and our design does not independently measure capability. No hypothesis concerns differences between LLMs.</w:t>
      </w:r>
      <w:bookmarkEnd w:id="4"/>
    </w:p>
    <w:p>
      <w:pPr>
        <w:pStyle w:val="Heading3"/>
        <w:rPr/>
      </w:pPr>
      <w:bookmarkStart w:id="5" w:name="e2b.-replication-across-model-families"/>
      <w:r>
        <w:rPr/>
        <w:t>E2b. Replication across model families</w:t>
      </w:r>
    </w:p>
    <w:p>
      <w:pPr>
        <w:pStyle w:val="BlockText"/>
        <w:rPr/>
      </w:pPr>
      <w:r>
        <w:rPr/>
        <w:t>More importantly, the authors should replicate the central effects across several model families—including at least one non-Gemini frontier family—and, where possible, models with known sizes (R1, R3).</w:t>
      </w:r>
    </w:p>
    <w:p>
      <w:pPr>
        <w:pStyle w:val="FirstParagraph"/>
        <w:rPr/>
      </w:pPr>
      <w:r>
        <w:rPr>
          <w:b/>
          <w:bCs/>
        </w:rPr>
        <w:t>Response.</w:t>
      </w:r>
      <w:r>
        <w:rPr/>
        <w:t xml:space="preserve"> Done. We replicated the studies with eight commercially deployed LLMs from three major providers: Anthropic, OpenAI, and Google (see Overview of the revision).</w:t>
      </w:r>
      <w:bookmarkEnd w:id="5"/>
    </w:p>
    <w:p>
      <w:pPr>
        <w:pStyle w:val="Heading3"/>
        <w:rPr/>
      </w:pPr>
      <w:bookmarkStart w:id="6" w:name="e2c.-universal-statements-about-llms"/>
      <w:r>
        <w:rPr/>
        <w:t>E2c. Universal statements about LLMs</w:t>
      </w:r>
    </w:p>
    <w:p>
      <w:pPr>
        <w:pStyle w:val="BlockText"/>
        <w:rPr/>
      </w:pPr>
      <w:r>
        <w:rPr/>
        <w:t>The hypotheses should also avoid universal statements about “LLMs” when evidence comes from two proprietary models.</w:t>
      </w:r>
    </w:p>
    <w:p>
      <w:pPr>
        <w:pStyle w:val="FirstParagraph"/>
        <w:rPr/>
      </w:pPr>
      <w:r>
        <w:rPr>
          <w:b/>
          <w:bCs/>
        </w:rPr>
        <w:t>Response.</w:t>
      </w:r>
      <w:r>
        <w:rPr/>
        <w:t xml:space="preserve"> We agree that the claims should reflect the scope of the evidence. We addressed this issue in five ways.</w:t>
      </w:r>
    </w:p>
    <w:p>
      <w:pPr>
        <w:pStyle w:val="CompactList"/>
        <w:numPr>
          <w:ilvl w:val="0"/>
          <w:numId w:val="13"/>
        </w:numPr>
        <w:rPr/>
      </w:pPr>
      <w:r>
        <w:rPr/>
        <w:t>We expanded the sample to eight LLMs from three providers (see response to E2b).</w:t>
      </w:r>
    </w:p>
    <w:p>
      <w:pPr>
        <w:pStyle w:val="CompactList"/>
        <w:numPr>
          <w:ilvl w:val="0"/>
          <w:numId w:val="4"/>
        </w:numPr>
        <w:rPr/>
      </w:pPr>
      <w:r>
        <w:rPr/>
        <w:t>We reformulated H1–H3 around acquisition costs, goal specificity, diagnostic acquisition, and choice optimality, without making universal statements about LLMs.</w:t>
      </w:r>
    </w:p>
    <w:p>
      <w:pPr>
        <w:pStyle w:val="CompactList"/>
        <w:numPr>
          <w:ilvl w:val="0"/>
          <w:numId w:val="4"/>
        </w:numPr>
        <w:rPr/>
      </w:pPr>
      <w:r>
        <w:rPr/>
        <w:t>We test the hypotheses using a Bayesian multilevel moderated mediation, which estimates the overall pattern across the sample of LLMs while allowing each path to vary across LLMs (Web Appendix D).</w:t>
      </w:r>
    </w:p>
    <w:p>
      <w:pPr>
        <w:pStyle w:val="CompactList"/>
        <w:numPr>
          <w:ilvl w:val="0"/>
          <w:numId w:val="4"/>
        </w:numPr>
        <w:rPr/>
      </w:pPr>
      <w:r>
        <w:rPr/>
        <w:t>We interpret the results as findings for the LLMs evaluated in our studies.</w:t>
      </w:r>
    </w:p>
    <w:p>
      <w:pPr>
        <w:pStyle w:val="CompactList"/>
        <w:numPr>
          <w:ilvl w:val="0"/>
          <w:numId w:val="4"/>
        </w:numPr>
        <w:rPr/>
      </w:pPr>
      <w:r>
        <w:rPr/>
        <w:t>We explicitly acknowledge the limits of generalizing beyond this sample in the Limitations section.</w:t>
      </w:r>
      <w:bookmarkEnd w:id="3"/>
      <w:bookmarkEnd w:id="6"/>
    </w:p>
    <w:p>
      <w:pPr>
        <w:pStyle w:val="Heading2"/>
        <w:rPr/>
      </w:pPr>
      <w:bookmarkStart w:id="7" w:name="Xe60f4bcf9baebcf9b7f55ee3705fa3aebeb80da"/>
      <w:r>
        <w:rPr/>
        <w:t>E3. Turn Tool-Lab into a demonstrated methodological contribution</w:t>
      </w:r>
    </w:p>
    <w:p>
      <w:pPr>
        <w:pStyle w:val="Heading3"/>
        <w:rPr/>
      </w:pPr>
      <w:bookmarkStart w:id="8" w:name="e3a.-what-tool-lab-measures"/>
      <w:r>
        <w:rPr/>
        <w:t>E3a. What Tool-Lab measures</w:t>
      </w:r>
    </w:p>
    <w:p>
      <w:pPr>
        <w:pStyle w:val="BlockText"/>
        <w:rPr/>
      </w:pPr>
      <w:r>
        <w:rPr/>
        <w:t>All three reviews point toward Tool-Lab as potentially the paper’s strongest asset. However, its contribution needs to be more precisely defined. Tool-Lab traces observable information acquisition and tool calls, not internal reasoning (R3). It should therefore be presented as an AI analogue of information-board/process-tracing methods rather than as direct observation of cognition. The revision should introduce Tool-Lab much earlier, clearly specify what it measures and does not measure,</w:t>
      </w:r>
    </w:p>
    <w:p>
      <w:pPr>
        <w:pStyle w:val="FirstParagraph"/>
        <w:rPr/>
      </w:pPr>
      <w:r>
        <w:rPr>
          <w:b/>
          <w:bCs/>
        </w:rPr>
        <w:t>Response.</w:t>
      </w:r>
      <w:r>
        <w:rPr/>
        <w:t xml:space="preserve"> We have followed your recommendation by introducing Tool-Lab in the Introduction and describing it in a dedicated section before the studies. We present it as an AI analogue of information-board process tracing and specify that it records observable attribute acquisition and tool calls. We also explicitly state that it does not reveal the internal reasoning that produces these behaviors in the Limitations section.</w:t>
      </w:r>
      <w:bookmarkEnd w:id="8"/>
    </w:p>
    <w:p>
      <w:pPr>
        <w:pStyle w:val="Heading3"/>
        <w:rPr/>
      </w:pPr>
      <w:bookmarkStart w:id="9" w:name="e3b.-reproducibility"/>
      <w:r>
        <w:rPr/>
        <w:t>E3b. Reproducibility</w:t>
      </w:r>
    </w:p>
    <w:p>
      <w:pPr>
        <w:pStyle w:val="BlockText"/>
        <w:rPr/>
      </w:pPr>
      <w:r>
        <w:rPr/>
        <w:t>report exact model snapshots, temperature/decoding settings and reproducibility procedures (R1),</w:t>
      </w:r>
    </w:p>
    <w:p>
      <w:pPr>
        <w:pStyle w:val="FirstParagraph"/>
        <w:rPr/>
      </w:pPr>
      <w:r>
        <w:rPr>
          <w:b/>
          <w:bCs/>
        </w:rPr>
        <w:t>Response.</w:t>
      </w:r>
      <w:r>
        <w:rPr/>
        <w:t xml:space="preserve"> We now report the model identifier, decoding settings, and reasoning-effort setting for each LLM (Web Appendix I). We use the providers’ default decoding settings, because our research question concerns out-of-the-box LLM behavior. This choice also accommodates Google and Anthropic’s deprecation of custom sampling parameters (e.g., Temperature or Top-P).</w:t>
      </w:r>
      <w:bookmarkEnd w:id="9"/>
    </w:p>
    <w:p>
      <w:pPr>
        <w:pStyle w:val="Heading3"/>
        <w:rPr/>
      </w:pPr>
      <w:bookmarkStart w:id="10" w:name="e3c.-normative-benchmark"/>
      <w:r>
        <w:rPr/>
        <w:t>E3c. Normative benchmark</w:t>
      </w:r>
    </w:p>
    <w:p>
      <w:pPr>
        <w:pStyle w:val="BlockText"/>
        <w:rPr/>
      </w:pPr>
      <w:r>
        <w:rPr/>
        <w:t>and establish its validity. Particularly useful would be benchmarking observed search against an explicitly specified optimal policy and showing when departures from that benchmark are economically rational versus merely inefficient.</w:t>
      </w:r>
    </w:p>
    <w:p>
      <w:pPr>
        <w:pStyle w:val="FirstParagraph"/>
        <w:rPr/>
      </w:pPr>
      <w:r>
        <w:rPr>
          <w:b/>
          <w:bCs/>
        </w:rPr>
        <w:t>Response.</w:t>
      </w:r>
      <w:r>
        <w:rPr/>
        <w:t xml:space="preserve"> We now compare the LLMs’ search and choices against an explicitly specified normative Expectimax policy (Web Appendix H). A suboptimal choice can still be the normative choice given the attributes the LLM acquired. For example, when cents are not acquired, choosing the alternative with the lower whole-dollar price is the normative choice (Web Appendix H, “Normative benchmark - assigned information states”). To separate such departures from those that the acquired information does not justify, we added a validation study that assigns information states exogenously and tests whether each choice matches the normative choice for that state (Validation studies, “Exogenous information states”; see response to E4c).</w:t>
      </w:r>
      <w:bookmarkEnd w:id="10"/>
    </w:p>
    <w:p>
      <w:pPr>
        <w:pStyle w:val="Heading3"/>
        <w:rPr/>
      </w:pPr>
      <w:bookmarkStart w:id="11" w:name="e3d.-expectimax-benchmark"/>
      <w:r>
        <w:rPr/>
        <w:t>E3d. Expectimax benchmark</w:t>
      </w:r>
    </w:p>
    <w:p>
      <w:pPr>
        <w:pStyle w:val="BlockText"/>
        <w:rPr/>
      </w:pPr>
      <w:r>
        <w:rPr/>
        <w:t>R1 identifies apparent inconsistencies in the current Expectimax benchmark and insufficient information to reproduce its objective function; these need to be resolved.</w:t>
      </w:r>
    </w:p>
    <w:p>
      <w:pPr>
        <w:pStyle w:val="FirstParagraph"/>
        <w:rPr/>
      </w:pPr>
      <w:r>
        <w:rPr>
          <w:b/>
          <w:bCs/>
        </w:rPr>
        <w:t>Response.</w:t>
      </w:r>
      <w:r>
        <w:rPr/>
        <w:t xml:space="preserve"> We have rewritten the Expectimax appendix to provide the details needed to reproduce the benchmark, including its objective function, priors, and optimization procedure. We also verified the accompanying text, tables, and figures for consistency.</w:t>
      </w:r>
      <w:bookmarkEnd w:id="7"/>
      <w:bookmarkEnd w:id="11"/>
    </w:p>
    <w:p>
      <w:pPr>
        <w:pStyle w:val="Heading2"/>
        <w:rPr/>
      </w:pPr>
      <w:bookmarkStart w:id="12" w:name="X2d41488f09427f3a9e49478aba9bf070c598f13"/>
      <w:r>
        <w:rPr/>
        <w:t>E4. Design stronger tests that distinguish competing explanations</w:t>
      </w:r>
    </w:p>
    <w:p>
      <w:pPr>
        <w:pStyle w:val="BlockText"/>
        <w:rPr/>
      </w:pPr>
      <w:r>
        <w:rPr/>
        <w:t>The present evidence is insufficient to distinguish resource-rational search from alternative explanations. R1 offers several constructive avenues that I encourage the authors to pursue.</w:t>
      </w:r>
    </w:p>
    <w:p>
      <w:pPr>
        <w:pStyle w:val="FirstParagraph"/>
        <w:rPr/>
      </w:pPr>
      <w:r>
        <w:rPr>
          <w:b/>
          <w:bCs/>
        </w:rPr>
        <w:t>Response.</w:t>
      </w:r>
      <w:r>
        <w:rPr/>
        <w:t xml:space="preserve"> We conducted all four experiments recommended in the decision letter. Since the revision no longer uses the resource-rationality account (see response to E1), we motivate and interpret each new experiment within the revised framework.</w:t>
      </w:r>
    </w:p>
    <w:p>
      <w:pPr>
        <w:pStyle w:val="Heading3"/>
        <w:rPr/>
      </w:pPr>
      <w:bookmarkStart w:id="13" w:name="e4a.-vary-the-benefit-of-information"/>
      <w:r>
        <w:rPr/>
        <w:t>E4a. Vary the benefit of information</w:t>
      </w:r>
    </w:p>
    <w:p>
      <w:pPr>
        <w:pStyle w:val="BlockText"/>
        <w:rPr/>
      </w:pPr>
      <w:r>
        <w:rPr/>
        <w:t>First, vary the benefit of information while holding its explicit cost fixed to estimate whether the model behaves as if information carries an implicit acquisition cost.</w:t>
      </w:r>
    </w:p>
    <w:p>
      <w:pPr>
        <w:pStyle w:val="FirstParagraph"/>
        <w:rPr/>
      </w:pPr>
      <w:r>
        <w:rPr>
          <w:b/>
          <w:bCs/>
        </w:rPr>
        <w:t>Response.</w:t>
      </w:r>
      <w:r>
        <w:rPr/>
        <w:t xml:space="preserve"> As suggested, in a new experiment, we executed the design requested by R1. Holding the explicit cost at zero, we varied the benefit of information by manipulating purchase volume (1, 5, 50, and 250 bags; Study 1, Tool-Lab, “Sensitivity to purchase volume”). Estimating an internal acquisition cost from this design assumes that the objective that the LLM adopts does not change with purchase volume. Only attributes that are diagnostic under the adopted objective become more valuable to acquire as purchase volume increases. To test this assumption, we used a judge to classify the objective articulated in each session’s reasoning trace before the first acquisition. We selected the judge by its agreement with three independent human coders, blind to the purpose of the experiment, and replicated the results with the second- and third-ranked candidates (Web Appendix E, “Judge selection” and “Robustness to judge selection”). We classified the reasoning traces of Flash and Pro; Flash Lite emits no reasoning before acquisition at its default thinking level (Web Appendix E, “Classification task”). Flash adopted a unit-price objective at every purchase volume and acquired all diagnostic attributes, whereas Pro increasingly adopted a price objective as volume increased, under which cents and weight are non-diagnostic. The design therefore could not disentangle the effect of purchase volume on the benefit of information from its effect on the adopted objective. As a result, an internal acquisition cost cannot be estimated from this design. Nevertheless, our hypotheses do not depend on an estimate of an internal acquisition cost (see response to R1.5a).</w:t>
      </w:r>
      <w:bookmarkEnd w:id="13"/>
    </w:p>
    <w:p>
      <w:pPr>
        <w:pStyle w:val="Heading3"/>
        <w:rPr/>
      </w:pPr>
      <w:bookmarkStart w:id="14" w:name="e4b.-directly-measure-synthesis"/>
      <w:r>
        <w:rPr/>
        <w:t>E4b. Directly measure synthesis</w:t>
      </w:r>
    </w:p>
    <w:p>
      <w:pPr>
        <w:pStyle w:val="BlockText"/>
        <w:rPr/>
      </w:pPr>
      <w:r>
        <w:rPr/>
        <w:t>Second, directly measure synthesis by requiring models to calculate and report intermediate net-value or price-per-unit computations; this would distinguish failure to compute from a different weighting of otherwise correctly computed information.</w:t>
      </w:r>
    </w:p>
    <w:p>
      <w:pPr>
        <w:pStyle w:val="FirstParagraph"/>
        <w:rPr/>
      </w:pPr>
      <w:r>
        <w:rPr>
          <w:b/>
          <w:bCs/>
        </w:rPr>
        <w:t>Response.</w:t>
      </w:r>
      <w:r>
        <w:rPr/>
        <w:t xml:space="preserve"> As requested, in a new experiment, we required the LLMs to report the price metrics they computed for every alternative along with their choice (eight LLMs; both study environments; with and without acquisition cost; Validation studies, “Reported valuations”). We compared each reported value against the attributes the LLM had acquired in that session. We classified each value as correct, an arithmetic failure, a hallucination (a value reported for an attribute never acquired), or correctly reported as “unknown”. This separates arithmetic failure from evaluation failure. We observed no arithmetic failures across all eight LLMs, both study environments, and both cost conditions. Therefore, our results cannot be strictly attributed to arithmetic failure.</w:t>
      </w:r>
      <w:bookmarkEnd w:id="14"/>
    </w:p>
    <w:p>
      <w:pPr>
        <w:pStyle w:val="Heading3"/>
        <w:rPr/>
      </w:pPr>
      <w:bookmarkStart w:id="15" w:name="X48f89b4028429887b957028507786566e4b8fda"/>
      <w:r>
        <w:rPr/>
        <w:t>E4c. Separate acquisition from utilization</w:t>
      </w:r>
    </w:p>
    <w:p>
      <w:pPr>
        <w:pStyle w:val="BlockText"/>
        <w:rPr/>
      </w:pPr>
      <w:r>
        <w:rPr/>
        <w:t>Third, exogenously fix information depth or reveal a predetermined number of attributes to separate acquisition from utilization.</w:t>
      </w:r>
    </w:p>
    <w:p>
      <w:pPr>
        <w:pStyle w:val="FirstParagraph"/>
        <w:rPr/>
      </w:pPr>
      <w:r>
        <w:rPr>
          <w:b/>
          <w:bCs/>
        </w:rPr>
        <w:t>Response.</w:t>
      </w:r>
      <w:r>
        <w:rPr/>
        <w:t xml:space="preserve"> Following your recommendation, we conducted a new experiment in which information states were assigned exogenously through the prompt (eight LLMs; four states in the Study 1 environment and five in the Study 2 environment; Validation studies, “Exogenous information states”). The design includes matched-count states, which hold the number of revealed cells constant while varying whether they are diagnostic or non-diagnostic. For each state, we computed the choice prescribed by the normative Expectimax policy, so that each choice can be scored for state consistency (see response to E3c). When diagnostic attributes were withheld, the choices of seven of the eight LLMs were consistent with the normative Expectimax policy in 99.3% of sessions. These results help distinguish the consequences of missing information from failures to use the information provided.</w:t>
      </w:r>
      <w:bookmarkEnd w:id="15"/>
    </w:p>
    <w:p>
      <w:pPr>
        <w:pStyle w:val="Heading3"/>
        <w:rPr/>
      </w:pPr>
      <w:bookmarkStart w:id="16" w:name="e4d.-price-partitioning-in-tool-lab"/>
      <w:r>
        <w:rPr/>
        <w:t>E4d. Price partitioning in Tool-Lab</w:t>
      </w:r>
    </w:p>
    <w:p>
      <w:pPr>
        <w:pStyle w:val="BlockText"/>
        <w:rPr/>
      </w:pPr>
      <w:r>
        <w:rPr/>
        <w:t>Finally, the current price partitioning in Tool-Lab may itself influence behavior, so a condition in which total price is obtained through a single tool call would help isolate the proposed mechanism (R1). These additions would convert several currently inferred processes into testable ones.</w:t>
      </w:r>
    </w:p>
    <w:p>
      <w:pPr>
        <w:pStyle w:val="FirstParagraph"/>
        <w:rPr/>
      </w:pPr>
      <w:r>
        <w:rPr>
          <w:b/>
          <w:bCs/>
        </w:rPr>
        <w:t>Response.</w:t>
      </w:r>
      <w:r>
        <w:rPr/>
        <w:t xml:space="preserve"> As requested, we ran a new experiment in which price is acquired as a single attribute (Study 1, Tool-Lab, “Price partitioning”). We crossed it with acquisition cost ($0 vs. $10) and goal specificity (vague vs. specific), and re-estimated the moderated mediation. H1–H3 remained supported, indicating that the hypothesized pattern does not depend on partitioning price into separate attributes.</w:t>
      </w:r>
      <w:bookmarkEnd w:id="12"/>
      <w:bookmarkEnd w:id="16"/>
    </w:p>
    <w:p>
      <w:pPr>
        <w:pStyle w:val="Heading2"/>
        <w:rPr/>
      </w:pPr>
      <w:bookmarkStart w:id="17" w:name="Xf0edef8178392e9ebf5fe62f79bd84f1a21fa4f"/>
      <w:r>
        <w:rPr/>
        <w:t>E5. Revisit the heuristic constructs and experimental baselines</w:t>
      </w:r>
    </w:p>
    <w:p>
      <w:pPr>
        <w:pStyle w:val="Heading3"/>
        <w:rPr/>
      </w:pPr>
      <w:bookmarkStart w:id="18" w:name="e5a.-definition-of-heuristic"/>
      <w:r>
        <w:rPr/>
        <w:t>E5a. Definition of heuristic</w:t>
      </w:r>
    </w:p>
    <w:p>
      <w:pPr>
        <w:pStyle w:val="BlockText"/>
        <w:rPr/>
      </w:pPr>
      <w:r>
        <w:rPr/>
        <w:t>R1 raises a useful conceptual issue: “heuristic” alternately means a biased response, reliance on an economically irrelevant cue, and an efficient resource-saving strategy. Those meanings should not be conflated. The paper should define heuristic behavior independently of whether it is normatively good or bad and separately assess its economic consequences.</w:t>
      </w:r>
    </w:p>
    <w:p>
      <w:pPr>
        <w:pStyle w:val="FirstParagraph"/>
        <w:rPr/>
      </w:pPr>
      <w:r>
        <w:rPr>
          <w:b/>
          <w:bCs/>
        </w:rPr>
        <w:t>Response.</w:t>
      </w:r>
      <w:r>
        <w:rPr/>
        <w:t xml:space="preserve"> We agree that heuristic-like behavior and its economic consequences should be defined separately. We have revised the conceptual development to distinguish these concepts and use them consistently throughout the paper (see responses to R1.1a and R1.2):</w:t>
      </w:r>
    </w:p>
    <w:p>
      <w:pPr>
        <w:pStyle w:val="CompactList"/>
        <w:numPr>
          <w:ilvl w:val="0"/>
          <w:numId w:val="2"/>
        </w:numPr>
        <w:rPr/>
      </w:pPr>
      <w:r>
        <w:rPr>
          <w:i/>
          <w:iCs/>
        </w:rPr>
        <w:t>Normative objective.</w:t>
      </w:r>
      <w:r>
        <w:rPr/>
        <w:t xml:space="preserve"> Unit-price minimization is the benchmark against which choices are evaluated.</w:t>
      </w:r>
    </w:p>
    <w:p>
      <w:pPr>
        <w:pStyle w:val="CompactList"/>
        <w:numPr>
          <w:ilvl w:val="0"/>
          <w:numId w:val="2"/>
        </w:numPr>
        <w:rPr/>
      </w:pPr>
      <w:r>
        <w:rPr>
          <w:i/>
          <w:iCs/>
        </w:rPr>
        <w:t>Optimal vs. suboptimal choices.</w:t>
      </w:r>
      <w:r>
        <w:rPr/>
        <w:t xml:space="preserve"> A choice is optimal if it minimizes unit price and suboptimal if it does not.</w:t>
      </w:r>
    </w:p>
    <w:p>
      <w:pPr>
        <w:pStyle w:val="CompactList"/>
        <w:numPr>
          <w:ilvl w:val="0"/>
          <w:numId w:val="2"/>
        </w:numPr>
        <w:rPr/>
      </w:pPr>
      <w:r>
        <w:rPr>
          <w:i/>
          <w:iCs/>
        </w:rPr>
        <w:t>Heuristic-like behavior.</w:t>
      </w:r>
      <w:r>
        <w:rPr/>
        <w:t xml:space="preserve"> A resource-conserving departure from full evaluation of the normative objective, either by substituting a simpler objective or by evaluating the normative objective on a reduced set of attributes.</w:t>
      </w:r>
      <w:bookmarkEnd w:id="18"/>
    </w:p>
    <w:p>
      <w:pPr>
        <w:pStyle w:val="Heading3"/>
        <w:rPr/>
      </w:pPr>
      <w:bookmarkStart w:id="19" w:name="e5b.-realistic-cent-ending-baseline"/>
      <w:r>
        <w:rPr/>
        <w:t>E5b. Realistic cent-ending baseline</w:t>
      </w:r>
    </w:p>
    <w:p>
      <w:pPr>
        <w:pStyle w:val="BlockText"/>
        <w:rPr/>
      </w:pPr>
      <w:r>
        <w:rPr/>
        <w:t>The just-below-pricing study also uses a restrictive $X.00 versus $X–1.99 comparison. Because real prices have heterogeneous cent endings, R1 recommends a more realistic baseline based on the observed price-ending distribution; this would allow the authors to establish whether the .99 result is a general whole-dollar heuristic or an extreme left-digit case (R1). I agree that such a replication would materially strengthen the phenomenon.</w:t>
      </w:r>
    </w:p>
    <w:p>
      <w:pPr>
        <w:pStyle w:val="FirstParagraph"/>
        <w:rPr/>
      </w:pPr>
      <w:r>
        <w:rPr>
          <w:b/>
          <w:bCs/>
        </w:rPr>
        <w:t>Response.</w:t>
      </w:r>
      <w:r>
        <w:rPr/>
        <w:t xml:space="preserve"> Following your and R1’s recommendations, we replaced the original Study 1 baseline with a new experiment in which cents are drawn from the empirical distribution of coffee prices (1,014 choice sets; eight LLMs). For each LLM, we compare the ratio of cent-to-dollar sensitivity with the normative benchmark of one.</w:t>
      </w:r>
      <w:bookmarkEnd w:id="17"/>
      <w:bookmarkEnd w:id="19"/>
    </w:p>
    <w:p>
      <w:pPr>
        <w:pStyle w:val="Heading2"/>
        <w:rPr/>
      </w:pPr>
      <w:bookmarkStart w:id="20" w:name="X682326e79c65611bbfc5cf468d271e29da2710d"/>
      <w:r>
        <w:rPr/>
        <w:t>E6. Sharpen the marketing contribution and calibrate the claims</w:t>
      </w:r>
    </w:p>
    <w:p>
      <w:pPr>
        <w:pStyle w:val="Heading3"/>
        <w:rPr/>
      </w:pPr>
      <w:bookmarkStart w:id="21" w:name="Xeede579d516b593ccee73cc65174928a748f782"/>
      <w:r>
        <w:rPr/>
        <w:t>E6a. Engagement with the AI and marketing literatures</w:t>
      </w:r>
    </w:p>
    <w:p>
      <w:pPr>
        <w:pStyle w:val="BlockText"/>
        <w:rPr/>
      </w:pPr>
      <w:r>
        <w:rPr/>
        <w:t>The paper should engage more deeply with both the broader AI literature on cognitive biases, tool use, search, planning, and model scaling (R1, R3) and the marketing literature on surrogate consumers and AI-mediated decision making.</w:t>
      </w:r>
    </w:p>
    <w:p>
      <w:pPr>
        <w:pStyle w:val="FirstParagraph"/>
        <w:rPr/>
      </w:pPr>
      <w:r>
        <w:rPr>
          <w:b/>
          <w:bCs/>
        </w:rPr>
        <w:t>Response.</w:t>
      </w:r>
      <w:r>
        <w:rPr/>
        <w:t xml:space="preserve"> Following your suggestion, we expanded and reorganized the literature review. We engage with recent large-scale benchmarks of biases in LLMs (Literature review, “The rationality paradox”; see response to R1.1d). We ground the delegation setting in the marketing literature on surrogate consumers and AI shopping agents (Literature review, “AI agents as surrogate consumers”). We also distinguish the abstract reasoning tasks commonly studied in computer science research on LLM biases from the marketing pricing cues examined here (Literature review, “Marketing pricing cues”).</w:t>
      </w:r>
      <w:bookmarkEnd w:id="21"/>
    </w:p>
    <w:p>
      <w:pPr>
        <w:pStyle w:val="Heading3"/>
        <w:rPr/>
      </w:pPr>
      <w:bookmarkStart w:id="22" w:name="X9d0dd4fce9885825fa1c872662f1dd2219e059b"/>
      <w:r>
        <w:rPr/>
        <w:t>E6b. Why the findings matter for marketing</w:t>
      </w:r>
    </w:p>
    <w:p>
      <w:pPr>
        <w:pStyle w:val="BlockText"/>
        <w:rPr/>
      </w:pPr>
      <w:r>
        <w:rPr/>
        <w:t>At the same time, the revision should make clearer why these findings matter specifically for marketing. The strongest opportunity is not simply that “LLMs have human biases,” which is already known, but that marketing cues designed for human bounded rationality may continue to influence delegated AI purchasing and that their effectiveness may depend on the information architecture through which agents shop.</w:t>
      </w:r>
    </w:p>
    <w:p>
      <w:pPr>
        <w:pStyle w:val="FirstParagraph"/>
        <w:rPr/>
      </w:pPr>
      <w:r>
        <w:rPr>
          <w:b/>
          <w:bCs/>
        </w:rPr>
        <w:t>Response.</w:t>
      </w:r>
      <w:r>
        <w:rPr/>
        <w:t xml:space="preserve"> Thank you very much for this suggestion. We have adopted the positioning you suggested (see Overview of the revision). The Introduction motivates the paper with pricing cues designed for human bounded rationality, and asks whether they continue to influence delegated AI purchasing. Our theoretical contribution centers on the conditions under which these cues influence choice. The revised framework proposes that susceptibility depends on the information state in which an agent chooses, which is shaped jointly by the retailer’s information architecture and the consumer’s delegation instructions. It leads to important managerial implications for retailers, consumers, AI agent developers, and regulators (see response to R1.1c). The revised positioning is much clearer, and the resulting contribution is more focused.</w:t>
      </w:r>
      <w:bookmarkEnd w:id="22"/>
    </w:p>
    <w:p>
      <w:pPr>
        <w:pStyle w:val="Heading3"/>
        <w:rPr/>
      </w:pPr>
      <w:bookmarkStart w:id="23" w:name="X940365a0f6346bdd685171aca200a5154f7b822"/>
      <w:r>
        <w:rPr/>
        <w:t>E6c. Practical implications, consumer welfare, and ethics</w:t>
      </w:r>
    </w:p>
    <w:p>
      <w:pPr>
        <w:pStyle w:val="BlockText"/>
        <w:rPr/>
      </w:pPr>
      <w:r>
        <w:rPr/>
        <w:t>The practical implications should likewise distinguish evidence from speculation. Claims that retailers can deliberately create information friction to induce heuristic purchasing, for example, go beyond the current two-model laboratory evidence and raise consumer-welfare and ethical questions that deserve explicit consideration.</w:t>
      </w:r>
    </w:p>
    <w:p>
      <w:pPr>
        <w:pStyle w:val="FirstParagraph"/>
        <w:rPr/>
      </w:pPr>
      <w:r>
        <w:rPr>
          <w:b/>
          <w:bCs/>
        </w:rPr>
        <w:t>Response.</w:t>
      </w:r>
      <w:r>
        <w:rPr/>
        <w:t xml:space="preserve"> We agree and we have rewritten the Managerial implications section to ground each recommendation in a reported finding and to avoid presenting potential applications as demonstrated effects.</w:t>
      </w:r>
    </w:p>
    <w:p>
      <w:pPr>
        <w:pStyle w:val="BodyText"/>
        <w:rPr/>
      </w:pPr>
      <w:r>
        <w:rPr/>
        <w:t>We thank you once again for your encouragement and guidance, and the opportunity to revise. We hope that the revamped positioning, conceptual framework, and new studies together make for a strong revision. We eagerly look forward to hearing your reaction.</w:t>
      </w:r>
    </w:p>
    <w:p>
      <w:pPr>
        <w:pStyle w:val="Normal"/>
        <w:rPr/>
      </w:pPr>
      <w:r>
        <w:rPr/>
      </w:r>
      <w:bookmarkEnd w:id="1"/>
      <w:bookmarkEnd w:id="20"/>
      <w:bookmarkEnd w:id="23"/>
      <w:r>
        <w:br w:type="page"/>
      </w:r>
    </w:p>
    <w:p>
      <w:pPr>
        <w:pStyle w:val="Heading1"/>
        <w:spacing w:before="0" w:after="80"/>
        <w:rPr/>
      </w:pPr>
      <w:bookmarkStart w:id="24" w:name="response-to-reviewer-1"/>
      <w:r>
        <w:rPr/>
        <w:t>Response to Reviewer 1</w:t>
      </w:r>
    </w:p>
    <w:p>
      <w:pPr>
        <w:pStyle w:val="Heading2"/>
        <w:rPr/>
      </w:pPr>
      <w:bookmarkStart w:id="25" w:name="r1.1.-positioning"/>
      <w:r>
        <w:rPr/>
        <w:t>R1.1. Positioning</w:t>
      </w:r>
    </w:p>
    <w:p>
      <w:pPr>
        <w:pStyle w:val="BlockText"/>
        <w:rPr/>
      </w:pPr>
      <w:r>
        <w:rPr/>
        <w:t>Currently the paper is written in a haphazard way that makes it hard to follow, and I would strongly recommend a substantial rewrite before the empirical content can be evaluated fairly. Four issues –</w:t>
      </w:r>
    </w:p>
    <w:p>
      <w:pPr>
        <w:pStyle w:val="Heading3"/>
        <w:rPr/>
      </w:pPr>
      <w:bookmarkStart w:id="26" w:name="X74f793fafb07fab2b9acaa9afc67fc016eb8873"/>
      <w:r>
        <w:rPr/>
        <w:t>R1.1a. Unifying framework and undefined terms</w:t>
      </w:r>
    </w:p>
    <w:p>
      <w:pPr>
        <w:pStyle w:val="BlockText"/>
        <w:rPr/>
      </w:pPr>
      <w:r>
        <w:rPr/>
        <w:t>The paper claims “marketing research currently lacks a unifying framework” for when AI acts rationally versus heuristically, yet the introduction never explains what that framework is. Key terms — “synthesis failure,” “resource rationality” — are likewise never defined.</w:t>
      </w:r>
    </w:p>
    <w:p>
      <w:pPr>
        <w:pStyle w:val="FirstParagraph"/>
        <w:rPr/>
      </w:pPr>
      <w:r>
        <w:rPr>
          <w:b/>
          <w:bCs/>
        </w:rPr>
        <w:t>Response.</w:t>
      </w:r>
      <w:r>
        <w:rPr/>
        <w:t xml:space="preserve"> Thank you for your detailed and constructive review. We agree that the original introduction did not explain the framework and that key terms were not defined. We removed the “unifying framework” claim. The introduction now states the gap (Introduction, third paragraph) and the framework (Introduction, fourth paragraph) before any study is described. The Conceptual development section formalizes the framework as a moderated mediation (H1–H3; Figure 1).</w:t>
      </w:r>
    </w:p>
    <w:p>
      <w:pPr>
        <w:pStyle w:val="BodyText"/>
        <w:rPr/>
      </w:pPr>
      <w:r>
        <w:rPr/>
        <w:t>As part of the reconceptualization (see response to E1), the revision no longer relies on “synthesis failure” or “resource rationality.” Instead, each construct that is used is defined early and explicitly:</w:t>
      </w:r>
    </w:p>
    <w:p>
      <w:pPr>
        <w:pStyle w:val="CompactList"/>
        <w:numPr>
          <w:ilvl w:val="0"/>
          <w:numId w:val="2"/>
        </w:numPr>
        <w:rPr/>
      </w:pPr>
      <w:r>
        <w:rPr>
          <w:i/>
          <w:iCs/>
        </w:rPr>
        <w:t>Normative objective</w:t>
      </w:r>
      <w:r>
        <w:rPr/>
        <w:t xml:space="preserve">, </w:t>
      </w:r>
      <w:r>
        <w:rPr>
          <w:i/>
          <w:iCs/>
        </w:rPr>
        <w:t>choice suboptimality</w:t>
      </w:r>
      <w:r>
        <w:rPr/>
        <w:t xml:space="preserve">, and </w:t>
      </w:r>
      <w:r>
        <w:rPr>
          <w:i/>
          <w:iCs/>
        </w:rPr>
        <w:t>heuristic</w:t>
      </w:r>
      <w:r>
        <w:rPr/>
        <w:t xml:space="preserve"> (Conceptual development, “Normative and heuristic objectives,” sixth paragraph).</w:t>
      </w:r>
    </w:p>
    <w:p>
      <w:pPr>
        <w:pStyle w:val="CompactList"/>
        <w:numPr>
          <w:ilvl w:val="0"/>
          <w:numId w:val="2"/>
        </w:numPr>
        <w:rPr/>
      </w:pPr>
      <w:r>
        <w:rPr>
          <w:i/>
          <w:iCs/>
        </w:rPr>
        <w:t>Diagnostic</w:t>
      </w:r>
      <w:r>
        <w:rPr/>
        <w:t xml:space="preserve"> and </w:t>
      </w:r>
      <w:r>
        <w:rPr>
          <w:i/>
          <w:iCs/>
        </w:rPr>
        <w:t>non-diagnostic attributes</w:t>
      </w:r>
      <w:r>
        <w:rPr/>
        <w:t xml:space="preserve"> (Conceptual development, “Normative and heuristic objectives,” seventh paragraph).</w:t>
      </w:r>
    </w:p>
    <w:p>
      <w:pPr>
        <w:pStyle w:val="CompactList"/>
        <w:numPr>
          <w:ilvl w:val="0"/>
          <w:numId w:val="2"/>
        </w:numPr>
        <w:rPr/>
      </w:pPr>
      <w:r>
        <w:rPr>
          <w:i/>
          <w:iCs/>
        </w:rPr>
        <w:t>Acquisition cost</w:t>
      </w:r>
      <w:r>
        <w:rPr/>
        <w:t xml:space="preserve"> (Conceptual development, “Acquisition costs,” second paragraph).</w:t>
      </w:r>
    </w:p>
    <w:p>
      <w:pPr>
        <w:pStyle w:val="CompactList"/>
        <w:numPr>
          <w:ilvl w:val="0"/>
          <w:numId w:val="2"/>
        </w:numPr>
        <w:rPr/>
      </w:pPr>
      <w:r>
        <w:rPr>
          <w:i/>
          <w:iCs/>
        </w:rPr>
        <w:t>Specific</w:t>
      </w:r>
      <w:r>
        <w:rPr/>
        <w:t xml:space="preserve"> and </w:t>
      </w:r>
      <w:r>
        <w:rPr>
          <w:i/>
          <w:iCs/>
        </w:rPr>
        <w:t>vague goal prompts</w:t>
      </w:r>
      <w:r>
        <w:rPr/>
        <w:t xml:space="preserve"> (Conceptual development, “Goal specificity,” second paragraph).</w:t>
      </w:r>
    </w:p>
    <w:p>
      <w:pPr>
        <w:pStyle w:val="CompactList"/>
        <w:numPr>
          <w:ilvl w:val="0"/>
          <w:numId w:val="2"/>
        </w:numPr>
        <w:rPr/>
      </w:pPr>
      <w:r>
        <w:rPr>
          <w:i/>
          <w:iCs/>
        </w:rPr>
        <w:t>Diagnostic acquisition</w:t>
      </w:r>
      <w:r>
        <w:rPr/>
        <w:t xml:space="preserve"> and </w:t>
      </w:r>
      <w:r>
        <w:rPr>
          <w:i/>
          <w:iCs/>
        </w:rPr>
        <w:t>choice optimality</w:t>
      </w:r>
      <w:r>
        <w:rPr/>
        <w:t xml:space="preserve"> (Study 1, Tool-Lab, fourth paragraph).</w:t>
      </w:r>
      <w:bookmarkEnd w:id="26"/>
    </w:p>
    <w:p>
      <w:pPr>
        <w:pStyle w:val="Heading3"/>
        <w:rPr/>
      </w:pPr>
      <w:bookmarkStart w:id="27" w:name="r1.1b.-what-the-authors-do-and-find"/>
      <w:r>
        <w:rPr/>
        <w:t>R1.1b. What the authors do and find</w:t>
      </w:r>
    </w:p>
    <w:p>
      <w:pPr>
        <w:pStyle w:val="BlockText"/>
        <w:rPr/>
      </w:pPr>
      <w:r>
        <w:rPr/>
        <w:t>The introduction never states plainly what the authors do or find; a reader reaches page 5 without knowing the studies or the results.</w:t>
      </w:r>
    </w:p>
    <w:p>
      <w:pPr>
        <w:pStyle w:val="FirstParagraph"/>
        <w:rPr/>
      </w:pPr>
      <w:r>
        <w:rPr>
          <w:b/>
          <w:bCs/>
        </w:rPr>
        <w:t>Response.</w:t>
      </w:r>
      <w:r>
        <w:rPr/>
        <w:t xml:space="preserve"> We agree that the original introduction did not state what we do and find. The revised introduction now states the design (Introduction, sixth paragraph) and the findings (Introduction, seventh paragraph), immediately after introducing the framework and Tool-Lab. It then states the three contributions (Introduction, eighth paragraph) and the implications for each audience (Introduction, ninth paragraph; see response to R1.1c).</w:t>
      </w:r>
      <w:bookmarkEnd w:id="27"/>
    </w:p>
    <w:p>
      <w:pPr>
        <w:pStyle w:val="Heading3"/>
        <w:rPr/>
      </w:pPr>
      <w:bookmarkStart w:id="28" w:name="r1.1c.-audiences"/>
      <w:r>
        <w:rPr/>
        <w:t>R1.1c. Audiences</w:t>
      </w:r>
    </w:p>
    <w:p>
      <w:pPr>
        <w:pStyle w:val="BlockText"/>
        <w:rPr/>
      </w:pPr>
      <w:r>
        <w:rPr/>
        <w:t>The paper does not identify who the research is for. Three audiences appear across pp.36–38 — retailers, consumers, and platform designers — and should be stated upfront, with how the research serves each.</w:t>
      </w:r>
    </w:p>
    <w:p>
      <w:pPr>
        <w:pStyle w:val="FirstParagraph"/>
        <w:rPr/>
      </w:pPr>
      <w:r>
        <w:rPr>
          <w:b/>
          <w:bCs/>
        </w:rPr>
        <w:t>Response.</w:t>
      </w:r>
      <w:r>
        <w:rPr/>
        <w:t xml:space="preserve"> We agree that the audiences should be stated upfront. The introduction now states four audiences (i.e., retailers, consumers, AI agent developers, and regulators) and implications for each upfront (Introduction, ninth paragraph). Regulators are a new addition, because our findings bear on disclosure rules such as unit-price requirements (Managerial implications, “Regulators”). The Managerial implications section is organized around the same four audiences (Managerial implications, “Retailers,” “Consumers,” “AI agent developers,” and “Regulators”).</w:t>
      </w:r>
      <w:bookmarkEnd w:id="28"/>
    </w:p>
    <w:p>
      <w:pPr>
        <w:pStyle w:val="Heading3"/>
        <w:rPr/>
      </w:pPr>
      <w:bookmarkStart w:id="29" w:name="X4cfcba18d1eee593e9cb02cd6e726c65b4f294e"/>
      <w:r>
        <w:rPr/>
        <w:t>R1.1d. Engagement with the heuristics-and-biases literature</w:t>
      </w:r>
    </w:p>
    <w:p>
      <w:pPr>
        <w:pStyle w:val="BlockText"/>
        <w:rPr/>
      </w:pPr>
      <w:r>
        <w:rPr/>
        <w:t>The authors need to actively engage with the broader literature on documented heuristics and biases. Two recent large-scale assessments of cognitive bias across models (Malberg et al. 2025; Chen et al. 2025) test many more models with published parameter counts and reach mixed conclusions about scale.</w:t>
      </w:r>
    </w:p>
    <w:p>
      <w:pPr>
        <w:pStyle w:val="BlockText"/>
        <w:rPr/>
      </w:pPr>
      <w:r>
        <w:rPr/>
        <w:t>Notably, the literature is not conclusive on the direction of LLM size and heuristics, which is the gap. The authors substantially under-sell what is genuinely theirs: discuss how many papers work on just-below pricing and discount framing. The authors have chosen two heuristics that are specifically marketing phenomena and that, as they note on p.40, “directly compete with exact utility calculation” — which is exactly what makes this a marketing paper.</w:t>
      </w:r>
    </w:p>
    <w:p>
      <w:pPr>
        <w:pStyle w:val="FirstParagraph"/>
        <w:rPr/>
      </w:pPr>
      <w:r>
        <w:rPr>
          <w:b/>
          <w:bCs/>
        </w:rPr>
        <w:t>Response.</w:t>
      </w:r>
      <w:r>
        <w:rPr/>
        <w:t xml:space="preserve"> We agree that the paper should engage with this literature and make the marketing specificity of the two cues explicit. The revised literature review engages with recent empirical works on “cognitive bias” in LLMs, including the references you mentioned (Echterhoff et al. 2024; Filandrianos et al. 2025; Knipper et al. 2025; Malberg et al. 2025; Literature review, “The rationality paradox,” second paragraph). Because the revision no longer uses LLM size as a construct, we do not position the paper on the direction of this relationship (see response to E2).</w:t>
      </w:r>
    </w:p>
    <w:p>
      <w:pPr>
        <w:pStyle w:val="BodyText"/>
        <w:rPr/>
      </w:pPr>
      <w:r>
        <w:rPr/>
        <w:t>We also make the marketing specificity of the two cues explicit in a new subsection (Literature review, “Marketing pricing cues”). It contrasts the abstract logic puzzles common in computer science research on LLM biases with just-below pricing and promotional discount framing, which directly compete with unit-price calculation. Therefore, the choice of these two cues is now positioned as what makes this a marketing paper.</w:t>
      </w:r>
      <w:bookmarkEnd w:id="25"/>
      <w:bookmarkEnd w:id="29"/>
    </w:p>
    <w:p>
      <w:pPr>
        <w:pStyle w:val="Heading2"/>
        <w:rPr/>
      </w:pPr>
      <w:bookmarkStart w:id="30" w:name="r1.2.-heuristic-and-bias"/>
      <w:r>
        <w:rPr/>
        <w:t>R1.2. Heuristic and bias</w:t>
      </w:r>
    </w:p>
    <w:p>
      <w:pPr>
        <w:pStyle w:val="BlockText"/>
        <w:rPr/>
      </w:pPr>
      <w:r>
        <w:rPr/>
        <w:t>This is the core of the paper and is never properly defined. In Study 1, “heuristic” means a bias — over-weighting a .99 ending relative to its economic content. In Study 2, it means responsiveness to a promotional signal carrying no economic content. Elsewhere (abstract; p.36) it means an efficient, resource-rational adaptation — the correct thing to do. These are not the same object, and the terms need to be defined formally.</w:t>
      </w:r>
    </w:p>
    <w:p>
      <w:pPr>
        <w:pStyle w:val="FirstParagraph"/>
        <w:rPr/>
      </w:pPr>
      <w:r>
        <w:rPr>
          <w:b/>
          <w:bCs/>
        </w:rPr>
        <w:t>Response.</w:t>
      </w:r>
      <w:r>
        <w:rPr/>
        <w:t xml:space="preserve"> We agree that the original manuscript used “heuristic” in several different senses. The revision defines heuristic formally (Conceptual development, “Normative and heuristic objectives,” sixth paragraph) and applies one definition across both studies (see response to E5a). In each study, a heuristic is a departure from full evaluation of the normative objective, either by objective substitution or by omitting attributes with lower value of information (Conceptual development, “Goal specificity,” third paragraph).</w:t>
      </w:r>
    </w:p>
    <w:p>
      <w:pPr>
        <w:pStyle w:val="BodyText"/>
        <w:rPr/>
      </w:pPr>
      <w:r>
        <w:rPr/>
        <w:t>Resource-rational adaptation now is a case of the second route—omitting diagnostic attributes whose expected value of information is low relative to their acquisition cost. However, we no longer interpret such omission as evidence of resource rationality (following the Editor’s comments; see response to E1), and do not distinguish between the two routes in our hypotheses.</w:t>
      </w:r>
      <w:bookmarkEnd w:id="30"/>
    </w:p>
    <w:p>
      <w:pPr>
        <w:pStyle w:val="Heading2"/>
        <w:rPr/>
      </w:pPr>
      <w:bookmarkStart w:id="31" w:name="r1.3.-central-contribution"/>
      <w:r>
        <w:rPr/>
        <w:t>R1.3. Central contribution</w:t>
      </w:r>
    </w:p>
    <w:p>
      <w:pPr>
        <w:pStyle w:val="BlockText"/>
        <w:rPr/>
      </w:pPr>
      <w:r>
        <w:rPr/>
        <w:t>The paper is also confused in its focus. The studies document two heuristics — (a) smaller whole-dollar prices and (b) discount percentages — and attempt to explain both with a framework using resource rationality for larger LLMs and synthesis failure for smaller LLMs. A few issues –</w:t>
      </w:r>
    </w:p>
    <w:p>
      <w:pPr>
        <w:pStyle w:val="BlockText"/>
        <w:numPr>
          <w:ilvl w:val="0"/>
          <w:numId w:val="14"/>
        </w:numPr>
        <w:ind w:hanging="360" w:left="720" w:right="480"/>
        <w:rPr/>
      </w:pPr>
      <w:r>
        <w:rPr/>
        <w:t>These are different theories with different normative anchors — resource rationality (Lieder and Griffiths 2020) concerns optimal allocation of limited resources, whereas synthesis failure is a hard capacity limit, i.e. classical bounded rationality.</w:t>
      </w:r>
    </w:p>
    <w:p>
      <w:pPr>
        <w:pStyle w:val="BlockText"/>
        <w:numPr>
          <w:ilvl w:val="0"/>
          <w:numId w:val="7"/>
        </w:numPr>
        <w:ind w:hanging="360" w:left="720" w:right="480"/>
        <w:rPr/>
      </w:pPr>
      <w:r>
        <w:rPr/>
        <w:t>They activate at different points of the mediation — resource rationality explains why bigger LLMs search less (mediator) under cost constraints (X), while synthesis failure explains why smaller LLMs fail to produce the right output (Y) even after assimilating information (mediator). But there is no explanation for why this differential activation occurs by LLM size.</w:t>
      </w:r>
    </w:p>
    <w:p>
      <w:pPr>
        <w:pStyle w:val="BlockText"/>
        <w:numPr>
          <w:ilvl w:val="0"/>
          <w:numId w:val="7"/>
        </w:numPr>
        <w:ind w:hanging="360" w:left="720" w:right="480"/>
        <w:rPr/>
      </w:pPr>
      <w:r>
        <w:rPr/>
        <w:t>The reader cannot tell whether the contribution is the theoretical framework or the heuristic phenomena. If theoretical, Studies 2a and 2b repeat 1a and 1b; if the phenomena, the current theorization is insufficient.</w:t>
      </w:r>
    </w:p>
    <w:p>
      <w:pPr>
        <w:pStyle w:val="BlockText"/>
        <w:rPr/>
      </w:pPr>
      <w:r>
        <w:rPr/>
        <w:t>The authors need to make a choice –</w:t>
      </w:r>
    </w:p>
    <w:p>
      <w:pPr>
        <w:pStyle w:val="BlockText"/>
        <w:numPr>
          <w:ilvl w:val="0"/>
          <w:numId w:val="15"/>
        </w:numPr>
        <w:ind w:hanging="360" w:left="720" w:right="480"/>
        <w:rPr/>
      </w:pPr>
      <w:r>
        <w:rPr/>
        <w:t>Phenomena-forward: explain both heuristics with separate mediation models for small and large LLMs. Here resource rationality is the more interesting of the two and deserves more time; or,</w:t>
      </w:r>
    </w:p>
    <w:p>
      <w:pPr>
        <w:pStyle w:val="BlockText"/>
        <w:numPr>
          <w:ilvl w:val="0"/>
          <w:numId w:val="7"/>
        </w:numPr>
        <w:ind w:hanging="360" w:left="720" w:right="480"/>
        <w:rPr/>
      </w:pPr>
      <w:r>
        <w:rPr/>
        <w:t>Unifying framework: explain how size moderates the mediation — why resource rationality activates for larger LLMs and not smaller, or what produces synthesis failure in smaller ones. Here one heuristic suffices to set up the claim, with the second showing generalizability in the appendix.</w:t>
      </w:r>
    </w:p>
    <w:p>
      <w:pPr>
        <w:pStyle w:val="FirstParagraph"/>
        <w:rPr/>
      </w:pPr>
      <w:r>
        <w:rPr>
          <w:b/>
          <w:bCs/>
        </w:rPr>
        <w:t>Response.</w:t>
      </w:r>
      <w:r>
        <w:rPr/>
        <w:t xml:space="preserve"> We agree that the original manuscript combined two theories without explaining why LLM size would activate one rather than the other. Following your and the Editor’s recommendations, the revision removes both accounts and the LLM-size moderator (see responses to E1 and E2).</w:t>
      </w:r>
    </w:p>
    <w:p>
      <w:pPr>
        <w:pStyle w:val="BodyText"/>
        <w:rPr/>
      </w:pPr>
      <w:r>
        <w:rPr/>
        <w:t>We chose the unifying framework, with a single moderated mediation tested across both pricing cues (Conceptual development, “Goal specificity”; H1–H3; Figure 1). Differences between the eight LLMs are captured by a multilevel model (Web Appendix D; see response to E2c). The theoretical contribution is therefore the framework. The two pricing cues are the marketing phenomena through which it is tested.</w:t>
      </w:r>
    </w:p>
    <w:p>
      <w:pPr>
        <w:pStyle w:val="BodyText"/>
        <w:rPr/>
      </w:pPr>
      <w:r>
        <w:rPr/>
        <w:t>We test the framework in two studies. To demonstrate the generalizability of the framework beyond just-below pricing, Study 2 tests the hypotheses for a different cue (i.e., promotional discount framing) with a more complex structure. Compared to Study 1, in Study 2 we have,</w:t>
      </w:r>
    </w:p>
    <w:p>
      <w:pPr>
        <w:pStyle w:val="CompactList"/>
        <w:numPr>
          <w:ilvl w:val="0"/>
          <w:numId w:val="16"/>
        </w:numPr>
        <w:rPr/>
      </w:pPr>
      <w:r>
        <w:rPr/>
        <w:t>more complex arithmetic for computing unit price of a discounted item (Conceptual development, “Normative and heuristic objectives,” fourth paragraph)</w:t>
      </w:r>
    </w:p>
    <w:p>
      <w:pPr>
        <w:pStyle w:val="CompactList"/>
        <w:numPr>
          <w:ilvl w:val="0"/>
          <w:numId w:val="4"/>
        </w:numPr>
        <w:rPr/>
      </w:pPr>
      <w:r>
        <w:rPr/>
        <w:t>three (vs. two) alternatives in the Tool-Lab choice set (Study 2, Tool-Lab, first paragraph)</w:t>
      </w:r>
    </w:p>
    <w:p>
      <w:pPr>
        <w:pStyle w:val="CompactList"/>
        <w:numPr>
          <w:ilvl w:val="0"/>
          <w:numId w:val="4"/>
        </w:numPr>
        <w:rPr/>
      </w:pPr>
      <w:r>
        <w:rPr/>
        <w:t>a higher expected value of information for the discount than for cents (Study 2, Tool-Lab, second paragraph).</w:t>
      </w:r>
    </w:p>
    <w:p>
      <w:pPr>
        <w:pStyle w:val="FirstParagraph"/>
        <w:rPr/>
      </w:pPr>
      <w:r>
        <w:rPr/>
        <w:t>Therefore, Study 2 does not repeat Study 1, but tests the same framework under a different cue with a more complex structure.</w:t>
      </w:r>
      <w:bookmarkEnd w:id="31"/>
    </w:p>
    <w:p>
      <w:pPr>
        <w:pStyle w:val="Heading2"/>
        <w:rPr/>
      </w:pPr>
      <w:bookmarkStart w:id="32" w:name="r1.4.-study-1a-design"/>
      <w:r>
        <w:rPr/>
        <w:t>R1.4. Study 1a design</w:t>
      </w:r>
    </w:p>
    <w:p>
      <w:pPr>
        <w:pStyle w:val="BlockText"/>
        <w:rPr/>
      </w:pPr>
      <w:r>
        <w:rPr/>
        <w:t>The current H1 tries to unify Studies 1a and 2a, but Study 1a’s design is not suited to it. Study 1a’s manipulation always sets prices as a whole dollar or one cent below. So while the authors want to show both LLMs choose the lower whole-dollar price (H1a), the striking result is the left-digit bias of the larger model. I would suggest –</w:t>
      </w:r>
    </w:p>
    <w:p>
      <w:pPr>
        <w:pStyle w:val="BlockText"/>
        <w:rPr/>
      </w:pPr>
      <w:r>
        <w:rPr/>
        <w:t>The authors’ own Table W1 shows real Amazon prices ending in .63, .97, .61, .57, and .15. In many situations the final cents are not 99, and choosing the lower whole number is the “right” heuristic. The authors should re-run Study 1a drawing cents from the Table W1 distribution as the baseline, which would also support H1a as the baseline.</w:t>
      </w:r>
    </w:p>
    <w:p>
      <w:pPr>
        <w:pStyle w:val="BlockText"/>
        <w:rPr/>
      </w:pPr>
      <w:r>
        <w:rPr/>
        <w:t>The left-digit bias the larger model shows when the price ends in 99 cents then becomes an extreme case of this heuristic. The $0.22 equivalent price reduction should be read as an upper bound on the economic impact of left-digit bias, not a typical magnitude.</w:t>
      </w:r>
    </w:p>
    <w:p>
      <w:pPr>
        <w:pStyle w:val="FirstParagraph"/>
        <w:rPr/>
      </w:pPr>
      <w:r>
        <w:rPr>
          <w:b/>
          <w:bCs/>
        </w:rPr>
        <w:t>Response.</w:t>
      </w:r>
      <w:r>
        <w:rPr/>
        <w:t xml:space="preserve"> We agree that the original Study 1 baseline, with prices ending only in .00 or .99, could not show whether the effect was a general whole-dollar heuristic. Following your recommendation, we replaced the original Study 1 baseline with a new experiment in which cents are drawn independently of dollars from the empirical distribution of Amazon coffee prices (1,014 choice sets; Study 1, “Baseline”; Web Appendix B; see response to E5b). We tested eight LLMs and estimated the ratio of cent-to-dollar sensitivity, which replaces the price-equivalent estimate of the original manuscript (Study 1, “Baseline,” third paragraph). Only Flash discounted cents relative to dollars, and for the other seven LLMs the ratio did not differ from the normative benchmark of one (Study 1, “Baseline,” fourth paragraph). Therefore, under full attribute information, most LLMs tested do not show a whole-dollar heuristic.</w:t>
      </w:r>
    </w:p>
    <w:p>
      <w:pPr>
        <w:pStyle w:val="BodyText"/>
        <w:rPr/>
      </w:pPr>
      <w:r>
        <w:rPr/>
        <w:t>Because the original H1 unified the two baselines, we also redesigned the Study 2 baseline to mirror Study 2 Tool-Lab, showing each alternative’s list price, discount percentage, and weight but not its net price. We ran the experiment with eight LLMs (1,149 choice sets; Study 2, “Baseline”; Web Appendix C).</w:t>
      </w:r>
      <w:bookmarkEnd w:id="32"/>
    </w:p>
    <w:p>
      <w:pPr>
        <w:pStyle w:val="Heading2"/>
        <w:rPr/>
      </w:pPr>
      <w:bookmarkStart w:id="33" w:name="r1.5.-study-1b"/>
      <w:r>
        <w:rPr/>
        <w:t>R1.5. Study 1b</w:t>
      </w:r>
    </w:p>
    <w:p>
      <w:pPr>
        <w:pStyle w:val="BlockText"/>
        <w:rPr/>
      </w:pPr>
      <w:r>
        <w:rPr/>
        <w:t>Study 1b is the most interesting study in the paper and sets up the mediation by LLM size; there is immense opportunity here. Three points –</w:t>
      </w:r>
    </w:p>
    <w:p>
      <w:pPr>
        <w:pStyle w:val="FirstParagraph"/>
        <w:rPr/>
      </w:pPr>
      <w:r>
        <w:rPr>
          <w:b/>
          <w:bCs/>
        </w:rPr>
        <w:t>Response.</w:t>
      </w:r>
      <w:r>
        <w:rPr/>
        <w:t xml:space="preserve"> We agree that Study 1b offered several opportunities to test the proposed process more directly. We conducted all the additional experiments that you requested (see responses to R1.5a, R1.5b, and R1.5c).</w:t>
      </w:r>
    </w:p>
    <w:p>
      <w:pPr>
        <w:pStyle w:val="Heading3"/>
        <w:rPr/>
      </w:pPr>
      <w:bookmarkStart w:id="34" w:name="r1.5a.-implicit-cost-of-information"/>
      <w:r>
        <w:rPr/>
        <w:t>R1.5a. Implicit cost of information</w:t>
      </w:r>
    </w:p>
    <w:p>
      <w:pPr>
        <w:pStyle w:val="BlockText"/>
        <w:rPr/>
      </w:pPr>
      <w:r>
        <w:rPr/>
        <w:t>Implicit cost of information (resource rationality): Studies 1a and 1b establish that the larger model already behaves as though acquiring the cent value carries a cost — in Study 1b, Gemini Pro searches for cents only 89% of the time even when cost = 0. That implicit cost is never estimated. Study 1b varies only cost, and the design cannot separate a resource-rational agent from a cost-averse one. I would vary the benefit instead, at cost = 0: purchase volume and price-per-ounce are already in the prompt, so varying these scales the surplus, and the point at which the model always searches for cents identifies the implicit cost directly.</w:t>
      </w:r>
    </w:p>
    <w:p>
      <w:pPr>
        <w:pStyle w:val="FirstParagraph"/>
        <w:rPr/>
      </w:pPr>
      <w:r>
        <w:rPr>
          <w:b/>
          <w:bCs/>
        </w:rPr>
        <w:t>Response.</w:t>
      </w:r>
      <w:r>
        <w:rPr/>
        <w:t xml:space="preserve"> We agree that the original design, which varied only cost, could not estimate an implicit cost of information. Following your recommendation, we varied the benefit of information at zero acquisition cost by manipulating purchase volume (1, 5, 50, and 250 bags; Study 1, Tool-Lab, “Sensitivity to purchase volume”). Estimating an internal acquisition cost from this design assumes that the objective the LLM adopts does not change with purchase volume, because only attributes that are diagnostic under the adopted objective become more valuable to acquire as volume increases. To test this assumption, we used a judge to classify the objective articulated in each session’s reasoning trace before the first acquisition. We selected the judge by its agreement with three independent human coders, blind to the purpose of the experiment, and replicated the results with the second- and third-ranked candidates (Web Appendix E, “Judge selection” and “Robustness to judge selection”). We classified the reasoning traces of Flash and Pro; Flash Lite emits no reasoning before acquisition at its default thinking level (Web Appendix E, “Classification task”). Flash adopted a unit-price objective at every purchase volume and acquired all diagnostic attributes, whereas Pro increasingly adopted a price objective as volume increased, under which cents and weight are non-diagnostic. In our design, the suboptimal alternative has lower dollar value ($4) than the optimal alternative ($5). As a result, cents become irrelevant under a price minimization objective. The design therefore could not disentangle the effect of purchase volume on the benefit of information from its effect on the adopted objective. As a result, an internal acquisition cost cannot be estimated from this design. Nevertheless, our hypotheses do not depend on an estimate of an internal acquisition cost, because they concern which attributes are acquired under an explicit acquisition cost (Conceptual development, “Goal specificity”; H1–H3).</w:t>
      </w:r>
      <w:bookmarkEnd w:id="34"/>
    </w:p>
    <w:p>
      <w:pPr>
        <w:pStyle w:val="Heading3"/>
        <w:rPr/>
      </w:pPr>
      <w:bookmarkStart w:id="35" w:name="r1.5b.-measurement-of-synthesis-failure"/>
      <w:r>
        <w:rPr/>
        <w:t>R1.5b. Measurement of synthesis failure</w:t>
      </w:r>
    </w:p>
    <w:p>
      <w:pPr>
        <w:pStyle w:val="BlockText"/>
        <w:rPr/>
      </w:pPr>
      <w:r>
        <w:rPr/>
        <w:t>Measurement of synthesis failure: If the authors retain the synthesis-failure account, it must be measured, not inferred: at present it is a residual explanation established by showing the smaller model had the data and still chose wrongly. One direct test is to require the model to output its computed price-per-ounce per alternative and score the arithmetic, separating “cannot compute” from “computes correctly but weights the cue differently.” Another is to fix search depth exogenously — reveal a specified set of k attributes and vary k — removing the acquisition path and isolating utilization for smaller LLMs.</w:t>
      </w:r>
    </w:p>
    <w:p>
      <w:pPr>
        <w:pStyle w:val="FirstParagraph"/>
        <w:rPr/>
      </w:pPr>
      <w:r>
        <w:rPr>
          <w:b/>
          <w:bCs/>
        </w:rPr>
        <w:t>Response.</w:t>
      </w:r>
      <w:r>
        <w:rPr/>
        <w:t xml:space="preserve"> We agree that synthesis failure should be measured rather than inferred. Following the Editor’s recommendation, the revision no longer uses the synthesis-failure account (see response to E1). We nevertheless conducted both experiments that you proposed, with the eight LLMs in both study environments.</w:t>
      </w:r>
    </w:p>
    <w:p>
      <w:pPr>
        <w:pStyle w:val="BodyText"/>
        <w:rPr/>
      </w:pPr>
      <w:r>
        <w:rPr/>
        <w:t>First, the LLMs report the price metrics they computed for every alternative along with their choice (with and without acquisition cost; Validation studies, “Reported valuations”). We compared each reported value to the attributes acquired in that session. We classified each value as correct, an arithmetic failure, a hallucination, or correctly reported as unknown. We observed no arithmetic failures across all eight LLMs, both environments, and both cost conditions.</w:t>
      </w:r>
    </w:p>
    <w:p>
      <w:pPr>
        <w:pStyle w:val="BodyText"/>
        <w:rPr/>
      </w:pPr>
      <w:r>
        <w:rPr/>
        <w:t>Second, we assigned information states exogenously, varying the number of revealed attributes (four states in the Study 1 environment and five in the Study 2 environment; Validation studies, “Exogenous information states”). Matched-count states hold the number of revealed cells constant while varying whether they are diagnostic. For each state, we computed the choice prescribed by the normative Expectimax policy (Web Appendix H). When diagnostic attributes were withheld, the choices of seven of the eight LLMs were consistent with this policy in 99.3% of sessions.</w:t>
      </w:r>
    </w:p>
    <w:p>
      <w:pPr>
        <w:pStyle w:val="BodyText"/>
        <w:rPr/>
      </w:pPr>
      <w:r>
        <w:rPr/>
        <w:t>Flash Lite was the exception: with complete diagnostic information, it chose the suboptimal alternative even though it computed unit values correctly (Web Appendices F and G). Therefore, for seven of the eight LLMs, suboptimal choices under partial information are primarily driven by limited diagnostic information rather than by failures to compute or use it (Validation studies, “Exogenous information states,” third paragraph; General discussion, second paragraph).</w:t>
      </w:r>
      <w:bookmarkEnd w:id="35"/>
    </w:p>
    <w:p>
      <w:pPr>
        <w:pStyle w:val="Heading3"/>
        <w:rPr/>
      </w:pPr>
      <w:bookmarkStart w:id="36" w:name="r1.5c.-price-partition-confound"/>
      <w:r>
        <w:rPr/>
        <w:t>R1.5c. Price partition confound</w:t>
      </w:r>
    </w:p>
    <w:p>
      <w:pPr>
        <w:pStyle w:val="BlockText"/>
        <w:rPr/>
      </w:pPr>
      <w:r>
        <w:rPr/>
        <w:t>Price partition confound: Between Studies 1a and 1b, acquisition becomes costly and price becomes partitioned into two retrievable fields (price_dollars, price_cents); the mechanism claim attributes the result to the first. We don’t observe how LLMs in Study 1a gathered price information. I would add a condition where price is a single field acquired in one call — under the resource-rational mechanism the effect should survive.</w:t>
      </w:r>
    </w:p>
    <w:p>
      <w:pPr>
        <w:pStyle w:val="FirstParagraph"/>
        <w:rPr/>
      </w:pPr>
      <w:r>
        <w:rPr>
          <w:b/>
          <w:bCs/>
        </w:rPr>
        <w:t>Response.</w:t>
      </w:r>
      <w:r>
        <w:rPr/>
        <w:t xml:space="preserve"> We agree that partitioning the price could itself influence acquisition. Following your recommendation, we ran a new experiment in which price is a single attribute acquired in one call (Study 1, Tool-Lab, “Price partitioning”). We crossed it with acquisition cost ($0 vs. $10) and goal specificity (vague vs. specific), keeping all other stimuli and Tool-Lab mechanics identical to Study 1, and re-estimated the moderated mediation. H1–H3 remained supported with a single price attribute, and truncation shifted from cents to weight. Therefore, the hypothesized pattern does not depend on partitioning price into separate attributes.</w:t>
      </w:r>
      <w:bookmarkEnd w:id="33"/>
      <w:bookmarkEnd w:id="36"/>
    </w:p>
    <w:p>
      <w:pPr>
        <w:pStyle w:val="Heading2"/>
        <w:rPr/>
      </w:pPr>
      <w:bookmarkStart w:id="37" w:name="Xd62c2a6f9a67f6a100beb2f4299f7801ec908e6"/>
      <w:r>
        <w:rPr/>
        <w:t>R1.6. Benchmarking against the optimal policy</w:t>
      </w:r>
    </w:p>
    <w:p>
      <w:pPr>
        <w:pStyle w:val="BlockText"/>
        <w:rPr/>
      </w:pPr>
      <w:r>
        <w:rPr/>
        <w:t>The Expectimax comparison is a good idea but is not reported in a way that lets the reader assess it. Three issues.</w:t>
      </w:r>
    </w:p>
    <w:p>
      <w:pPr>
        <w:pStyle w:val="BlockText"/>
        <w:rPr/>
      </w:pPr>
      <w:r>
        <w:rPr/>
        <w:t>First, Web Appendix E states the optimal policy at $10 is “exactly 4 tool calls,” but Figure W4 shows it reaching zero calls at $10 — please reconcile.</w:t>
      </w:r>
    </w:p>
    <w:p>
      <w:pPr>
        <w:pStyle w:val="BlockText"/>
        <w:rPr/>
      </w:pPr>
      <w:r>
        <w:rPr/>
        <w:t>Second, Web Appendix E reports the higher-parameter model moving from 9.37 to only 8.03 calls under the $10 constraint — roughly a quarter of the required adaptation (9 → 4 under optimality) — yet the main text calls this “similar resource rationality”, which is inconsistent.</w:t>
      </w:r>
    </w:p>
    <w:p>
      <w:pPr>
        <w:pStyle w:val="BlockText"/>
        <w:rPr/>
      </w:pPr>
      <w:r>
        <w:rPr/>
        <w:t>Third, the objective function underlying the Expectimax cannot be reproduced: the exchange rate used to trade ounces against dollars is never stated, so a reader cannot verify the optimal policy at any cost level.</w:t>
      </w:r>
    </w:p>
    <w:p>
      <w:pPr>
        <w:pStyle w:val="FirstParagraph"/>
        <w:rPr/>
      </w:pPr>
      <w:r>
        <w:rPr>
          <w:b/>
          <w:bCs/>
        </w:rPr>
        <w:t>Response.</w:t>
      </w:r>
      <w:r>
        <w:rPr/>
        <w:t xml:space="preserve"> We agree that the original Expectimax benchmark was inconsistent and could not be reproduced. Following your recommendation, we rewrote the Expectimax appendix (Web Appendix H). It now specifies the shopping task, the objective function, the empirical priors, and the optimization procedure. It reports the normative policy under two planning horizons (myopic and 2-step lookahead) at each acquisition cost, for Study 1, Study 2, and the exogenously assigned information states.</w:t>
      </w:r>
    </w:p>
    <w:p>
      <w:pPr>
        <w:pStyle w:val="BodyText"/>
        <w:rPr/>
      </w:pPr>
      <w:r>
        <w:rPr/>
        <w:t xml:space="preserve">The objective function states the exchange rate between ounces and dollars. The policy minimizes the consumer’s effective cost per ounce, defined as the total dollar cost (the purchase price of the five bags plus the accumulated acquisition costs) divided by the total ounces acquired, </w:t>
      </w:r>
      <w:r>
        <w:rPr/>
      </w:r>
      <m:oMath xmlns:m="http://schemas.openxmlformats.org/officeDocument/2006/math">
        <m:r>
          <w:rPr>
            <w:rFonts w:ascii="Cambria Math" w:hAnsi="Cambria Math"/>
          </w:rPr>
          <m:t xml:space="preserve">(</m:t>
        </m:r>
        <m:r>
          <w:rPr>
            <w:rFonts w:ascii="Cambria Math" w:hAnsi="Cambria Math"/>
          </w:rPr>
          <m:t xml:space="preserve">Q</m:t>
        </m:r>
        <m:r>
          <w:rPr>
            <w:rFonts w:ascii="Cambria Math" w:hAnsi="Cambria Math"/>
          </w:rPr>
          <m:t xml:space="preserve">⋅</m:t>
        </m:r>
        <m:sSub>
          <m:e>
            <m:r>
              <w:rPr>
                <w:rFonts w:ascii="Cambria Math" w:hAnsi="Cambria Math"/>
              </w:rPr>
              <m:t xml:space="preserve">P</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C</m:t>
            </m:r>
          </m:e>
          <m:sub>
            <m:r>
              <m:rPr>
                <m:lit/>
                <m:nor/>
              </m:rPr>
              <w:rPr>
                <w:rFonts w:ascii="Cambria Math" w:hAnsi="Cambria Math"/>
              </w:rPr>
              <m:t xml:space="preserve">tool</m:t>
            </m:r>
          </m:sub>
        </m:sSub>
        <m:f>
          <m:fPr>
            <m:type m:val="lin"/>
          </m:fPr>
          <m:num>
            <m:r>
              <w:rPr>
                <w:rFonts w:ascii="Cambria Math" w:hAnsi="Cambria Math"/>
              </w:rPr>
              <m:t xml:space="preserve">)</m:t>
            </m:r>
          </m:num>
          <m:den>
            <m:r>
              <w:rPr>
                <w:rFonts w:ascii="Cambria Math" w:hAnsi="Cambria Math"/>
              </w:rPr>
              <m:t xml:space="preserve">(</m:t>
            </m:r>
          </m:den>
        </m:f>
        <m:r>
          <w:rPr>
            <w:rFonts w:ascii="Cambria Math" w:hAnsi="Cambria Math"/>
          </w:rPr>
          <m:t xml:space="preserve">Q</m:t>
        </m:r>
        <m:r>
          <w:rPr>
            <w:rFonts w:ascii="Cambria Math" w:hAnsi="Cambria Math"/>
          </w:rPr>
          <m:t xml:space="preserve">⋅</m:t>
        </m:r>
        <m:sSub>
          <m:e>
            <m:r>
              <w:rPr>
                <w:rFonts w:ascii="Cambria Math" w:hAnsi="Cambria Math"/>
              </w:rPr>
              <m:t xml:space="preserve">W</m:t>
            </m:r>
          </m:e>
          <m:sub>
            <m:r>
              <w:rPr>
                <w:rFonts w:ascii="Cambria Math" w:hAnsi="Cambria Math"/>
              </w:rPr>
              <m:t xml:space="preserve">j</m:t>
            </m:r>
          </m:sub>
        </m:sSub>
        <m:r>
          <w:rPr>
            <w:rFonts w:ascii="Cambria Math" w:hAnsi="Cambria Math"/>
          </w:rPr>
          <m:t xml:space="preserve">)</m:t>
        </m:r>
      </m:oMath>
      <w:r>
        <w:rPr/>
        <w:t xml:space="preserve"> with </w:t>
      </w:r>
      <w:r>
        <w:rPr/>
      </w:r>
      <m:oMath xmlns:m="http://schemas.openxmlformats.org/officeDocument/2006/math">
        <m:r>
          <w:rPr>
            <w:rFonts w:ascii="Cambria Math" w:hAnsi="Cambria Math"/>
          </w:rPr>
          <m:t xml:space="preserve">Q</m:t>
        </m:r>
        <m:r>
          <w:rPr>
            <w:rFonts w:ascii="Cambria Math" w:hAnsi="Cambria Math"/>
          </w:rPr>
          <m:t xml:space="preserve">=</m:t>
        </m:r>
        <m:r>
          <w:rPr>
            <w:rFonts w:ascii="Cambria Math" w:hAnsi="Cambria Math"/>
          </w:rPr>
          <m:t xml:space="preserve">5</m:t>
        </m:r>
      </m:oMath>
      <w:r>
        <w:rPr/>
        <w:t xml:space="preserve"> (Web Appendix H, “Objective function”). At $10 in Study 1, both planning horizons acquire three cells (Web Appendix H, “Normative benchmark - Study 1”).</w:t>
      </w:r>
    </w:p>
    <w:p>
      <w:pPr>
        <w:pStyle w:val="BodyText"/>
        <w:rPr/>
      </w:pPr>
      <w:r>
        <w:rPr/>
        <w:t>We checked the text, tables, and figures of the revised appendix for consistency. The statement of “similar resource rationality” was removed together with the resource-rationality account (following the Editor’s comments; see response to E1).</w:t>
      </w:r>
      <w:bookmarkEnd w:id="37"/>
    </w:p>
    <w:p>
      <w:pPr>
        <w:pStyle w:val="Heading2"/>
        <w:rPr/>
      </w:pPr>
      <w:bookmarkStart w:id="38" w:name="r1.7.-generalizability-to-other-llms"/>
      <w:r>
        <w:rPr/>
        <w:t>R1.7. Generalizability to other LLMs</w:t>
      </w:r>
    </w:p>
    <w:p>
      <w:pPr>
        <w:pStyle w:val="BlockText"/>
        <w:rPr/>
      </w:pPr>
      <w:r>
        <w:rPr/>
        <w:t>The thesis rests on two LLMs — Google’s Flash Lite and Pro. A robustness check with other models whose size parameters are known would help generalizability.</w:t>
      </w:r>
    </w:p>
    <w:p>
      <w:pPr>
        <w:pStyle w:val="FirstParagraph"/>
        <w:rPr/>
      </w:pPr>
      <w:r>
        <w:rPr>
          <w:b/>
          <w:bCs/>
        </w:rPr>
        <w:t>Response.</w:t>
      </w:r>
      <w:r>
        <w:rPr/>
        <w:t xml:space="preserve"> We agree that two Gemini LLMs limited the generalizability of the findings. Following your suggestion, we expanded the sample from two Gemini LLMs to eight LLMs from three providers: Gemini 3.5 Flash Lite, Gemini 3.8 Flash, and Gemini 3.1 Pro from Google; GPT-5.6 Luna, GPT-5.6 Terra, and GPT-5.6 Sol from OpenAI; and Claude Sonnet 5 and Claude Opus 5 from Anthropic (The Tool-Lab paradigm, “LLMs tested”; Web Appendix I). We reran both baselines and both Tool-Lab studies with all eight LLMs (Study 1 and Study 2, “Baseline” and “Tool-Lab”). We tested the hypotheses with a Bayesian multilevel moderated mediation that allows each path to vary by LLM (Web Appendix D). All three hypotheses were supported for seven of the eight LLMs in Study 1 and six of the eight in Study 2, across the three providers (General discussion, fifth paragraph). Because the revision no longer uses LLM size as a construct (following the Editor’s recommendation; see response to E2a), the analysis does not require known parameter counts.</w:t>
      </w:r>
      <w:bookmarkEnd w:id="38"/>
    </w:p>
    <w:p>
      <w:pPr>
        <w:pStyle w:val="Heading2"/>
        <w:rPr/>
      </w:pPr>
      <w:bookmarkStart w:id="39" w:name="r1.8.-minor-points"/>
      <w:r>
        <w:rPr/>
        <w:t>R1.8. Minor points</w:t>
      </w:r>
    </w:p>
    <w:p>
      <w:pPr>
        <w:pStyle w:val="Heading3"/>
        <w:rPr/>
      </w:pPr>
      <w:bookmarkStart w:id="40" w:name="Xe94657039b417b466b26cf1782a0be850df99ca"/>
      <w:r>
        <w:rPr/>
        <w:t>R1.8a. Tool-Lab introduction and abstract</w:t>
      </w:r>
    </w:p>
    <w:p>
      <w:pPr>
        <w:pStyle w:val="BlockText"/>
        <w:rPr/>
      </w:pPr>
      <w:r>
        <w:rPr/>
        <w:t>Tool-Lab is named in the abstract and given three sentences on p.4 but not explained until p.16. The abstract says “four experiments using Tool-Lab,” yet Studies 1a and 2a use no tool calls — only two studies use the paradigm.</w:t>
      </w:r>
    </w:p>
    <w:p>
      <w:pPr>
        <w:pStyle w:val="FirstParagraph"/>
        <w:rPr/>
      </w:pPr>
      <w:r>
        <w:rPr>
          <w:b/>
          <w:bCs/>
        </w:rPr>
        <w:t>Response.</w:t>
      </w:r>
      <w:r>
        <w:rPr/>
        <w:t xml:space="preserve"> We agree that Tool-Lab was introduced too late and that the abstract was inaccurate. Tool-Lab is now introduced in the Introduction (fifth paragraph) and explained in its own section before the studies (The Tool-Lab paradigm). The paper now separates the baselines from Tool-Lab experiments for both studies (Study 1 and Study 2, “Baseline” and “Tool-Lab”), and the abstract reflects that (Abstract).</w:t>
      </w:r>
      <w:bookmarkEnd w:id="40"/>
    </w:p>
    <w:p>
      <w:pPr>
        <w:pStyle w:val="Heading3"/>
        <w:rPr/>
      </w:pPr>
      <w:bookmarkStart w:id="41" w:name="X3913a08199cd10e4e1d56a58f6d61048d7dce48"/>
      <w:r>
        <w:rPr/>
        <w:t>R1.8b. Decoding settings and model snapshots</w:t>
      </w:r>
    </w:p>
    <w:p>
      <w:pPr>
        <w:pStyle w:val="BlockText"/>
        <w:rPr/>
      </w:pPr>
      <w:r>
        <w:rPr/>
        <w:t>Please report temperature and decoding settings, and pin exact model snapshot identifiers; the Monte Carlo framing depends on the former.</w:t>
      </w:r>
    </w:p>
    <w:p>
      <w:pPr>
        <w:pStyle w:val="FirstParagraph"/>
        <w:rPr/>
      </w:pPr>
      <w:r>
        <w:rPr>
          <w:b/>
          <w:bCs/>
        </w:rPr>
        <w:t>Response.</w:t>
      </w:r>
      <w:r>
        <w:rPr/>
        <w:t xml:space="preserve"> Done. For each LLM, we report the API model identifier, client library, endpoint, reasoning-effort setting, temperature, and top-p (Web Appendix I). We use the providers’ default decoding settings, because our research question concerns out-of-the-box LLM behavior. This choice also accommodates Google and Anthropic’s deprecation of custom sampling parameters (e.g., Temperature or Top-P). Each experimental cell is evaluated over independent sessions with no state carried over between sessions (The Tool-Lab paradigm, “Stochastic evaluation”).</w:t>
      </w:r>
      <w:bookmarkEnd w:id="41"/>
    </w:p>
    <w:p>
      <w:pPr>
        <w:pStyle w:val="Heading3"/>
        <w:rPr/>
      </w:pPr>
      <w:bookmarkStart w:id="42" w:name="r1.8c.-units-of-the-discount-variable"/>
      <w:r>
        <w:rPr/>
        <w:t>R1.8c. Units of the Discount variable</w:t>
      </w:r>
    </w:p>
    <w:p>
      <w:pPr>
        <w:pStyle w:val="BlockText"/>
        <w:rPr/>
      </w:pPr>
      <w:r>
        <w:rPr/>
        <w:t>Please state the units of the Discount variable in the main text; it is recoverable only from Web Appendix D, and the magnitude is uninterpretable without it.</w:t>
      </w:r>
    </w:p>
    <w:p>
      <w:pPr>
        <w:pStyle w:val="FirstParagraph"/>
        <w:rPr/>
      </w:pPr>
      <w:r>
        <w:rPr>
          <w:b/>
          <w:bCs/>
        </w:rPr>
        <w:t>Response.</w:t>
      </w:r>
      <w:r>
        <w:rPr/>
        <w:t xml:space="preserve"> Done. The main text now states that the discount amount is measured in dollars (Study 2, “Baseline,” second paragraph).</w:t>
      </w:r>
      <w:bookmarkEnd w:id="42"/>
    </w:p>
    <w:p>
      <w:pPr>
        <w:pStyle w:val="Heading3"/>
        <w:rPr/>
      </w:pPr>
      <w:bookmarkStart w:id="43" w:name="Xa1b58396f43515fce0db27221c40e1da859f96c"/>
      <w:r>
        <w:rPr/>
        <w:t>R1.8d. Comparison with the human baseline</w:t>
      </w:r>
    </w:p>
    <w:p>
      <w:pPr>
        <w:pStyle w:val="BlockText"/>
        <w:rPr/>
      </w:pPr>
      <w:r>
        <w:rPr/>
        <w:t>On p.26 the authors say the lower-parameter model “mirrors this human baseline” from Inman et al. (1990). By their own figures, Flash Lite treats a 20% label as a 10.4% price reduction against a roughly 6% human baseline — closer to 1.7 times the benchmark than a mirror. This understates their own result.</w:t>
      </w:r>
    </w:p>
    <w:p>
      <w:pPr>
        <w:pStyle w:val="FirstParagraph"/>
        <w:rPr/>
      </w:pPr>
      <w:r>
        <w:rPr>
          <w:b/>
          <w:bCs/>
        </w:rPr>
        <w:t>Response.</w:t>
      </w:r>
      <w:r>
        <w:rPr/>
        <w:t xml:space="preserve"> We agree that the comparison understated the result. We removed the comparison with the human baseline. The redesigned Study 2 baseline instead compares each LLM’s valuation of discount savings, compared to the list price, with the normative benchmark of one (Study 2, “Baseline,” second paragraph).</w:t>
      </w:r>
      <w:bookmarkEnd w:id="43"/>
    </w:p>
    <w:p>
      <w:pPr>
        <w:pStyle w:val="Heading3"/>
        <w:rPr/>
      </w:pPr>
      <w:bookmarkStart w:id="44" w:name="r1.8e.-model-tier-terminology"/>
      <w:r>
        <w:rPr/>
        <w:t>R1.8e. “Model tier” terminology</w:t>
      </w:r>
    </w:p>
    <w:p>
      <w:pPr>
        <w:pStyle w:val="BlockText"/>
        <w:rPr/>
      </w:pPr>
      <w:r>
        <w:rPr/>
        <w:t>Since parameter counts are not publicly available (p.13), I would use “model tier” rather than “higher-parameter” throughout.</w:t>
      </w:r>
    </w:p>
    <w:p>
      <w:pPr>
        <w:pStyle w:val="FirstParagraph"/>
        <w:rPr/>
      </w:pPr>
      <w:r>
        <w:rPr>
          <w:b/>
          <w:bCs/>
        </w:rPr>
        <w:t>Response.</w:t>
      </w:r>
      <w:r>
        <w:rPr/>
        <w:t xml:space="preserve"> We agree that parameter counts are not publicly available. We removed “higher-parameter” and “lower-parameter” throughout. We identify each LLM by name without any reference to their tiers or capabilities (see response to E2a).</w:t>
      </w:r>
      <w:bookmarkEnd w:id="44"/>
    </w:p>
    <w:p>
      <w:pPr>
        <w:pStyle w:val="Heading3"/>
        <w:rPr/>
      </w:pPr>
      <w:bookmarkStart w:id="45" w:name="r1.8f.-study-2b-purchase-volume"/>
      <w:r>
        <w:rPr/>
        <w:t>R1.8f. Study 2b purchase volume</w:t>
      </w:r>
    </w:p>
    <w:p>
      <w:pPr>
        <w:pStyle w:val="BlockText"/>
        <w:rPr/>
      </w:pPr>
      <w:r>
        <w:rPr/>
        <w:t>Study 2b’s purchase volume appears only in the prompt text of Table W15. Please state it in the main text.</w:t>
      </w:r>
    </w:p>
    <w:p>
      <w:pPr>
        <w:pStyle w:val="FirstParagraph"/>
        <w:rPr/>
      </w:pPr>
      <w:r>
        <w:rPr>
          <w:b/>
          <w:bCs/>
        </w:rPr>
        <w:t>Response.</w:t>
      </w:r>
      <w:r>
        <w:rPr/>
        <w:t xml:space="preserve"> Done. The five-bag purchase volume is now stated in the main text, both in the system prompt (Study 1, Tool-Lab, fourth paragraph) and in the description of Study 2 Tool-Lab (Study 2, Tool-Lab, second paragraph).</w:t>
      </w:r>
      <w:bookmarkEnd w:id="45"/>
    </w:p>
    <w:p>
      <w:pPr>
        <w:pStyle w:val="Heading3"/>
        <w:rPr/>
      </w:pPr>
      <w:bookmarkStart w:id="46" w:name="Xa28a340e4415163ee10f2dd661c49d36cb3c85e"/>
      <w:r>
        <w:rPr/>
        <w:t>R1.8g. Regression tables in the main text</w:t>
      </w:r>
    </w:p>
    <w:p>
      <w:pPr>
        <w:pStyle w:val="BlockText"/>
        <w:rPr/>
      </w:pPr>
      <w:r>
        <w:rPr/>
        <w:t>Almost every regression table (W9–W15) sits in Web Appendix G, so the reader cannot check claims against estimates while reading. I would move Tool-Lab’s explanation into the Overview of Studies before any results, correct the abstract, and bring Tables W9, W10, W13, and W14 into the main manuscript.</w:t>
      </w:r>
    </w:p>
    <w:p>
      <w:pPr>
        <w:pStyle w:val="FirstParagraph"/>
        <w:rPr/>
      </w:pPr>
      <w:r>
        <w:rPr>
          <w:b/>
          <w:bCs/>
        </w:rPr>
        <w:t>Response.</w:t>
      </w:r>
      <w:r>
        <w:rPr/>
        <w:t xml:space="preserve"> We agree that the main results should be visible in the main text. The descriptive and moderated mediation tables for both Tool-Lab studies are now in the main text (Study 1, Tool-Lab, “Moderated mediation analysis”; Study 2, Tool-Lab, “Moderated mediation analysis”). As suggested, Tool-Lab is explained before the studies, and the abstract is corrected (see response to R1.8a).</w:t>
      </w:r>
    </w:p>
    <w:p>
      <w:pPr>
        <w:pStyle w:val="BodyText"/>
        <w:rPr/>
      </w:pPr>
      <w:r>
        <w:rPr/>
        <w:t>We thank you once again for your detailed and constructive review. Your suggestions led to several of the new experiments in this revision, and we hope that the revised paper addresses your concerns.</w:t>
      </w:r>
    </w:p>
    <w:p>
      <w:pPr>
        <w:pStyle w:val="Normal"/>
        <w:rPr/>
      </w:pPr>
      <w:r>
        <w:rPr/>
      </w:r>
      <w:bookmarkEnd w:id="24"/>
      <w:bookmarkEnd w:id="39"/>
      <w:bookmarkEnd w:id="46"/>
      <w:r>
        <w:br w:type="page"/>
      </w:r>
    </w:p>
    <w:p>
      <w:pPr>
        <w:pStyle w:val="Heading1"/>
        <w:spacing w:before="0" w:after="80"/>
        <w:rPr/>
      </w:pPr>
      <w:bookmarkStart w:id="47" w:name="response-to-reviewer-2"/>
      <w:r>
        <w:rPr/>
        <w:t>Response to Reviewer 2</w:t>
      </w:r>
    </w:p>
    <w:p>
      <w:pPr>
        <w:pStyle w:val="Heading2"/>
        <w:rPr/>
      </w:pPr>
      <w:bookmarkStart w:id="48" w:name="r2.1.-construct-validity"/>
      <w:r>
        <w:rPr/>
        <w:t>R2.1. Construct validity</w:t>
      </w:r>
    </w:p>
    <w:p>
      <w:pPr>
        <w:pStyle w:val="BlockText"/>
        <w:rPr/>
      </w:pPr>
      <w:r>
        <w:rPr/>
        <w:t>The manuscript relies heavily on the manipulation of LLM model size – Google Gemini 3.1 Flash Lite vs. Google Gemini Pro. Most of the hypotheses include this as a primary construct. As the authors themselves discuss this as one of the limitations, I am also concerned about the black-box nature regarding the difference between these two different LLM services. As stated in the manuscript, Google does not disclose the underlying models or algorithms behind these two different services. Thus, it is possible (and perhaps highly likely) that Flash Lite and Pro differ beyond the number of parameters. Additionally, the capability of LLM models generally improves over time, and performance could improve even with fewer parameters through improvements in architecture, training, or inference. Thus, it is possible that the authors are effectively testing two different services (Gemini 3.1 Flash Lite vs. Gemini Pro) instead of LLM model size. Accordingly, the observed effects may reflect differences between two proprietary Gemini services rather than differences in model size per se. This poses a threat to construct validity. More fundamentally, because the manipulation bundles multiple undisclosed differences between the two proprietary services, the empirical design does not identify model size as the causal mechanism underlying the observed effects.</w:t>
      </w:r>
    </w:p>
    <w:p>
      <w:pPr>
        <w:pStyle w:val="FirstParagraph"/>
        <w:rPr/>
      </w:pPr>
      <w:r>
        <w:rPr>
          <w:b/>
          <w:bCs/>
        </w:rPr>
        <w:t>Response.</w:t>
      </w:r>
      <w:r>
        <w:rPr/>
        <w:t xml:space="preserve"> Thank you for your constructive review. We agree that Flash Lite and Pro differ in more than parameter count, so the original design could not identify LLM size as the cause of the observed effects. Following your and the Editor’s recommendations, we have removed LLM size as a construct and identify each LLM by name (The Tool-Lab paradigm, “LLMs tested”; see response to E2a). No hypothesis concerns differences between LLMs (Conceptual development, “Goal specificity”; H1–H3), and the revision does not attribute any effect to a characteristic that distinguishes one LLM from another (see response to R2.2). As a result, our findings no longer depend on undisclosed differences between proprietary LLMs.</w:t>
      </w:r>
    </w:p>
    <w:p>
      <w:pPr>
        <w:pStyle w:val="BodyText"/>
        <w:rPr/>
      </w:pPr>
      <w:r>
        <w:rPr/>
        <w:t>Your observation that LLM capability improves over time also raises the question of whether our findings will remain relevant as LLMs improve, which we now discuss in the revised manuscript (General discussion, sixth paragraph). The validation studies distinguish the failure to acquire diagnostic attributes from the failure to utilize them (Validation studies; see responses to E4b and E4c). Greater capability may reduce utilization failures, such as Flash Lite’s suboptimal choices under complete information (see response to R1.5b). Acquisition, however, also depends on factors external to the LLM (i.e., the acquisition cost set by the retailer and the goal specificity set by the consumer), which improvements in the LLM would not change. We also tested the hypotheses on eight LLMs from three providers, seven of which were released after the original Gemini LLMs (The Tool-Lab paradigm, “LLMs tested”). Finally, Tool-Lab allows the same design to be applied to newer LLMs as they are released, to evaluate whether newer LLMs show similar suboptimal choices (General discussion, sixth paragraph; Theoretical implications, third paragraph). Therefore, these results suggest that the pathway is not tied to the LLMs we tested.</w:t>
      </w:r>
      <w:bookmarkEnd w:id="48"/>
    </w:p>
    <w:p>
      <w:pPr>
        <w:pStyle w:val="Heading2"/>
        <w:rPr/>
      </w:pPr>
      <w:bookmarkStart w:id="49" w:name="r2.2.-hypotheses-development"/>
      <w:r>
        <w:rPr/>
        <w:t>R2.2. Hypotheses development</w:t>
      </w:r>
    </w:p>
    <w:p>
      <w:pPr>
        <w:pStyle w:val="BlockText"/>
        <w:rPr/>
      </w:pPr>
      <w:r>
        <w:rPr/>
        <w:t>Due to issues with construct validity regarding LLM model size, the hypotheses discussed and proposed may need to be modified in order to reflect what the authors are actually testing. If so, it could simply become a comparison of two different services (Gemini 3.1 Flash Lite vs. Gemini Pro) in relation to different choice sets. Additionally, statements such as “LLMs behave this way” are potentially problematic, as different LLMs could be trained on different data sets, and each model may behave differently due to many different reasons. Therefore, it is difficult to make a general statement or prediction about LLMs’ tendency to choose particular sets of products/pricing alternatives (see H1 as an illustrative example).</w:t>
      </w:r>
    </w:p>
    <w:p>
      <w:pPr>
        <w:pStyle w:val="FirstParagraph"/>
        <w:rPr/>
      </w:pPr>
      <w:r>
        <w:rPr>
          <w:b/>
          <w:bCs/>
        </w:rPr>
        <w:t>Response.</w:t>
      </w:r>
      <w:r>
        <w:rPr/>
        <w:t xml:space="preserve"> We agree that general statements about how LLMs behave are difficult to support. Following your and the Editor’s recommendations, we rewrote the hypotheses to reflect what the new design tests (see response to E2c). They no longer refer to LLMs or to LLM size. Instead, they predict how acquisition cost and goal specificity affect diagnostic acquisition and, through it, choice optimality (Conceptual development, “Goal specificity”; H1–H3). The predictions follow from how an AI agent weighs acquisition cost and interprets a vague goal, not from characteristics of a particular LLM (Conceptual development, “Goal specificity,” third paragraph). We test them across eight LLMs with a Bayesian multilevel model that estimates how each LLM departs from the pooled pattern (Study 1, Tool-Lab, “Moderated mediation analysis”; Web Appendix D). We interpret the results for this sample of LLMs rather than for LLMs in general (General discussion; Limitations and future research, third paragraph). Therefore, the hypotheses no longer require a general prediction about how LLMs choose among products or pricing alternatives.</w:t>
      </w:r>
      <w:bookmarkEnd w:id="49"/>
    </w:p>
    <w:p>
      <w:pPr>
        <w:pStyle w:val="Heading2"/>
        <w:rPr/>
      </w:pPr>
      <w:bookmarkStart w:id="50" w:name="r2.3.-tool-lab-and-construct-validity"/>
      <w:r>
        <w:rPr/>
        <w:t>R2.3. Tool-Lab and construct validity</w:t>
      </w:r>
    </w:p>
    <w:p>
      <w:pPr>
        <w:pStyle w:val="BlockText"/>
        <w:rPr/>
      </w:pPr>
      <w:r>
        <w:rPr/>
        <w:t>The authors make an effort to enhance transparency regarding two different versions of Gemini 3.1 through the “Tool-Lab” approach. While the efforts are noteworthy, I don’t feel that this effort solves the concern about construct validity, as the authors still rely on the differences between two different versions of Gemini 3.1.</w:t>
      </w:r>
    </w:p>
    <w:p>
      <w:pPr>
        <w:pStyle w:val="FirstParagraph"/>
        <w:rPr/>
      </w:pPr>
      <w:r>
        <w:rPr>
          <w:b/>
          <w:bCs/>
        </w:rPr>
        <w:t>Response.</w:t>
      </w:r>
      <w:r>
        <w:rPr/>
        <w:t xml:space="preserve"> We agree that Tool-Lab alone could not resolve the construct-validity concern while the hypotheses relied on a comparison between two versions of Gemini 3.1. Following your and the Editor’s recommendations, we changed the design so that no hypothesis depends on a comparison between LLMs (see responses to E1 and E2a). Acquisition cost and goal specificity are now manipulated within each LLM, and each hypothesis is tested by contrasting conditions within the same LLM (Study 1, Tool-Lab, third paragraph; Study 2, Tool-Lab, second paragraph). Tool-Lab measures how these manipulations affect the attributes each LLM acquires, and differences between LLMs are estimated as variation around the pooled pattern (Web Appendix D; see response to R2.2). We also removed LLM size as a construct and expanded the sample to eight LLMs from three providers (The Tool-Lab paradigm, “LLMs tested”; see responses to R2.1 and E2b). Therefore, the evidence for H1–H3 no longer relies on differences between versions of Gemini 3.1.</w:t>
      </w:r>
      <w:bookmarkEnd w:id="50"/>
    </w:p>
    <w:p>
      <w:pPr>
        <w:pStyle w:val="Heading2"/>
        <w:rPr/>
      </w:pPr>
      <w:bookmarkStart w:id="51" w:name="Xe890083e4b8eead38aa8fbbd29f1d8f4d4005a5"/>
      <w:r>
        <w:rPr/>
        <w:t>R2.4. Positioning and modes of decision making</w:t>
      </w:r>
    </w:p>
    <w:p>
      <w:pPr>
        <w:pStyle w:val="BlockText"/>
        <w:rPr/>
      </w:pPr>
      <w:r>
        <w:rPr/>
        <w:t>Overall, the authors may want to revisit all the hypotheses and brainstorm how to better position this manuscript. With advances in LLMs, users may increasingly rely on LLMs not only for analytical reasoning but also for affective interactions (see, for example, Huang and Rust’s discussion in Feeling AI and The Feeling Economy). On a related point, it is important to study LLMs’ role in different modes of decision making (e.g., analytical vs. heuristic decision making).</w:t>
      </w:r>
    </w:p>
    <w:p>
      <w:pPr>
        <w:pStyle w:val="FirstParagraph"/>
        <w:rPr/>
      </w:pPr>
      <w:r>
        <w:rPr>
          <w:b/>
          <w:bCs/>
        </w:rPr>
        <w:t>Response.</w:t>
      </w:r>
      <w:r>
        <w:rPr/>
        <w:t xml:space="preserve"> We agree that the role of AI agents in different modes of decision making is an important question. Following your suggestion, we now draw on Huang and Rust’s (2021) distinction between thinking and feeling AI (Literature review, “The rationality paradox,” first and second paragraphs). The revised paper is positioned around the question of when AI shopping agents choose analytically and when their choices become heuristic-like (see response to E1). The literature review frames this as the conditions that govern whether an LLM operates in an analytical or a suboptimal decision mode (Literature review, “The rationality paradox,” second paragraph). The framework identifies two such conditions: acquisition cost and goal specificity (Introduction, fourth paragraph; Conceptual development, “Acquisition costs” and “Goal specificity”). Therefore, the revised paper studies directly when AI agents shift from analytical to heuristic-like decision making.</w:t>
      </w:r>
    </w:p>
    <w:p>
      <w:pPr>
        <w:pStyle w:val="BodyText"/>
        <w:rPr/>
      </w:pPr>
      <w:r>
        <w:rPr/>
        <w:t>Affective interactions require a different design, because choice optimality in our studies is defined by an unambiguous normative objective (unit-price minimization), but no such objective exists for affective evaluations. We discuss affective delegation requests, such as asking an agent to find a product the consumer will “love,” as a direction for future research that extends the study of AI agents to intuitive and emotional modes of decision making (Limitations and future research, sixth paragraph).</w:t>
      </w:r>
      <w:bookmarkEnd w:id="51"/>
    </w:p>
    <w:p>
      <w:pPr>
        <w:pStyle w:val="Heading2"/>
        <w:rPr/>
      </w:pPr>
      <w:bookmarkStart w:id="52" w:name="X484b588df5b297824237d6bccf1d05b00cf882b"/>
      <w:r>
        <w:rPr/>
        <w:t>R2.5. Constraining LLMs to mimic human heuristics; practitioner relevance</w:t>
      </w:r>
    </w:p>
    <w:p>
      <w:pPr>
        <w:pStyle w:val="BlockText"/>
        <w:rPr/>
      </w:pPr>
      <w:r>
        <w:rPr/>
        <w:t>Humans often employ heuristic rather than analytical decision making due to limited cognitive capabilities, among other reasons (e.g., customers may choose a restaurant with a long queue because the presence of many customers serves as a heuristic cue of high quality or reputation). Does this mean, as LLMs become more advanced, their capabilities should be intentionally constrained to mimic the cognitive limitations underlying human heuristic decision making? While I am not sure this point is directly relevant to the present research (as the authors focus primarily on pricing contexts), it might be worth brainstorming the relevance to their research. Additionally, the authors may wish to explore practitioner-oriented business publications (such as Forbes, Fortune, and The Wall Street Journal) that discuss the intersection of (Gen)AI/LLMs and heuristics. Such an effort may help motivate the practical relevance of the research and enhance its ecological validity (e.g., Heerde et al. 2021, Journal of Marketing). These discussions may also help enrich the managerial implications and future research sections.</w:t>
      </w:r>
    </w:p>
    <w:p>
      <w:pPr>
        <w:pStyle w:val="FirstParagraph"/>
        <w:rPr/>
      </w:pPr>
      <w:r>
        <w:rPr>
          <w:b/>
          <w:bCs/>
        </w:rPr>
        <w:t>Response.</w:t>
      </w:r>
      <w:r>
        <w:rPr/>
        <w:t xml:space="preserve"> Thank you for raising this question, which helped us clarify the implications of our findings. In the revised version, our paper makes no claims about the internal processes of LLMs (Limitations and future research, second paragraph; see response to E1). It tests a pathway through which heuristic-like choices arise from two sources outside the LLM: the retailer’s information architecture and the consumer’s prompt (Introduction, fourth paragraph). Both sources can lead to suboptimal choices even as LLMs become more capable (General discussion, sixth paragraph; see response to R2.1). Heuristic-like choices can therefore arise without constraining the capabilities of AI agents.</w:t>
      </w:r>
    </w:p>
    <w:p>
      <w:pPr>
        <w:pStyle w:val="BodyText"/>
        <w:rPr/>
      </w:pPr>
      <w:r>
        <w:rPr/>
        <w:t>Following your suggestion, and to strengthen the ecological value of the research (Heerde et al. 2021), we now motivate the research with practitioner coverage of AI shopping agents (Introduction, first and second paragraphs) (Cooper III 2026; Kahn 2026; Sataua 2026; Verdon 2026).</w:t>
      </w:r>
    </w:p>
    <w:p>
      <w:pPr>
        <w:pStyle w:val="BodyText"/>
        <w:rPr/>
      </w:pPr>
      <w:r>
        <w:rPr/>
        <w:t>We thank you once again for your constructive review. We hope that the revised hypotheses and the expanded sample of LLMs address your concerns about construct validity.</w:t>
      </w:r>
    </w:p>
    <w:p>
      <w:pPr>
        <w:pStyle w:val="Normal"/>
        <w:rPr/>
      </w:pPr>
      <w:r>
        <w:rPr/>
      </w:r>
      <w:bookmarkEnd w:id="47"/>
      <w:bookmarkEnd w:id="52"/>
      <w:r>
        <w:br w:type="page"/>
      </w:r>
    </w:p>
    <w:p>
      <w:pPr>
        <w:pStyle w:val="Heading1"/>
        <w:spacing w:before="0" w:after="80"/>
        <w:rPr/>
      </w:pPr>
      <w:bookmarkStart w:id="53" w:name="response-to-reviewer-3"/>
      <w:r>
        <w:rPr/>
        <w:t>Response to Reviewer 3</w:t>
      </w:r>
    </w:p>
    <w:p>
      <w:pPr>
        <w:pStyle w:val="Heading2"/>
        <w:rPr/>
      </w:pPr>
      <w:bookmarkStart w:id="54" w:name="X7d1d858e3641a14f84bca9f20a91eeb96955a90"/>
      <w:r>
        <w:rPr/>
        <w:t>R3.1. Overall assessment and repositioning</w:t>
      </w:r>
    </w:p>
    <w:p>
      <w:pPr>
        <w:pStyle w:val="BlockText"/>
        <w:rPr/>
      </w:pPr>
      <w:r>
        <w:rPr/>
        <w:t>However, the contribution of the paper, in its present form, is rather limited and oversells what it actually demonstrates in the empirical studies. For this reason, and for reasons elaborated below, the paper might be stronger if repositioned as a methodological paper rather than a test of specific hypotheses derived from an overarching theory.</w:t>
      </w:r>
    </w:p>
    <w:p>
      <w:pPr>
        <w:pStyle w:val="FirstParagraph"/>
        <w:rPr/>
      </w:pPr>
      <w:r>
        <w:rPr>
          <w:b/>
          <w:bCs/>
        </w:rPr>
        <w:t>Response.</w:t>
      </w:r>
      <w:r>
        <w:rPr/>
        <w:t xml:space="preserve"> Thank you for your detailed and constructive review. We agree that the original manuscript claimed more than its studies demonstrated. Following the Editor’s recommendation, we positioned the revision around when AI shopping agents make heuristic-like choices, with Tool-Lab as the methodological vehicle (Introduction, third and fourth paragraphs; see response to E1). Following the Editor’s proposed positioning, we kept the hypothesis tests, but narrowed them to what the design can test: how acquisition cost and goal specificity affect diagnostic acquisition and, through it, choice optimality (Conceptual development, “Goal specificity”; H1–H3). Tool-Lab is now one of the paper’s three contributions (Introduction, eighth paragraph; Theoretical implications, third paragraph). We also narrowed the claims by removing the resource-rationality account, making no claims about the internal processes of LLMs, and interpreting the results for the LLMs we tested (Limitations and future research, second and third paragraphs; see responses to E1 and E2c). Therefore, the revised paper makes a methodological contribution through Tool-Lab, and its hypothesis tests are limited to what the design can establish.</w:t>
      </w:r>
      <w:bookmarkEnd w:id="54"/>
    </w:p>
    <w:p>
      <w:pPr>
        <w:pStyle w:val="Heading2"/>
        <w:rPr/>
      </w:pPr>
      <w:bookmarkStart w:id="55" w:name="X1b66821c2237b140c5fd0ebedaf6e9cebb3dd3c"/>
      <w:r>
        <w:rPr/>
        <w:t>R3.2. Readability, overselling, and anthropomorphic language</w:t>
      </w:r>
    </w:p>
    <w:p>
      <w:pPr>
        <w:pStyle w:val="BlockText"/>
        <w:rPr/>
      </w:pPr>
      <w:r>
        <w:rPr/>
        <w:t>As a foundation matter, the paper is very difficult to read. This is not because it focuses on AI. Rather, the paper introduces many terms without adequate explanation and makes leaps of logic that are not warranted. The tool-lab paradigm needs much more explanation. The paper also oversells its contribution with statements like “marketing research currently lacks …” (p. 3). There is an ever-expanding literature on AI and surrogate consumers (most of which is not in marketing). It also uses anthropomorphic language throughout: intentionally choose, strategically decide, prefer, know, plan, etc. Whether intended or not, such language implies processes that do not describe what AI is doing.</w:t>
      </w:r>
    </w:p>
    <w:p>
      <w:pPr>
        <w:pStyle w:val="FirstParagraph"/>
        <w:rPr/>
      </w:pPr>
      <w:r>
        <w:rPr>
          <w:b/>
          <w:bCs/>
        </w:rPr>
        <w:t>Response.</w:t>
      </w:r>
      <w:r>
        <w:rPr/>
        <w:t xml:space="preserve"> We agree that the original manuscript introduced terms without adequate explanation, overstated its contribution, and used anthropomorphic language. We rewrote the paper for readability. Each construct is now defined before it is used:</w:t>
      </w:r>
    </w:p>
    <w:p>
      <w:pPr>
        <w:pStyle w:val="CompactList"/>
        <w:numPr>
          <w:ilvl w:val="0"/>
          <w:numId w:val="2"/>
        </w:numPr>
        <w:rPr/>
      </w:pPr>
      <w:r>
        <w:rPr>
          <w:i/>
          <w:iCs/>
        </w:rPr>
        <w:t>Normative objective</w:t>
      </w:r>
      <w:r>
        <w:rPr/>
        <w:t xml:space="preserve">, </w:t>
      </w:r>
      <w:r>
        <w:rPr>
          <w:i/>
          <w:iCs/>
        </w:rPr>
        <w:t>choice suboptimality</w:t>
      </w:r>
      <w:r>
        <w:rPr/>
        <w:t xml:space="preserve">, and </w:t>
      </w:r>
      <w:r>
        <w:rPr>
          <w:i/>
          <w:iCs/>
        </w:rPr>
        <w:t>heuristic</w:t>
      </w:r>
      <w:r>
        <w:rPr/>
        <w:t xml:space="preserve"> (Conceptual development, “Normative and heuristic objectives,” sixth paragraph).</w:t>
      </w:r>
    </w:p>
    <w:p>
      <w:pPr>
        <w:pStyle w:val="CompactList"/>
        <w:numPr>
          <w:ilvl w:val="0"/>
          <w:numId w:val="2"/>
        </w:numPr>
        <w:rPr/>
      </w:pPr>
      <w:r>
        <w:rPr>
          <w:i/>
          <w:iCs/>
        </w:rPr>
        <w:t>Diagnostic</w:t>
      </w:r>
      <w:r>
        <w:rPr/>
        <w:t xml:space="preserve"> and </w:t>
      </w:r>
      <w:r>
        <w:rPr>
          <w:i/>
          <w:iCs/>
        </w:rPr>
        <w:t>non-diagnostic attributes</w:t>
      </w:r>
      <w:r>
        <w:rPr/>
        <w:t xml:space="preserve"> (Conceptual development, “Normative and heuristic objectives,” seventh paragraph).</w:t>
      </w:r>
    </w:p>
    <w:p>
      <w:pPr>
        <w:pStyle w:val="CompactList"/>
        <w:numPr>
          <w:ilvl w:val="0"/>
          <w:numId w:val="2"/>
        </w:numPr>
        <w:rPr/>
      </w:pPr>
      <w:r>
        <w:rPr>
          <w:i/>
          <w:iCs/>
        </w:rPr>
        <w:t>Acquisition cost</w:t>
      </w:r>
      <w:r>
        <w:rPr/>
        <w:t xml:space="preserve"> (Conceptual development, “Acquisition costs,” second paragraph).</w:t>
      </w:r>
    </w:p>
    <w:p>
      <w:pPr>
        <w:pStyle w:val="CompactList"/>
        <w:numPr>
          <w:ilvl w:val="0"/>
          <w:numId w:val="2"/>
        </w:numPr>
        <w:rPr/>
      </w:pPr>
      <w:r>
        <w:rPr>
          <w:i/>
          <w:iCs/>
        </w:rPr>
        <w:t>Specific</w:t>
      </w:r>
      <w:r>
        <w:rPr/>
        <w:t xml:space="preserve"> and </w:t>
      </w:r>
      <w:r>
        <w:rPr>
          <w:i/>
          <w:iCs/>
        </w:rPr>
        <w:t>vague goal prompts</w:t>
      </w:r>
      <w:r>
        <w:rPr/>
        <w:t xml:space="preserve"> (Conceptual development, “Goal specificity,” second paragraph).</w:t>
      </w:r>
    </w:p>
    <w:p>
      <w:pPr>
        <w:pStyle w:val="CompactList"/>
        <w:numPr>
          <w:ilvl w:val="0"/>
          <w:numId w:val="2"/>
        </w:numPr>
        <w:rPr/>
      </w:pPr>
      <w:r>
        <w:rPr>
          <w:i/>
          <w:iCs/>
        </w:rPr>
        <w:t>Diagnostic acquisition</w:t>
      </w:r>
      <w:r>
        <w:rPr/>
        <w:t xml:space="preserve"> and </w:t>
      </w:r>
      <w:r>
        <w:rPr>
          <w:i/>
          <w:iCs/>
        </w:rPr>
        <w:t>choice optimality</w:t>
      </w:r>
      <w:r>
        <w:rPr/>
        <w:t xml:space="preserve"> (Study 1, Tool-Lab, fourth paragraph).</w:t>
      </w:r>
    </w:p>
    <w:p>
      <w:pPr>
        <w:pStyle w:val="FirstParagraph"/>
        <w:rPr/>
      </w:pPr>
      <w:r>
        <w:rPr/>
        <w:t>Tool-Lab is introduced in the Introduction (fifth paragraph) and described in its own section before the studies (The Tool-Lab paradigm). We removed the claim that “marketing research currently lacks” a framework, and we position the paper within the literature on AI agents as surrogate consumers (Literature review, “AI agents as surrogate consumers”; see response to R3.7). We also replaced anthropomorphic language throughout the paper (e.g., we describe LLM behavior as “heuristic-like”; see response to R3.3).</w:t>
      </w:r>
      <w:bookmarkEnd w:id="55"/>
    </w:p>
    <w:p>
      <w:pPr>
        <w:pStyle w:val="Heading2"/>
        <w:rPr/>
      </w:pPr>
      <w:bookmarkStart w:id="56" w:name="r3.3.-inferring-process-from-behavior"/>
      <w:r>
        <w:rPr/>
        <w:t>R3.3. Inferring process from behavior</w:t>
      </w:r>
    </w:p>
    <w:p>
      <w:pPr>
        <w:pStyle w:val="BlockText"/>
        <w:rPr/>
      </w:pPr>
      <w:r>
        <w:rPr/>
        <w:t>From a methods perspective, the paper is still inferring process from observed behavior. The tool-lab approach provides some insight into search behavior, which is useful, but this is still behavior, not process. For this reason, the various studies do not provide support for the proposed resource-rational adaptation model. What the paper purports to show is that the apparent heuristic behavior of LLMs is not the result of training defects but rather reflects resource-rational adaption. This is not really what the studies show. What is shown is more limited: under particular prompting and computational constraints, a narrow group of LLMs search less information and, as a result, appear to rely more on heuristic-like choices. Such LLM behavior does not demonstrate or even imply intentional resource-rational optimization. Indeed, the paper often attributes results to intentional planning (“strategically truncate search,” “chose to rely on heuristics”, “maximize global utility,” etc.) but all of this is inferred (inappropriately) from observations of external behavior rather than any underlying cognitive processes (or whatever one might call the processes employed by AI). Given this limitation, the author(s) should eliminate or soften the use of such terms.</w:t>
      </w:r>
    </w:p>
    <w:p>
      <w:pPr>
        <w:pStyle w:val="FirstParagraph"/>
        <w:rPr/>
      </w:pPr>
      <w:r>
        <w:rPr>
          <w:b/>
          <w:bCs/>
        </w:rPr>
        <w:t>Response.</w:t>
      </w:r>
      <w:r>
        <w:rPr/>
        <w:t xml:space="preserve"> We agree that Tool-Lab observes behavior rather than process, and that the original studies could not demonstrate resource-rational optimization. Following your recommendation, we revised the entire paper to describe observed behavior rather than internal processes:</w:t>
      </w:r>
    </w:p>
    <w:p>
      <w:pPr>
        <w:pStyle w:val="CompactList"/>
        <w:numPr>
          <w:ilvl w:val="0"/>
          <w:numId w:val="2"/>
        </w:numPr>
        <w:rPr/>
      </w:pPr>
      <w:r>
        <w:rPr>
          <w:i/>
          <w:iCs/>
        </w:rPr>
        <w:t>Process versus behavior.</w:t>
      </w:r>
      <w:r>
        <w:rPr/>
        <w:t xml:space="preserve"> We state that Tool-Lab observes acquisition and choice, not the internal mechanisms of the neural network (Theoretical implications, third paragraph), and that reasoning traces are “verbal reports” rather than direct measures of these mechanisms (Limitations and future research, second paragraph).</w:t>
      </w:r>
    </w:p>
    <w:p>
      <w:pPr>
        <w:pStyle w:val="CompactList"/>
        <w:numPr>
          <w:ilvl w:val="0"/>
          <w:numId w:val="2"/>
        </w:numPr>
        <w:rPr/>
      </w:pPr>
      <w:r>
        <w:rPr>
          <w:i/>
          <w:iCs/>
        </w:rPr>
        <w:t>Resource rationality versus training defects.</w:t>
      </w:r>
      <w:r>
        <w:rPr/>
        <w:t xml:space="preserve"> We removed the resource-rationality account.</w:t>
      </w:r>
    </w:p>
    <w:p>
      <w:pPr>
        <w:pStyle w:val="CompactList"/>
        <w:numPr>
          <w:ilvl w:val="0"/>
          <w:numId w:val="2"/>
        </w:numPr>
        <w:rPr/>
      </w:pPr>
      <w:r>
        <w:rPr>
          <w:i/>
          <w:iCs/>
        </w:rPr>
        <w:t>Rival accounts.</w:t>
      </w:r>
      <w:r>
        <w:rPr/>
        <w:t xml:space="preserve"> We now explicitly state that our results do not rule out rival accounts for search truncation, “such as statistical regularities in training data or limits on planning” (Limitations and future research, second paragraph).</w:t>
      </w:r>
    </w:p>
    <w:p>
      <w:pPr>
        <w:pStyle w:val="CompactList"/>
        <w:numPr>
          <w:ilvl w:val="0"/>
          <w:numId w:val="2"/>
        </w:numPr>
        <w:rPr/>
      </w:pPr>
      <w:r>
        <w:rPr>
          <w:i/>
          <w:iCs/>
        </w:rPr>
        <w:t>Intentional language.</w:t>
      </w:r>
      <w:r>
        <w:rPr/>
        <w:t xml:space="preserve"> We replaced anthropomorphic terms with descriptions of observed behavior. For example, LLMs “omit diagnostic attributes” and make “suboptimal choices resembling human heuristics” (Abstract).</w:t>
      </w:r>
    </w:p>
    <w:p>
      <w:pPr>
        <w:pStyle w:val="FirstParagraph"/>
        <w:rPr/>
      </w:pPr>
      <w:r>
        <w:rPr/>
        <w:t>The revised hypotheses make no claim about intentional optimization (Conceptual development, “Goal specificity”; H1–H3). We also expanded the sample from two Gemini LLMs to eight LLMs from three providers (The Tool-Lab paradigm, “LLMs tested”). Therefore, the revised paper claims only what Tool-Lab observes: which attributes the LLMs acquire and which alternative they choose.</w:t>
      </w:r>
      <w:bookmarkEnd w:id="56"/>
    </w:p>
    <w:p>
      <w:pPr>
        <w:pStyle w:val="Heading2"/>
        <w:rPr/>
      </w:pPr>
      <w:bookmarkStart w:id="57" w:name="r3.4.-rival-hypotheses"/>
      <w:r>
        <w:rPr/>
        <w:t>R3.4. Rival hypotheses</w:t>
      </w:r>
    </w:p>
    <w:p>
      <w:pPr>
        <w:pStyle w:val="BlockText"/>
        <w:rPr/>
      </w:pPr>
      <w:r>
        <w:rPr/>
        <w:t>There are numerous potential rival hypotheses for the results obtained in the various studies, and the studies do not eliminate them. At a very basic level, LLMs are trained to predict the next element (token) in a sequence based on probability estimates. Behavior that looks heuristic-like may just reflect statistical regularities in language. Related to this limitation is the fact that contemporary LLMs often have difficulty with long-horizon planning; they may stop searching just because of planning limitations rather than any assessment of low information value. Of course, it is also well-known that LLM results are highly sensitive to the wording of prompts. If what appears to be heuristic behavior disappears or changes substantially under slightly different prompts, it becomes difficult to argue that the model possesses a stable resource-rational strategy. There are also various characteristics of individual LLMs that influence things like number of searches, stopping criteria, inefficiencies associated with external tools, etc. For these reasons, demonstrating behavior consistent with resource rationality is not the same as demonstrating that resource rationality is the causal mechanism.</w:t>
      </w:r>
    </w:p>
    <w:p>
      <w:pPr>
        <w:pStyle w:val="FirstParagraph"/>
        <w:rPr/>
      </w:pPr>
      <w:r>
        <w:rPr>
          <w:b/>
          <w:bCs/>
        </w:rPr>
        <w:t>Response.</w:t>
      </w:r>
      <w:r>
        <w:rPr/>
        <w:t xml:space="preserve"> We agree that behavior consistent with resource rationality does not establish resource rationality as the causal mechanism. Following your feedback, the revised paper no longer claims that resource rationality is the causal mechanism. It tests a pathway from acquisition cost and goal specificity to diagnostic acquisition and choice optimality (Conceptual development, “Goal specificity”; H1–H3). It does not claim to explain why an LLM truncates search. We address each rival account as follows:</w:t>
      </w:r>
    </w:p>
    <w:p>
      <w:pPr>
        <w:pStyle w:val="CompactList"/>
        <w:numPr>
          <w:ilvl w:val="0"/>
          <w:numId w:val="2"/>
        </w:numPr>
        <w:rPr/>
      </w:pPr>
      <w:r>
        <w:rPr>
          <w:i/>
          <w:iCs/>
        </w:rPr>
        <w:t>Statistical regularities in language.</w:t>
      </w:r>
      <w:r>
        <w:rPr/>
        <w:t xml:space="preserve"> Our design cannot rule out this account, and we state this as a limitation (Limitations and future research, second paragraph). The hypotheses do not depend on it, because they concern which attributes are acquired, not why.</w:t>
      </w:r>
    </w:p>
    <w:p>
      <w:pPr>
        <w:pStyle w:val="CompactList"/>
        <w:numPr>
          <w:ilvl w:val="0"/>
          <w:numId w:val="2"/>
        </w:numPr>
        <w:rPr/>
      </w:pPr>
      <w:r>
        <w:rPr>
          <w:i/>
          <w:iCs/>
        </w:rPr>
        <w:t>Limits on long-horizon planning.</w:t>
      </w:r>
      <w:r>
        <w:rPr/>
        <w:t xml:space="preserve"> We state this account as a limitation in the same paragraph. We also added a validation study that assigns information states exogenously, which removes search and planning from the task and tests how the LLMs use the information they are given (Validation studies, “Exogenous information states”). When diagnostic attributes were withheld, the choices of seven of the eight LLMs were consistent with the normative Expectimax policy in 99.3% of sessions.</w:t>
      </w:r>
    </w:p>
    <w:p>
      <w:pPr>
        <w:pStyle w:val="CompactList"/>
        <w:numPr>
          <w:ilvl w:val="0"/>
          <w:numId w:val="2"/>
        </w:numPr>
        <w:rPr/>
      </w:pPr>
      <w:r>
        <w:rPr>
          <w:i/>
          <w:iCs/>
        </w:rPr>
        <w:t>Prompt sensitivity.</w:t>
      </w:r>
      <w:r>
        <w:rPr/>
        <w:t xml:space="preserve"> We added a prompt-variation study that tests the pathway across alternative wordings of the delegating prompt (Study 1, Tool-Lab, “Prompt variation”). The pathway replicated in eight of the nine LLM and prompt-variation combinations. Goal specificity is itself a manipulated prompt factor in our new design.</w:t>
      </w:r>
    </w:p>
    <w:p>
      <w:pPr>
        <w:pStyle w:val="CompactList"/>
        <w:numPr>
          <w:ilvl w:val="0"/>
          <w:numId w:val="2"/>
        </w:numPr>
        <w:rPr/>
      </w:pPr>
      <w:r>
        <w:rPr>
          <w:i/>
          <w:iCs/>
        </w:rPr>
        <w:t>LLM-specific characteristics.</w:t>
      </w:r>
      <w:r>
        <w:rPr/>
        <w:t xml:space="preserve"> Acquisition cost and goal specificity are manipulated within each LLM. For the eight LLMs tested, the multilevel model allows each path to vary by LLM and estimates an LLM-specific baseline search depth. As a result, the pooled effects are estimated from contrasts within each LLM rather than from differences between LLMs (The Tool-Lab paradigm, “LLMs tested”; Web Appendix D). To test whether the tool structure drives the results, we also ran a condition in which price is acquired in a single tool call (Study 1, Tool-Lab, “Price partitioning”). H1–H3 remained supported with a single price attribute.</w:t>
      </w:r>
    </w:p>
    <w:p>
      <w:pPr>
        <w:pStyle w:val="FirstParagraph"/>
        <w:rPr/>
      </w:pPr>
      <w:r>
        <w:rPr/>
        <w:t>Therefore, the alternative explanations that our design cannot rule out concern why LLMs truncate search, not whether acquisition cost and goal specificity affect diagnostic acquisition and choice optimality.</w:t>
      </w:r>
      <w:bookmarkEnd w:id="57"/>
    </w:p>
    <w:p>
      <w:pPr>
        <w:pStyle w:val="Heading2"/>
        <w:rPr/>
      </w:pPr>
      <w:bookmarkStart w:id="58" w:name="r3.5.-what-tool-lab-measures"/>
      <w:r>
        <w:rPr/>
        <w:t>R3.5. What Tool-Lab measures</w:t>
      </w:r>
    </w:p>
    <w:p>
      <w:pPr>
        <w:pStyle w:val="BlockText"/>
        <w:rPr/>
      </w:pPr>
      <w:r>
        <w:rPr/>
        <w:t>The greatest strength of the paper is the tool-lab process. It provides a means for moving beyond examination of final outputs by using process-tracing. Such process tracing has many benefits for AI research, as it does for examination of human information processing. However, it is not a measure of internal “reasoning” by an AI agent. What the tool-lab approach does provide is a trace of what tools are called and when. It is a useful tool for observing information acquisition behavior (the process is still unmeasured). Despite its many benefits, the tool-lab process is not without its limitations, just as information boards are limited. The search environment is highly structured, search costs are experimentally imposed, and search patterns may reflect how the LLM is implemented.</w:t>
      </w:r>
    </w:p>
    <w:p>
      <w:pPr>
        <w:pStyle w:val="FirstParagraph"/>
        <w:rPr/>
      </w:pPr>
      <w:r>
        <w:rPr>
          <w:b/>
          <w:bCs/>
        </w:rPr>
        <w:t>Response.</w:t>
      </w:r>
      <w:r>
        <w:rPr/>
        <w:t xml:space="preserve"> We agree that Tool-Lab traces information acquisition rather than internal reasoning, and that it shares the limitations of information boards. We now state that Tool-Lab measures which attributes an agent acquires and in what order (The Tool-Lab paradigm), and we acknowledge that it does not measure the internal processes that produce this behavior (Limitations and future research, second paragraph). We also discuss each of the constraints you raise:</w:t>
      </w:r>
    </w:p>
    <w:p>
      <w:pPr>
        <w:pStyle w:val="CompactList"/>
        <w:numPr>
          <w:ilvl w:val="0"/>
          <w:numId w:val="2"/>
        </w:numPr>
        <w:rPr/>
      </w:pPr>
      <w:r>
        <w:rPr>
          <w:i/>
          <w:iCs/>
        </w:rPr>
        <w:t>Structured environment and imposed costs.</w:t>
      </w:r>
      <w:r>
        <w:rPr/>
        <w:t xml:space="preserve"> As with information boards, Tool-Lab presents attributes in a fixed matrix and charges an explicit monetary cost per inspection, which differs from the less structured environments and internal costs agents face in deployment. We state this as a limitation and discuss how future research can test the generalizability to live e-commerce environments and reasoning effort variations (Limitations and future research, fourth paragraph).</w:t>
      </w:r>
    </w:p>
    <w:p>
      <w:pPr>
        <w:pStyle w:val="CompactList"/>
        <w:numPr>
          <w:ilvl w:val="0"/>
          <w:numId w:val="2"/>
        </w:numPr>
        <w:rPr/>
      </w:pPr>
      <w:r>
        <w:rPr>
          <w:i/>
          <w:iCs/>
        </w:rPr>
        <w:t>Implementation.</w:t>
      </w:r>
      <w:r>
        <w:rPr/>
        <w:t xml:space="preserve"> Search patterns may reflect characteristics such as training data and tool-use tuning, which are undisclosed and vary together across LLMs (Limitations and future research, third paragraph).</w:t>
      </w:r>
    </w:p>
    <w:p>
      <w:pPr>
        <w:pStyle w:val="CompactList"/>
        <w:numPr>
          <w:ilvl w:val="0"/>
          <w:numId w:val="2"/>
        </w:numPr>
        <w:rPr/>
      </w:pPr>
      <w:r>
        <w:rPr>
          <w:i/>
          <w:iCs/>
        </w:rPr>
        <w:t>Reasoning traces.</w:t>
      </w:r>
      <w:r>
        <w:rPr/>
        <w:t xml:space="preserve"> Reasoning traces offer insight into how LLMs plan before they call tools or make choices. In the purchase-volume study, we used them to classify the objective each LLM adopted and to examine how this objective was associated with acquisition and choice (Study 1, Tool-Lab, “Sensitivity to purchase volume”). In the Limitations, we state that reasoning traces are verbal reports rather than direct measures of the underlying process, and that this evidence is suggestive rather than conclusive (Limitations and future research, second paragraph). The reasoning traces are nonetheless informative, because they precede both information acquisition and choice. The adopted objective is therefore recorded before any acquisition and cannot be a rationalization of the choice. In this respect, reasoning traces resemble the human concurrent verbal protocols used in process-tracing research (Ericsson and Simon 1998; Payne et al. 1993).</w:t>
      </w:r>
      <w:bookmarkEnd w:id="58"/>
    </w:p>
    <w:p>
      <w:pPr>
        <w:pStyle w:val="Heading2"/>
        <w:rPr/>
      </w:pPr>
      <w:bookmarkStart w:id="59" w:name="r3.6.-only-two-versions-of-the-same-llm"/>
      <w:r>
        <w:rPr/>
        <w:t>R3.6. Only two versions of the same LLM</w:t>
      </w:r>
    </w:p>
    <w:p>
      <w:pPr>
        <w:pStyle w:val="BlockText"/>
        <w:rPr/>
      </w:pPr>
      <w:r>
        <w:rPr/>
        <w:t>Further limiting the results in the present paper is the use of only two versions of the same LLM (Gemini Flash Lite and Gemini Pro). The paper would be more interesting if a least one other frontier model (GPT, Claude, etc.) had been examined.</w:t>
      </w:r>
    </w:p>
    <w:p>
      <w:pPr>
        <w:pStyle w:val="FirstParagraph"/>
        <w:rPr/>
      </w:pPr>
      <w:r>
        <w:rPr>
          <w:b/>
          <w:bCs/>
        </w:rPr>
        <w:t>Response.</w:t>
      </w:r>
      <w:r>
        <w:rPr/>
        <w:t xml:space="preserve"> We agree that two versions of the same LLM limited the generalizability of the findings. Following your suggestion, we expanded the sample from two Gemini LLMs to eight LLMs from three providers, including two frontier families outside Gemini: GPT-5.6 Luna, GPT-5.6 Terra, and GPT-5.6 Sol from OpenAI; Claude Sonnet 5 and Claude Opus 5 from Anthropic; and Gemini 3.5 Flash Lite, Gemini 3.8 Flash, and Gemini 3.1 Pro from Google (The Tool-Lab paradigm, “LLMs tested”; Web Appendix I). We reran both baselines and both Tool-Lab studies with all eight LLMs (Study 1 and Study 2, “Baseline” and “Tool-Lab”; Web Appendix D). All three hypotheses were supported for seven of the eight LLMs in Study 1 and six of the eight in Study 2, across the three providers (General discussion, fifth paragraph). Therefore, the findings are no longer limited to a single LLM family.</w:t>
      </w:r>
      <w:bookmarkEnd w:id="59"/>
    </w:p>
    <w:p>
      <w:pPr>
        <w:pStyle w:val="Heading2"/>
        <w:rPr/>
      </w:pPr>
      <w:bookmarkStart w:id="60" w:name="X0baddd690aec82e1f90189906524b5d59c4d209"/>
      <w:r>
        <w:rPr/>
        <w:t>R3.7. Literature outside marketing and implications for marketing</w:t>
      </w:r>
    </w:p>
    <w:p>
      <w:pPr>
        <w:pStyle w:val="BlockText"/>
        <w:rPr/>
      </w:pPr>
      <w:r>
        <w:rPr/>
        <w:t>Two final, related observations. First, the paper does not do justice to the substantial literature on AI that is relevant but outside of marketing. Many papers have examined tool use, reasoning failures, search behaviors, etc. The paper needs to address what it contributes beyond this literature. At the same time, the paper is short on implications for marketing. There should be far more discussion of what all of this means for marketing practice (both with respect to pricing and other elements of the marketing mix).</w:t>
      </w:r>
    </w:p>
    <w:p>
      <w:pPr>
        <w:pStyle w:val="FirstParagraph"/>
        <w:rPr/>
      </w:pPr>
      <w:r>
        <w:rPr>
          <w:b/>
          <w:bCs/>
        </w:rPr>
        <w:t>Response.</w:t>
      </w:r>
      <w:r>
        <w:rPr/>
        <w:t xml:space="preserve"> We agree that the original manuscript did not engage sufficiently with research on AI outside marketing and was short on implications for marketing practice. Following your suggestion, we now engage with research on LLMs outside marketing:</w:t>
      </w:r>
    </w:p>
    <w:p>
      <w:pPr>
        <w:pStyle w:val="CompactList"/>
        <w:numPr>
          <w:ilvl w:val="0"/>
          <w:numId w:val="2"/>
        </w:numPr>
        <w:rPr/>
      </w:pPr>
      <w:r>
        <w:rPr>
          <w:i/>
          <w:iCs/>
        </w:rPr>
        <w:t>Tool use.</w:t>
      </w:r>
      <w:r>
        <w:rPr/>
        <w:t xml:space="preserve"> Research on LLM agents that interleave reasoning with tool calls (Literature review, “AI agents as surrogate consumers,” second paragraph; The Tool-Lab paradigm).</w:t>
      </w:r>
    </w:p>
    <w:p>
      <w:pPr>
        <w:pStyle w:val="CompactList"/>
        <w:numPr>
          <w:ilvl w:val="0"/>
          <w:numId w:val="2"/>
        </w:numPr>
        <w:rPr/>
      </w:pPr>
      <w:r>
        <w:rPr>
          <w:i/>
          <w:iCs/>
        </w:rPr>
        <w:t>Reasoning failures and biases.</w:t>
      </w:r>
      <w:r>
        <w:rPr/>
        <w:t xml:space="preserve"> Benchmarks of cognitive biases in LLMs and research on biases in LLM product recommendation (Literature review, “The rationality paradox,” second paragraph).</w:t>
      </w:r>
    </w:p>
    <w:p>
      <w:pPr>
        <w:pStyle w:val="CompactList"/>
        <w:numPr>
          <w:ilvl w:val="0"/>
          <w:numId w:val="2"/>
        </w:numPr>
        <w:rPr/>
      </w:pPr>
      <w:r>
        <w:rPr>
          <w:i/>
          <w:iCs/>
        </w:rPr>
        <w:t>Search and choice of AI shopping agents.</w:t>
      </w:r>
      <w:r>
        <w:rPr/>
        <w:t xml:space="preserve"> Audits of the final choices that AI shopping agents make (Literature review, “Storefront information architecture,” third paragraph).</w:t>
      </w:r>
    </w:p>
    <w:p>
      <w:pPr>
        <w:pStyle w:val="FirstParagraph"/>
        <w:rPr/>
      </w:pPr>
      <w:r>
        <w:rPr/>
        <w:t>This literature relies on the final choices of AI agents. Our contribution beyond this is to trace which product information an AI agent acquires before choosing, and to show how the retailer’s information architecture and the consumer’s prompt shape this acquisition (Literature review, “Storefront information architecture”; Theoretical implications, third paragraph).</w:t>
      </w:r>
    </w:p>
    <w:p>
      <w:pPr>
        <w:pStyle w:val="BodyText"/>
        <w:rPr/>
      </w:pPr>
      <w:r>
        <w:rPr/>
        <w:t>We also expanded the discussion of implications for marketing practice beyond pricing, with implications for retailers, consumers, AI agent developers, and regulators (Managerial implications, “Retailers,” “Consumers,” “AI agent developers,” and “Regulators”).</w:t>
      </w:r>
      <w:bookmarkEnd w:id="60"/>
    </w:p>
    <w:p>
      <w:pPr>
        <w:pStyle w:val="Heading2"/>
        <w:rPr/>
      </w:pPr>
      <w:bookmarkStart w:id="61" w:name="X04c7f776aaa47b130724e0f6003c24d759555d3"/>
      <w:r>
        <w:rPr/>
        <w:t>R3.8. Summary and methodological contribution</w:t>
      </w:r>
    </w:p>
    <w:p>
      <w:pPr>
        <w:pStyle w:val="BlockText"/>
        <w:rPr/>
      </w:pPr>
      <w:r>
        <w:rPr/>
        <w:t>In summary, while the paper is innovative in many ways, it does not and cannot demonstrate what it set out to prove. Indeed, the paper demonstrates the many challenges of doing this type of research. The paper could make a contribution by using the empirical studies to illustrate the many challenges. This changes the focus of the paper from a substantive contribution to a methodological contribution. Such a contribution would make the many problems and limitations of this type of research more explicit for the reader.</w:t>
      </w:r>
    </w:p>
    <w:p>
      <w:pPr>
        <w:pStyle w:val="FirstParagraph"/>
        <w:rPr/>
      </w:pPr>
      <w:r>
        <w:rPr>
          <w:b/>
          <w:bCs/>
        </w:rPr>
        <w:t>Response.</w:t>
      </w:r>
      <w:r>
        <w:rPr/>
        <w:t xml:space="preserve"> We agree that this type of research faces many challenges, and that the paper should make them explicit for the reader. In the revised paper, we have carefully ensured that each claim is supported by the empirical evidence (see response to R3.1). We also state the limitations of our research explicitly (i.e., what Tool-Lab does not measure, the rival accounts of search truncation that it does not rule out, and the constraints of its structured environment and experimentally imposed costs; Limitations and future research, second to fourth paragraphs).</w:t>
      </w:r>
    </w:p>
    <w:p>
      <w:pPr>
        <w:pStyle w:val="BodyText"/>
        <w:rPr/>
      </w:pPr>
      <w:r>
        <w:rPr/>
        <w:t>We thank you once again for your detailed and constructive review. We hope that the revised positioning, the narrower claims, and the expanded sample of LLMs address your concerns.</w:t>
      </w:r>
    </w:p>
    <w:p>
      <w:pPr>
        <w:pStyle w:val="Normal"/>
        <w:rPr/>
      </w:pPr>
      <w:r>
        <w:rPr/>
      </w:r>
      <w:bookmarkEnd w:id="53"/>
      <w:bookmarkEnd w:id="61"/>
      <w:r>
        <w:br w:type="page"/>
      </w:r>
    </w:p>
    <w:p>
      <w:pPr>
        <w:pStyle w:val="Heading1"/>
        <w:spacing w:before="0" w:after="80"/>
        <w:rPr/>
      </w:pPr>
      <w:bookmarkStart w:id="62" w:name="references"/>
      <w:r>
        <w:rPr/>
        <w:t>References</w:t>
      </w:r>
    </w:p>
    <w:p>
      <w:pPr>
        <w:pStyle w:val="Bibliography"/>
        <w:rPr/>
      </w:pPr>
      <w:bookmarkStart w:id="63" w:name="refs"/>
      <w:bookmarkStart w:id="64" w:name="ref-cooper2026visa"/>
      <w:r>
        <w:rPr/>
        <w:t xml:space="preserve">Cooper III, F. (2026, April 22). Visa CMO: AI agents are your new customers—here’s how to sell to them. Fortune. </w:t>
      </w:r>
      <w:hyperlink r:id="rId2">
        <w:r>
          <w:rPr>
            <w:rStyle w:val="Hyperlink"/>
          </w:rPr>
          <w:t>https://fortune.com/2026/04/22/section-technology-visa-cmo-frank-cooper-b2ai-business-to-ai-agents-commerce-strategy/</w:t>
        </w:r>
      </w:hyperlink>
      <w:bookmarkEnd w:id="64"/>
    </w:p>
    <w:p>
      <w:pPr>
        <w:pStyle w:val="Bibliography"/>
        <w:rPr/>
      </w:pPr>
      <w:bookmarkStart w:id="65" w:name="ref-echterhoff2024cognitive"/>
      <w:r>
        <w:rPr/>
        <w:t xml:space="preserve">Echterhoff, J. M., Liu, Y., Alessa, A., McAuley, J., &amp; He, Z. (2024). Cognitive bias in decision-making with LLMs. In </w:t>
      </w:r>
      <w:r>
        <w:rPr>
          <w:i/>
          <w:iCs/>
        </w:rPr>
        <w:t>Findings of the association for computational linguistics: EMNLP 2024</w:t>
      </w:r>
      <w:r>
        <w:rPr/>
        <w:t xml:space="preserve"> (pp. 12640–12653).</w:t>
      </w:r>
      <w:bookmarkEnd w:id="65"/>
    </w:p>
    <w:p>
      <w:pPr>
        <w:pStyle w:val="Bibliography"/>
        <w:rPr/>
      </w:pPr>
      <w:bookmarkStart w:id="66" w:name="ref-ericsson1998study"/>
      <w:r>
        <w:rPr/>
        <w:t xml:space="preserve">Ericsson, K. A., &amp; Simon, H. A. (1998). How to study thinking in everyday life: Contrasting think-aloud protocols with descriptions and explanations of thinking. </w:t>
      </w:r>
      <w:r>
        <w:rPr>
          <w:i/>
          <w:iCs/>
        </w:rPr>
        <w:t>Mind, Culture, and Activity</w:t>
      </w:r>
      <w:r>
        <w:rPr/>
        <w:t xml:space="preserve">, </w:t>
      </w:r>
      <w:r>
        <w:rPr>
          <w:i/>
          <w:iCs/>
        </w:rPr>
        <w:t>5</w:t>
      </w:r>
      <w:r>
        <w:rPr/>
        <w:t>(3), 178–186.</w:t>
      </w:r>
      <w:bookmarkEnd w:id="66"/>
    </w:p>
    <w:p>
      <w:pPr>
        <w:pStyle w:val="Bibliography"/>
        <w:rPr/>
      </w:pPr>
      <w:bookmarkStart w:id="67" w:name="ref-filandrianos2025bias"/>
      <w:r>
        <w:rPr/>
        <w:t xml:space="preserve">Filandrianos, G., Dimitriou, A., Lymperaiou, M., Thomas, K., &amp; Stamou, G. (2025). Bias beware: The impact of cognitive biases on LLM-driven product recommendations. In </w:t>
      </w:r>
      <w:r>
        <w:rPr>
          <w:i/>
          <w:iCs/>
        </w:rPr>
        <w:t>Proceedings of the 2025 conference on empirical methods in natural language processing</w:t>
      </w:r>
      <w:r>
        <w:rPr/>
        <w:t xml:space="preserve"> (pp. 22408–22437).</w:t>
      </w:r>
      <w:bookmarkEnd w:id="67"/>
    </w:p>
    <w:p>
      <w:pPr>
        <w:pStyle w:val="Bibliography"/>
        <w:rPr/>
      </w:pPr>
      <w:bookmarkStart w:id="68" w:name="ref-vanheerde2021reality"/>
      <w:r>
        <w:rPr/>
        <w:t xml:space="preserve">Heerde, H. J. van, Moorman, C., Moreau, C. P., &amp; Palmatier, R. W. (2021). Reality check: Infusing ecological value into academic marketing research. </w:t>
      </w:r>
      <w:r>
        <w:rPr>
          <w:i/>
          <w:iCs/>
        </w:rPr>
        <w:t>Journal of Marketing</w:t>
      </w:r>
      <w:r>
        <w:rPr/>
        <w:t xml:space="preserve">, </w:t>
      </w:r>
      <w:r>
        <w:rPr>
          <w:i/>
          <w:iCs/>
        </w:rPr>
        <w:t>85</w:t>
      </w:r>
      <w:r>
        <w:rPr/>
        <w:t xml:space="preserve">(2), 1–13. </w:t>
      </w:r>
      <w:hyperlink r:id="rId3">
        <w:r>
          <w:rPr>
            <w:rStyle w:val="Hyperlink"/>
          </w:rPr>
          <w:t>https://doi.org/10.1177/0022242921992383</w:t>
        </w:r>
      </w:hyperlink>
      <w:bookmarkEnd w:id="68"/>
    </w:p>
    <w:p>
      <w:pPr>
        <w:pStyle w:val="Bibliography"/>
        <w:rPr/>
      </w:pPr>
      <w:bookmarkStart w:id="69" w:name="ref-huang2021strategic"/>
      <w:r>
        <w:rPr/>
        <w:t xml:space="preserve">Huang, M.-H., &amp; Rust, R. T. (2021). A strategic framework for artificial intelligence in marketing. </w:t>
      </w:r>
      <w:r>
        <w:rPr>
          <w:i/>
          <w:iCs/>
        </w:rPr>
        <w:t>Journal of the academy of marketing science</w:t>
      </w:r>
      <w:r>
        <w:rPr/>
        <w:t xml:space="preserve">, </w:t>
      </w:r>
      <w:r>
        <w:rPr>
          <w:i/>
          <w:iCs/>
        </w:rPr>
        <w:t>49</w:t>
      </w:r>
      <w:r>
        <w:rPr/>
        <w:t>(1), 30–50.</w:t>
      </w:r>
      <w:bookmarkEnd w:id="69"/>
    </w:p>
    <w:p>
      <w:pPr>
        <w:pStyle w:val="Bibliography"/>
        <w:rPr/>
      </w:pPr>
      <w:bookmarkStart w:id="70" w:name="ref-kahn2026shopping"/>
      <w:r>
        <w:rPr/>
        <w:t xml:space="preserve">Kahn, J. (2026, June 12). AI shopping agents are coming. No one is ready for them. Fortune. </w:t>
      </w:r>
      <w:hyperlink r:id="rId4">
        <w:r>
          <w:rPr>
            <w:rStyle w:val="Hyperlink"/>
          </w:rPr>
          <w:t>https://fortune.com/2026/06/12/ai-shopping-agents-are-coming-no-one-is-ready-for-them/</w:t>
        </w:r>
      </w:hyperlink>
      <w:bookmarkEnd w:id="70"/>
    </w:p>
    <w:p>
      <w:pPr>
        <w:pStyle w:val="Bibliography"/>
        <w:rPr/>
      </w:pPr>
      <w:bookmarkStart w:id="71" w:name="ref-knipper2025bias"/>
      <w:r>
        <w:rPr/>
        <w:t xml:space="preserve">Knipper, R. A., Knipper, C. S., Zhang, K., Sims, V., Bowers, C., &amp; Karmaker, S. (2025). The bias is in the details: An assessment of cognitive bias in llms. </w:t>
      </w:r>
      <w:r>
        <w:rPr>
          <w:i/>
          <w:iCs/>
        </w:rPr>
        <w:t>arXiv preprint arXiv:2509.22856</w:t>
      </w:r>
      <w:r>
        <w:rPr/>
        <w:t>.</w:t>
      </w:r>
      <w:bookmarkEnd w:id="71"/>
    </w:p>
    <w:p>
      <w:pPr>
        <w:pStyle w:val="Bibliography"/>
        <w:rPr/>
      </w:pPr>
      <w:bookmarkStart w:id="72" w:name="ref-malberg2025comprehensive"/>
      <w:r>
        <w:rPr/>
        <w:t xml:space="preserve">Malberg, S., Poletukhin, R., Schuster, C. M., &amp; Groh, G. (2025). A comprehensive evaluation of cognitive biases in llms. In </w:t>
      </w:r>
      <w:r>
        <w:rPr>
          <w:i/>
          <w:iCs/>
        </w:rPr>
        <w:t>Proceedings of the 5th international conference on natural language processing for digital humanities</w:t>
      </w:r>
      <w:r>
        <w:rPr/>
        <w:t xml:space="preserve"> (pp. 578–613).</w:t>
      </w:r>
      <w:bookmarkEnd w:id="72"/>
    </w:p>
    <w:p>
      <w:pPr>
        <w:pStyle w:val="Bibliography"/>
        <w:rPr/>
      </w:pPr>
      <w:bookmarkStart w:id="73" w:name="ref-payne1993adaptive"/>
      <w:r>
        <w:rPr/>
        <w:t xml:space="preserve">Payne, J. W., Bettman, J. R., &amp; Johnson, E. J. (1993). </w:t>
      </w:r>
      <w:r>
        <w:rPr>
          <w:i/>
          <w:iCs/>
        </w:rPr>
        <w:t>The adaptive decision maker</w:t>
      </w:r>
      <w:r>
        <w:rPr/>
        <w:t>. Cambridge university press.</w:t>
      </w:r>
      <w:bookmarkEnd w:id="73"/>
    </w:p>
    <w:p>
      <w:pPr>
        <w:pStyle w:val="Bibliography"/>
        <w:rPr/>
      </w:pPr>
      <w:bookmarkStart w:id="74" w:name="ref-sataua2026meta"/>
      <w:r>
        <w:rPr/>
        <w:t xml:space="preserve">Sataua, T. (2026, September 11). Meta built an AI that can shop for you. The problem is that most people don’t want AI spending their money. Fortune. </w:t>
      </w:r>
      <w:hyperlink r:id="rId5">
        <w:r>
          <w:rPr>
            <w:rStyle w:val="Hyperlink"/>
          </w:rPr>
          <w:t>https://fortune.com/2026/09/11/meta-muse-ai-shopping-agent-consumer-trust/</w:t>
        </w:r>
      </w:hyperlink>
      <w:bookmarkEnd w:id="74"/>
    </w:p>
    <w:p>
      <w:pPr>
        <w:pStyle w:val="Bibliography"/>
        <w:spacing w:lineRule="auto" w:line="240" w:before="0" w:after="200"/>
        <w:ind w:hanging="720" w:left="720" w:right="0"/>
        <w:rPr/>
      </w:pPr>
      <w:bookmarkStart w:id="75" w:name="ref-verdon2026retailers"/>
      <w:r>
        <w:rPr/>
        <w:t xml:space="preserve">Verdon, J. (2026, January 11). This is the year AI agents will reinvent how retailers do business. Forbes. </w:t>
      </w:r>
      <w:hyperlink r:id="rId6">
        <w:r>
          <w:rPr>
            <w:rStyle w:val="Hyperlink"/>
          </w:rPr>
          <w:t>https://www.forbes.com/sites/joanverdon/2026/01/11/this-is-the-year-ai-agents-will-reinvent-how-retailers-do-business/</w:t>
        </w:r>
      </w:hyperlink>
      <w:bookmarkEnd w:id="62"/>
      <w:bookmarkEnd w:id="63"/>
      <w:bookmarkEnd w:id="75"/>
    </w:p>
    <w:sectPr>
      <w:footerReference w:type="even" r:id="rId7"/>
      <w:footerReference w:type="default" r:id="rId8"/>
      <w:footerReference w:type="first" r:id="rId9"/>
      <w:type w:val="nextPage"/>
      <w:pgSz w:w="12240" w:h="15840"/>
      <w:pgMar w:left="1440" w:right="1440" w:gutter="0" w:header="0" w:top="1440" w:footer="1440" w:bottom="247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Consolas">
    <w:charset w:val="01"/>
    <w:family w:val="roman"/>
    <w:pitch w:val="variable"/>
  </w:font>
  <w:font w:name="Liberation Sans">
    <w:altName w:val="Arial"/>
    <w:charset w:val="01"/>
    <w:family w:val="swiss"/>
    <w:pitch w:val="variable"/>
  </w:font>
  <w:font w:name="Aptos Display">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fldChar w:fldCharType="begin"/>
    </w:r>
    <w:r>
      <w:rPr/>
      <w:instrText xml:space="preserve"> PAGE </w:instrText>
    </w:r>
    <w:r>
      <w:rPr/>
      <w:fldChar w:fldCharType="separate"/>
    </w:r>
    <w:r>
      <w:rPr/>
      <w:t>30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fldChar w:fldCharType="begin"/>
    </w:r>
    <w:r>
      <w:rPr/>
      <w:instrText xml:space="preserve"> PAGE </w:instrText>
    </w:r>
    <w:r>
      <w:rPr/>
      <w:fldChar w:fldCharType="separate"/>
    </w:r>
    <w:r>
      <w:rPr/>
      <w:t>30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Letter"/>
      <w:lvlText w:val="%3."/>
      <w:lvlJc w:val="left"/>
      <w:pPr>
        <w:tabs>
          <w:tab w:val="num" w:pos="0"/>
        </w:tabs>
        <w:ind w:left="2160" w:hanging="360"/>
      </w:pPr>
      <w:rPr/>
    </w:lvl>
    <w:lvl w:ilvl="3">
      <w:start w:val="1"/>
      <w:numFmt w:val="lowerLetter"/>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Letter"/>
      <w:lvlText w:val="%6."/>
      <w:lvlJc w:val="left"/>
      <w:pPr>
        <w:tabs>
          <w:tab w:val="num" w:pos="0"/>
        </w:tabs>
        <w:ind w:left="4320" w:hanging="360"/>
      </w:pPr>
      <w:rPr/>
    </w:lvl>
    <w:lvl w:ilvl="6">
      <w:start w:val="1"/>
      <w:numFmt w:val="lowerLetter"/>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Letter"/>
      <w:lvlText w:val="%9."/>
      <w:lvlJc w:val="left"/>
      <w:pPr>
        <w:tabs>
          <w:tab w:val="num" w:pos="0"/>
        </w:tabs>
        <w:ind w:left="648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Letter"/>
      <w:lvlText w:val="%3."/>
      <w:lvlJc w:val="left"/>
      <w:pPr>
        <w:tabs>
          <w:tab w:val="num" w:pos="0"/>
        </w:tabs>
        <w:ind w:left="2160" w:hanging="360"/>
      </w:pPr>
      <w:rPr/>
    </w:lvl>
    <w:lvl w:ilvl="3">
      <w:start w:val="1"/>
      <w:numFmt w:val="lowerLetter"/>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Letter"/>
      <w:lvlText w:val="%6."/>
      <w:lvlJc w:val="left"/>
      <w:pPr>
        <w:tabs>
          <w:tab w:val="num" w:pos="0"/>
        </w:tabs>
        <w:ind w:left="4320" w:hanging="360"/>
      </w:pPr>
      <w:rPr/>
    </w:lvl>
    <w:lvl w:ilvl="6">
      <w:start w:val="1"/>
      <w:numFmt w:val="lowerLetter"/>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Letter"/>
      <w:lvlText w:val="%9."/>
      <w:lvlJc w:val="left"/>
      <w:pPr>
        <w:tabs>
          <w:tab w:val="num" w:pos="0"/>
        </w:tabs>
        <w:ind w:left="6480" w:hanging="360"/>
      </w:pPr>
      <w:rPr/>
    </w:lvl>
  </w:abstractNum>
  <w:abstractNum w:abstractNumId="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Letter"/>
      <w:lvlText w:val="%3."/>
      <w:lvlJc w:val="left"/>
      <w:pPr>
        <w:tabs>
          <w:tab w:val="num" w:pos="0"/>
        </w:tabs>
        <w:ind w:left="2160" w:hanging="360"/>
      </w:pPr>
      <w:rPr/>
    </w:lvl>
    <w:lvl w:ilvl="3">
      <w:start w:val="1"/>
      <w:numFmt w:val="lowerLetter"/>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Letter"/>
      <w:lvlText w:val="%6."/>
      <w:lvlJc w:val="left"/>
      <w:pPr>
        <w:tabs>
          <w:tab w:val="num" w:pos="0"/>
        </w:tabs>
        <w:ind w:left="4320" w:hanging="360"/>
      </w:pPr>
      <w:rPr/>
    </w:lvl>
    <w:lvl w:ilvl="6">
      <w:start w:val="1"/>
      <w:numFmt w:val="lowerLetter"/>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Letter"/>
      <w:lvlText w:val="%9."/>
      <w:lvlJc w:val="left"/>
      <w:pPr>
        <w:tabs>
          <w:tab w:val="num" w:pos="0"/>
        </w:tabs>
        <w:ind w:left="6480" w:hanging="360"/>
      </w:pPr>
      <w:rPr/>
    </w:lvl>
  </w:abstractNum>
  <w:abstractNum w:abstractNumId="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4"/>
    <w:lvlOverride w:ilvl="0">
      <w:startOverride w:val="1"/>
    </w:lvlOverride>
  </w:num>
</w:numbering>
</file>

<file path=word/settings.xml><?xml version="1.0" encoding="utf-8"?>
<w:settings xmlns:w="http://schemas.openxmlformats.org/wordprocessingml/2006/main">
  <w:zoom w:percent="100"/>
  <w:embedSystemFonts/>
  <w:stylePaneFormatFilter w:val="0004"/>
  <w:defaultTabStop w:val="1134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uiPriority w:val="0"/>
    <w:qFormat/>
    <w:rsid w:val="02a945fd"/>
    <w:pPr>
      <w:widowControl/>
      <w:suppressAutoHyphens w:val="true"/>
      <w:bidi w:val="0"/>
      <w:spacing w:lineRule="auto" w:line="240" w:before="0" w:after="200"/>
      <w:ind w:hanging="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BodyText"/>
    <w:link w:val="Heading1Char"/>
    <w:uiPriority w:val="9"/>
    <w:qFormat/>
    <w:rsid w:val="02a945fd"/>
    <w:pPr>
      <w:keepNext w:val="true"/>
      <w:keepLines/>
      <w:spacing w:before="360" w:after="80"/>
      <w:ind w:hanging="0"/>
      <w:outlineLvl w:val="0"/>
    </w:pPr>
    <w:rPr>
      <w:b/>
      <w:bCs/>
      <w:color w:themeColor="text1" w:val="000000"/>
      <w:sz w:val="28"/>
      <w:szCs w:val="28"/>
    </w:rPr>
  </w:style>
  <w:style w:type="paragraph" w:styleId="Heading2">
    <w:name w:val="heading 2"/>
    <w:basedOn w:val="Normal"/>
    <w:next w:val="BodyText"/>
    <w:link w:val="Heading2Char"/>
    <w:uiPriority w:val="9"/>
    <w:semiHidden/>
    <w:unhideWhenUsed/>
    <w:qFormat/>
    <w:rsid w:val="02a945fd"/>
    <w:pPr>
      <w:keepNext w:val="true"/>
      <w:keepLines/>
      <w:spacing w:before="160" w:after="80"/>
      <w:ind w:hanging="0"/>
      <w:outlineLvl w:val="1"/>
    </w:pPr>
    <w:rPr>
      <w:b/>
      <w:bCs/>
      <w:color w:themeColor="text1" w:val="000000"/>
    </w:rPr>
  </w:style>
  <w:style w:type="paragraph" w:styleId="Heading3">
    <w:name w:val="heading 3"/>
    <w:basedOn w:val="Normal"/>
    <w:next w:val="BodyText"/>
    <w:link w:val="Heading3Char"/>
    <w:uiPriority w:val="9"/>
    <w:semiHidden/>
    <w:unhideWhenUsed/>
    <w:qFormat/>
    <w:rsid w:val="02a945fd"/>
    <w:pPr>
      <w:keepNext w:val="true"/>
      <w:keepLines/>
      <w:spacing w:before="160" w:after="80"/>
      <w:ind w:hanging="0"/>
      <w:outlineLvl w:val="2"/>
    </w:pPr>
    <w:rPr>
      <w:rFonts w:eastAsia="" w:cs="" w:cstheme="majorBidi" w:eastAsiaTheme="majorEastAsia"/>
      <w:i/>
      <w:color w:val="000000"/>
      <w:sz w:val="24"/>
      <w:szCs w:val="28"/>
    </w:rPr>
  </w:style>
  <w:style w:type="paragraph" w:styleId="Heading4">
    <w:name w:val="heading 4"/>
    <w:basedOn w:val="Normal"/>
    <w:next w:val="BodyText"/>
    <w:link w:val="Heading4Char"/>
    <w:uiPriority w:val="9"/>
    <w:semiHidden/>
    <w:unhideWhenUsed/>
    <w:qFormat/>
    <w:rsid w:val="02a945f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2a945f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2a945f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2a945f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2a945fd"/>
    <w:pPr>
      <w:keepNext w:val="true"/>
      <w:keepLines/>
      <w:spacing w:before="0" w:after="0"/>
      <w:outlineLvl w:val="7"/>
    </w:pPr>
    <w:rPr>
      <w:rFonts w:eastAsia="" w:cs="" w:cstheme="majorBidi" w:eastAsiaTheme="majorEastAsia"/>
      <w:i/>
      <w:iCs/>
      <w:color w:val="272727"/>
    </w:rPr>
  </w:style>
  <w:style w:type="paragraph" w:styleId="Heading9">
    <w:name w:val="heading 9"/>
    <w:basedOn w:val="Normal"/>
    <w:next w:val="BodyText"/>
    <w:link w:val="Heading9Char"/>
    <w:uiPriority w:val="9"/>
    <w:semiHidden/>
    <w:unhideWhenUsed/>
    <w:qFormat/>
    <w:rsid w:val="02a945fd"/>
    <w:pPr>
      <w:keepNext w:val="true"/>
      <w:keepLines/>
      <w:spacing w:before="0" w:after="0"/>
      <w:outlineLvl w:val="8"/>
    </w:pPr>
    <w:rPr>
      <w:rFonts w:eastAsia="" w:cs="" w:cstheme="majorBidi" w:eastAsiaTheme="majorEastAsia"/>
      <w:color w:val="272727"/>
    </w:rPr>
  </w:style>
  <w:style w:type="character" w:styleId="TitleChar" w:customStyle="1">
    <w:name w:val="Title Char"/>
    <w:basedOn w:val="DefaultParagraphFont"/>
    <w:link w:val="Title"/>
    <w:uiPriority w:val="10"/>
    <w:qFormat/>
    <w:rsid w:val="02a945fd"/>
    <w:rPr>
      <w:rFonts w:ascii="Times New Roman" w:hAnsi="Times New Roman" w:eastAsia="Times New Roman" w:cs="Times New Roman"/>
      <w:b/>
      <w:bCs/>
      <w:sz w:val="28"/>
      <w:szCs w:val="28"/>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2a945fd"/>
    <w:rPr>
      <w:rFonts w:ascii="Times New Roman" w:hAnsi="Times New Roman" w:eastAsia="Times New Roman" w:cs="Times New Roman"/>
      <w:b/>
      <w:bCs/>
      <w:color w:themeColor="text1" w:val="000000"/>
      <w:sz w:val="28"/>
      <w:szCs w:val="28"/>
    </w:rPr>
  </w:style>
  <w:style w:type="character" w:styleId="Heading2Char" w:customStyle="1">
    <w:name w:val="Heading 2 Char"/>
    <w:basedOn w:val="DefaultParagraphFont"/>
    <w:link w:val="Heading2"/>
    <w:uiPriority w:val="9"/>
    <w:semiHidden/>
    <w:qFormat/>
    <w:rsid w:val="02a945fd"/>
    <w:rPr>
      <w:rFonts w:ascii="Times New Roman" w:hAnsi="Times New Roman" w:eastAsia="Times New Roman" w:cs="Times New Roman"/>
      <w:b/>
      <w:bCs/>
      <w:color w:themeColor="text1" w:val="000000"/>
      <w:sz w:val="24"/>
      <w:szCs w:val="24"/>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character" w:styleId="FollowedHyperlink">
    <w:name w:val="FollowedHyperlink"/>
    <w:rPr>
      <w:color w:val="800000"/>
      <w:u w:val="single"/>
    </w:rPr>
  </w:style>
  <w:style w:type="character" w:styleId="EndnoteCharactersuser">
    <w:name w:val="Endnote Characters (user)"/>
    <w:rPr>
      <w:vertAlign w:val="superscript"/>
    </w:rPr>
  </w:style>
  <w:style w:type="character" w:styleId="EndnoteCharacters">
    <w:name w:val="Endnote Characters"/>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qFormat/>
    <w:rsid w:val="02a945fd"/>
    <w:pPr>
      <w:spacing w:lineRule="auto" w:line="240" w:before="180" w:after="180"/>
      <w:ind w:hanging="0"/>
      <w:jc w:val="both"/>
    </w:pPr>
    <w:rPr/>
  </w:style>
  <w:style w:type="paragraph" w:styleId="List">
    <w:name w:val="List"/>
    <w:basedOn w:val="BodyText"/>
    <w:pPr/>
    <w:rPr>
      <w:rFonts w:cs="Noto Sans Devanagari"/>
    </w:rPr>
  </w:style>
  <w:style w:type="paragraph" w:styleId="Caption">
    <w:name w:val="caption"/>
    <w:basedOn w:val="Normal"/>
    <w:link w:val="BodyTextChar"/>
    <w:uiPriority w:val="1"/>
    <w:qFormat/>
    <w:rsid w:val="02a945fd"/>
    <w:pPr>
      <w:spacing w:before="0" w:after="120"/>
    </w:pPr>
    <w:rPr>
      <w:i/>
      <w:iCs/>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spacing w:lineRule="auto" w:line="240"/>
    </w:pPr>
    <w:rPr/>
  </w:style>
  <w:style w:type="paragraph" w:styleId="Compact" w:customStyle="1">
    <w:name w:val="Compact"/>
    <w:basedOn w:val="BodyText"/>
    <w:uiPriority w:val="1"/>
    <w:qFormat/>
    <w:rsid w:val="02a945fd"/>
    <w:pPr>
      <w:spacing w:lineRule="auto" w:line="240" w:before="36" w:after="36"/>
      <w:ind w:hanging="0"/>
      <w:jc w:val="left"/>
    </w:pPr>
    <w:rPr>
      <w:rFonts w:ascii="Times New Roman" w:hAnsi="Times New Roman" w:eastAsia="Times New Roman" w:cs="Times New Roman"/>
      <w:sz w:val="24"/>
      <w:szCs w:val="24"/>
    </w:rPr>
  </w:style>
  <w:style w:type="paragraph" w:styleId="Title">
    <w:name w:val="Title"/>
    <w:basedOn w:val="Normal"/>
    <w:next w:val="BodyText"/>
    <w:link w:val="TitleChar"/>
    <w:uiPriority w:val="10"/>
    <w:qFormat/>
    <w:rsid w:val="02a945fd"/>
    <w:pPr>
      <w:spacing w:lineRule="auto" w:line="240" w:before="0" w:after="80"/>
      <w:ind w:hanging="0"/>
      <w:contextualSpacing/>
      <w:jc w:val="center"/>
    </w:pPr>
    <w:rPr>
      <w:b/>
      <w:bCs/>
      <w:sz w:val="28"/>
      <w:szCs w:val="28"/>
    </w:rPr>
  </w:style>
  <w:style w:type="paragraph" w:styleId="Subtitle">
    <w:name w:val="Subtitle"/>
    <w:basedOn w:val="Title"/>
    <w:next w:val="BodyText"/>
    <w:link w:val="SubtitleChar"/>
    <w:uiPriority w:val="11"/>
    <w:qFormat/>
    <w:rsid w:val="02a945fd"/>
    <w:pPr/>
    <w:rPr>
      <w:rFonts w:eastAsia="" w:cs="" w:cstheme="majorBidi" w:eastAsiaTheme="majorEastAsia"/>
    </w:rPr>
  </w:style>
  <w:style w:type="paragraph" w:styleId="Author" w:customStyle="1">
    <w:name w:val="Author"/>
    <w:basedOn w:val="Title"/>
    <w:next w:val="BodyText"/>
    <w:uiPriority w:val="1"/>
    <w:qFormat/>
    <w:rsid w:val="02a945fd"/>
    <w:pPr>
      <w:keepNext w:val="true"/>
      <w:keepLines/>
    </w:pPr>
    <w:rPr>
      <w:sz w:val="24"/>
      <w:szCs w:val="24"/>
    </w:rPr>
  </w:style>
  <w:style w:type="paragraph" w:styleId="Date">
    <w:name w:val="Date"/>
    <w:basedOn w:val="Title"/>
    <w:next w:val="BodyText"/>
    <w:uiPriority w:val="1"/>
    <w:qFormat/>
    <w:rsid w:val="02a945fd"/>
    <w:pPr>
      <w:keepNext w:val="true"/>
      <w:keepLines/>
    </w:pPr>
    <w:rPr>
      <w:sz w:val="24"/>
      <w:szCs w:val="24"/>
    </w:rPr>
  </w:style>
  <w:style w:type="paragraph" w:styleId="AbstractTitle" w:customStyle="1">
    <w:name w:val="Abstract Title"/>
    <w:basedOn w:val="Normal"/>
    <w:next w:val="Abstract"/>
    <w:uiPriority w:val="1"/>
    <w:qFormat/>
    <w:rsid w:val="02a945fd"/>
    <w:pPr>
      <w:keepNext w:val="true"/>
      <w:keepLines/>
      <w:spacing w:before="300" w:after="0"/>
      <w:ind w:hanging="0"/>
      <w:jc w:val="left"/>
    </w:pPr>
    <w:rPr>
      <w:b/>
      <w:bCs/>
    </w:rPr>
  </w:style>
  <w:style w:type="paragraph" w:styleId="Abstract" w:customStyle="1">
    <w:name w:val="Abstract"/>
    <w:basedOn w:val="Normal"/>
    <w:next w:val="BodyText"/>
    <w:uiPriority w:val="1"/>
    <w:qFormat/>
    <w:rsid w:val="02a945fd"/>
    <w:pPr>
      <w:keepNext w:val="true"/>
      <w:keepLines/>
      <w:spacing w:before="100" w:after="300"/>
      <w:jc w:val="both"/>
    </w:pPr>
    <w:rPr/>
  </w:style>
  <w:style w:type="paragraph" w:styleId="Bibliography">
    <w:name w:val="Bibliography"/>
    <w:basedOn w:val="Normal"/>
    <w:uiPriority w:val="1"/>
    <w:qFormat/>
    <w:rsid w:val="02a945fd"/>
    <w:pPr>
      <w:tabs>
        <w:tab w:val="clear" w:pos="11340"/>
      </w:tabs>
      <w:spacing w:lineRule="auto" w:line="240"/>
      <w:ind w:hanging="720" w:left="720" w:right="0"/>
    </w:pPr>
    <w:rPr/>
  </w:style>
  <w:style w:type="paragraph" w:styleId="BlockText">
    <w:name w:val="Block Text"/>
    <w:basedOn w:val="BodyText"/>
    <w:next w:val="BodyText"/>
    <w:uiPriority w:val="9"/>
    <w:unhideWhenUsed/>
    <w:qFormat/>
    <w:pPr>
      <w:pBdr>
        <w:left w:val="single" w:sz="12" w:space="8" w:color="1F4E79"/>
      </w:pBdr>
      <w:spacing w:lineRule="auto" w:line="240" w:before="100" w:after="100"/>
      <w:ind w:hanging="0" w:left="480" w:right="480"/>
      <w:jc w:val="both"/>
    </w:pPr>
    <w:rPr>
      <w:i w:val="false"/>
      <w:iCs/>
      <w:color w:val="0E2340"/>
      <w:sz w:val="22"/>
      <w:szCs w:val="22"/>
    </w:rPr>
  </w:style>
  <w:style w:type="paragraph" w:styleId="FootnoteText">
    <w:name w:val="footnote text"/>
    <w:basedOn w:val="Normal"/>
    <w:uiPriority w:val="9"/>
    <w:unhideWhenUsed/>
    <w:qFormat/>
    <w:rsid w:val="02a945fd"/>
    <w:pPr>
      <w:spacing w:lineRule="auto" w:line="240" w:before="0" w:after="0"/>
      <w:ind w:hanging="0"/>
    </w:pPr>
    <w:rPr>
      <w:sz w:val="20"/>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uiPriority w:val="1"/>
    <w:qFormat/>
    <w:rsid w:val="02a945fd"/>
    <w:pPr>
      <w:keepNext w:val="true"/>
      <w:keepLines/>
      <w:spacing w:before="0" w:after="0"/>
    </w:pPr>
    <w:rPr>
      <w:b/>
      <w:bCs/>
    </w:rPr>
  </w:style>
  <w:style w:type="paragraph" w:styleId="Definition" w:customStyle="1">
    <w:name w:val="Definition"/>
    <w:basedOn w:val="Normal"/>
    <w:uiPriority w:val="1"/>
    <w:qFormat/>
    <w:rsid w:val="02a945fd"/>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ind w:hanging="0"/>
    </w:pPr>
    <w:rPr/>
  </w:style>
  <w:style w:type="paragraph" w:styleId="Figure" w:customStyle="1">
    <w:name w:val="Figure"/>
    <w:basedOn w:val="Normal"/>
    <w:uiPriority w:val="1"/>
    <w:qFormat/>
    <w:rsid w:val="02a945fd"/>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rsid w:val="02a945fd"/>
    <w:pPr>
      <w:spacing w:lineRule="auto" w:line="259" w:before="240" w:after="80"/>
    </w:pPr>
    <w:rPr>
      <w:rFonts w:ascii="Aptos Display" w:hAnsi="Aptos Display" w:eastAsia="" w:cs="" w:asciiTheme="majorAscii" w:cstheme="majorBidi" w:eastAsiaTheme="majorEastAsia" w:hAnsiTheme="majorAscii"/>
      <w:b w:val="false"/>
      <w:bCs w:val="false"/>
      <w:color w:themeColor="accent1" w:themeShade="bf" w:val="0F4761"/>
    </w:rPr>
  </w:style>
  <w:style w:type="paragraph" w:styleId="SourceCode" w:customStyle="1">
    <w:name w:val="Source Code"/>
    <w:basedOn w:val="Normal"/>
    <w:link w:val="VerbatimChar"/>
    <w:uiPriority w:val="1"/>
    <w:qFormat/>
    <w:rsid w:val="02a945fd"/>
    <w:pPr>
      <w:shd w:val="clear" w:color="auto" w:fill="F1F3F5"/>
    </w:pPr>
    <w:rPr/>
  </w:style>
  <w:style w:type="paragraph" w:styleId="HangingIndentuser">
    <w:name w:val="Hanging Indent (user)"/>
    <w:basedOn w:val="BodyText"/>
    <w:qFormat/>
    <w:pPr>
      <w:tabs>
        <w:tab w:val="clear" w:pos="11340"/>
        <w:tab w:val="left" w:pos="0" w:leader="none"/>
      </w:tabs>
      <w:ind w:hanging="283" w:left="567"/>
    </w:pPr>
    <w:rPr/>
  </w:style>
  <w:style w:type="paragraph" w:styleId="CommentText">
    <w:name w:val="annotation text"/>
    <w:basedOn w:val="BodyText"/>
    <w:pPr>
      <w:ind w:hanging="0" w:left="2268"/>
    </w:pPr>
    <w:rPr/>
  </w:style>
  <w:style w:type="paragraph" w:styleId="PreformattedText">
    <w:name w:val="Preformatted Text"/>
    <w:basedOn w:val="Normal"/>
    <w:qFormat/>
    <w:pPr>
      <w:spacing w:before="0" w:after="0"/>
    </w:pPr>
    <w:rPr>
      <w:rFonts w:ascii="Times New Roman" w:hAnsi="Times New Roman" w:eastAsia="Liberation Mono" w:cs="Liberation Mono"/>
      <w:sz w:val="20"/>
      <w:szCs w:val="20"/>
    </w:rPr>
  </w:style>
  <w:style w:type="paragraph" w:styleId="BlockQuotationuser">
    <w:name w:val="Block Quotation (user)"/>
    <w:basedOn w:val="Normal"/>
    <w:qFormat/>
    <w:pPr>
      <w:spacing w:before="0" w:after="283"/>
      <w:ind w:hanging="0" w:left="567" w:righ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11340"/>
        <w:tab w:val="center" w:pos="4680" w:leader="none"/>
        <w:tab w:val="right" w:pos="9360" w:leader="none"/>
      </w:tabs>
    </w:pPr>
    <w:rPr/>
  </w:style>
  <w:style w:type="paragraph" w:styleId="Footer">
    <w:name w:val="footer"/>
    <w:basedOn w:val="HeaderandFooter"/>
    <w:pPr>
      <w:suppressLineNumbers/>
    </w:pPr>
    <w:rPr/>
  </w:style>
  <w:style w:type="paragraph" w:styleId="TableNote" w:customStyle="1">
    <w:name w:val="Table Note"/>
    <w:basedOn w:val="BodyText"/>
    <w:qFormat/>
    <w:pPr>
      <w:ind w:hanging="0"/>
      <w:jc w:val="left"/>
    </w:pPr>
    <w:rPr>
      <w:sz w:val="20"/>
    </w:rPr>
  </w:style>
  <w:style w:type="paragraph" w:styleId="CompactList" w:customStyle="1">
    <w:name w:val="Compact List"/>
    <w:basedOn w:val="BodyText"/>
    <w:qFormat/>
    <w:pPr>
      <w:spacing w:lineRule="auto" w:line="240" w:before="36" w:after="36"/>
      <w:ind w:hanging="0" w:left="0"/>
      <w:jc w:val="left"/>
    </w:pPr>
    <w:rPr>
      <w:rFonts w:ascii="Times New Roman" w:hAnsi="Times New Roman" w:eastAsia="Times New Roman" w:cs="Times New Roman"/>
      <w:sz w:val="24"/>
      <w:szCs w:val="24"/>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 w:type="table" w:styleId="APATable">
    <w:name w:val="APA Table"/>
    <w:basedOn w:val="TableNormal"/>
    <w:uiPriority w:val="99"/>
    <w:rPr>
      <w:sz w:val="24"/>
    </w:rPr>
    <w:tblPr>
      <w:tblBorders>
        <w:top w:val="single" w:color="000000" w:sz="4" w:space="0"/>
        <w:bottom w:val="single" w:color="000000" w:sz="4" w:space="0"/>
      </w:tblBorders>
      <w:tblCellMar>
        <w:top w:w="100" w:type="dxa"/>
        <w:left w:w="100" w:type="dxa"/>
        <w:bottom w:w="100" w:type="dxa"/>
        <w:right w:w="100" w:type="dxa"/>
      </w:tblCellMar>
    </w:tblPr>
    <w:tcPr>
      <w:vAlign w:val="center"/>
    </w:tcPr>
    <w:tblStylePr w:type="firstRow">
      <w:rPr>
        <w:b w:val="0"/>
      </w:rPr>
      <w:tblPr/>
      <w:tcPr>
        <w:tcBorders>
          <w:top w:val="single" w:color="000000" w:sz="4" w:space="0"/>
          <w:bottom w:val="single" w:color="000000" w:sz="4" w:space="0"/>
        </w:tcBorders>
      </w:tcPr>
    </w:tblStylePr>
    <w:tblStylePr w:type="lastRow">
      <w:tblPr/>
      <w:tcPr>
        <w:tcBorders>
          <w:bottom w:val="single" w:color="000000" w:sz="4" w:space="0"/>
        </w:tcBorders>
      </w:tcPr>
    </w:tblStylePr>
    <w:tblStylePr w:type="firstCol">
      <w:pPr>
        <w:jc w:val="left"/>
      </w:p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fortune.com/2026/04/22/section-technology-visa-cmo-frank-cooper-b2ai-business-to-ai-agents-commerce-strategy/" TargetMode="External"/><Relationship Id="rId3" Type="http://schemas.openxmlformats.org/officeDocument/2006/relationships/hyperlink" Target="https://doi.org/10.1177/0022242921992383" TargetMode="External"/><Relationship Id="rId4" Type="http://schemas.openxmlformats.org/officeDocument/2006/relationships/hyperlink" Target="https://fortune.com/2026/06/12/ai-shopping-agents-are-coming-no-one-is-ready-for-them/" TargetMode="External"/><Relationship Id="rId5" Type="http://schemas.openxmlformats.org/officeDocument/2006/relationships/hyperlink" Target="https://fortune.com/2026/09/11/meta-muse-ai-shopping-agent-consumer-trust/" TargetMode="External"/><Relationship Id="rId6" Type="http://schemas.openxmlformats.org/officeDocument/2006/relationships/hyperlink" Target="https://www.forbes.com/sites/joanverdon/2026/01/11/this-is-the-year-ai-agents-will-reinvent-how-retailers-do-business/"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139</TotalTime>
  <Application>LibreOffice/26.8.0.3$Linux_X86_64 LibreOffice_project/e34ffb33db0c92181c79084d759a90d6bf45d9b3</Application>
  <AppVersion>15.0000</AppVersion>
  <Pages>30</Pages>
  <Words>11949</Words>
  <Characters>69746</Characters>
  <CharactersWithSpaces>81377</CharactersWithSpaces>
  <Paragraphs>273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2026-10-08T20:07:21Z</dcterms:created>
  <dc:creator/>
  <dc:description/>
  <dc:language>en-CA</dc:language>
  <cp:lastModifiedBy/>
  <dcterms:modified xsi:type="dcterms:W3CDTF">2026-10-08T13:09:55Z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quarto-files/journal-of-the-academy-of-marketing-science.csl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