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footer-pagenum.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Shopping by algorithm: How agentic AI deploys human heuristics as a surrogate consumer</w:t>
      </w:r>
    </w:p>
    <w:p>
      <w:pPr>
        <w:pStyle w:val="FirstParagraph"/>
        <w:ind w:hanging="0" w:left="0"/>
        <w:rPr/>
      </w:pPr>
      <w:r>
        <w:rPr>
          <w:b/>
          <w:bCs/>
        </w:rPr>
        <w:t>Abstract</w:t>
      </w:r>
      <w:r>
        <w:rPr/>
        <w:br/>
        <w:t>Consumers increasingly delegate purchasing decisions to Large Language Models (LLMs). We develop “Tool-Lab,” an adaptation of information-board process tracing that places product attributes behind costly tool calls, to examine how pricing cues (just-below pricing and promotional framing) influence AI shopping agents. Across eight LLMs from three providers, two studies combine full-information choice baselines with Tool-Lab experiments that manipulate acquisition cost and goal specificity. We find that under zero cost, pricing cues rarely mislead. Imposing acquisition costs under a vague goal prompt leads LLMs to omit diagnostic attributes required to compute unit price and make suboptimal choices resembling human heuristics. Relative to a specific goal prompt that largely preserves diagnostic search and choice optimality, a vague goal prompt under constraints creates a search-mediated vulnerability for AI agents. Thus, the efficacy of marketing cues in delegated AI shopping is governed by storefront information architecture and consumers’ instructions, not solely immutable LLM characteristics.</w:t>
      </w:r>
    </w:p>
    <w:p>
      <w:pPr>
        <w:pStyle w:val="BodyText"/>
        <w:ind w:hanging="0" w:left="0"/>
        <w:rPr/>
      </w:pPr>
      <w:r>
        <w:rPr>
          <w:b/>
          <w:bCs/>
        </w:rPr>
        <w:t>Keywords:</w:t>
      </w:r>
      <w:r>
        <w:rPr/>
        <w:t xml:space="preserve"> Artificial Intelligence, Large Language Models, Bounded Rationality, AI Agents</w:t>
      </w:r>
    </w:p>
    <w:p>
      <w:pPr>
        <w:pStyle w:val="Heading1"/>
        <w:rPr/>
      </w:pPr>
      <w:bookmarkStart w:id="0" w:name="introduction"/>
      <w:r>
        <w:rPr/>
        <w:t>Introduction</w:t>
      </w:r>
    </w:p>
    <w:p>
      <w:pPr>
        <w:pStyle w:val="FirstParagraph"/>
        <w:rPr/>
      </w:pPr>
      <w:r>
        <w:rPr/>
        <w:t>The evaluation of market alternatives has historically relied on human judgment. Increasingly, however, consumers are delegating end-to-end purchasing tasks to autonomous Large Language Models (LLMs) deployed as surrogate consumers (Aw et al. 2025; Hasselwander et al. 2026; Pandya 2025; Puntoni and Wertenbroch 2024), that is, an external entity to whom a principal relinquishes decision authority to navigate the marketplace (Solomon 1986). Major platforms have begun deploying agents that search, compare, and complete purchases on consumers’ behalf (Kahn 2026; Sataua 2026; Verdon 2026). While surrogate consumers have traditionally been humans, delegating this role to AI agents represents a fundamental shift in who evaluates the market (Dholakia et al. 2025).</w:t>
      </w:r>
    </w:p>
    <w:p>
      <w:pPr>
        <w:pStyle w:val="BodyText"/>
        <w:rPr/>
      </w:pPr>
      <w:r>
        <w:rPr/>
        <w:t>Since for decades, retail pricing strategies, such as just-below pricing (Lacetera et al. 2012; Stiving and Winer 1997; Thomas and Morwitz 2005) and promotional discount framing (Inman et al. 1990; R. Thaler 1985), have been engineered to exploit human bounded rationality, practitioners already advise retailers to structure pricing and product attributes so that AI agents can evaluate them (Cooper III 2026). Still, when the buyer is an autonomous AI agent, it remains an open question whether pricing cues built for human cognitive limitations continue to influence purchasing, and if so, how.</w:t>
      </w:r>
    </w:p>
    <w:p>
      <w:pPr>
        <w:pStyle w:val="BodyText"/>
        <w:rPr/>
      </w:pPr>
      <w:r>
        <w:rPr/>
        <w:t>Research evaluating LLMs as economic actors has found them to produce both rational (Brand et al. 2023; Cillo and Rubera 2025; Horton et al. 2023) and heuristic-like behavior (Binz and Schulz 2023; Filandrianos et al. 2025; Hermann and Puntoni 2025). Reconciling this duality has been proven difficult because the existing literature predominantly treats heuristic-like behavior as an inherent, static defect hardwired into LLMs during training. As a result, research has largely documented whether LLMs exhibit heuristic-like behavior, but not what produces it.</w:t>
      </w:r>
    </w:p>
    <w:p>
      <w:pPr>
        <w:pStyle w:val="BodyText"/>
        <w:rPr/>
      </w:pPr>
      <w:r>
        <w:rPr/>
        <w:t>We propose that heuristic-like purchasing in delegated AI shopping can be a property of the information state that the AI agent holds at the moment it commits to a choice. This pre-choice information state can be jointly shaped by retailers and consumers. Retailers determine the cost of retrieving product attributes through platform design, and consumers determine, through the specificity of their delegating prompt, which attributes the AI agent treats as diagnostic. The combination of costly retrieval and vague goal prompts leads AI agents to truncate their information search and choose suboptimally.</w:t>
      </w:r>
    </w:p>
    <w:p>
      <w:pPr>
        <w:pStyle w:val="BodyText"/>
        <w:rPr/>
      </w:pPr>
      <w:r>
        <w:rPr/>
        <w:t>To test this claim, we introduce Tool-Lab, an experimental paradigm that adapts classical information-board process tracing (Johnson et al. 1989; Payne et al. 1993; Willemsen and Johnson 2011) to multi-turn LLM interactions. Rather than presenting product attributes simultaneously within a single prompt, Tool-Lab embeds an LLM within an interactive environment where product attributes are hidden behind costly tool calls. To inspect an attribute, the LLM must execute a tool call (</w:t>
      </w:r>
      <w:r>
        <w:rPr>
          <w:i/>
          <w:iCs/>
        </w:rPr>
        <w:t>inspect_cell</w:t>
      </w:r>
      <w:r>
        <w:rPr/>
        <w:t>), which incurs an explicit acquisition cost. Tool-Lab records the observable sequence of information acquisitions prior to choice and allows researchers to measure search depth and composition directly. Therefore, Tool-Lab allows us to manipulate retrieval cost and prompt specificity while observing the search they produce. This makes the pathway from environmental constraint to final choice through information acquisition measurable, rather than inferred from choice outcomes alone.</w:t>
      </w:r>
    </w:p>
    <w:p>
      <w:pPr>
        <w:pStyle w:val="BodyText"/>
        <w:rPr/>
      </w:pPr>
      <w:r>
        <w:rPr/>
        <w:t>Across two primary studies, several robustness tests, and two validation studies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33</m:t>
        </m:r>
        <m:r>
          <w:rPr>
            <w:rFonts w:ascii="Cambria Math" w:hAnsi="Cambria Math"/>
          </w:rPr>
          <m:t xml:space="preserve">,</m:t>
        </m:r>
        <m:r>
          <w:rPr>
            <w:rFonts w:ascii="Cambria Math" w:hAnsi="Cambria Math"/>
          </w:rPr>
          <m:t xml:space="preserve">704</m:t>
        </m:r>
      </m:oMath>
      <w:r>
        <w:rPr/>
        <w:t xml:space="preserve"> total trials), we evaluate eight commercially deployed LLMs from three major providers (Google, OpenAI, and Anthropic). Each study establishes a full information baseline, then contrasts LLM choices with a constrained Tool-Lab environment where information acquisition incurs financial costs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0</m:t>
        </m:r>
      </m:oMath>
      <w:r>
        <w:rPr/>
        <w:t xml:space="preserve"> vs.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or </w:t>
      </w:r>
      <w:r>
        <w:rPr/>
      </w:r>
      <m:oMath xmlns:m="http://schemas.openxmlformats.org/officeDocument/2006/math">
        <m:r>
          <w:rPr>
            <w:rFonts w:ascii="Cambria Math" w:hAnsi="Cambria Math"/>
          </w:rPr>
          <m:t xml:space="preserve">$</m:t>
        </m:r>
        <m:r>
          <w:rPr>
            <w:rFonts w:ascii="Cambria Math" w:hAnsi="Cambria Math"/>
          </w:rPr>
          <m:t xml:space="preserve">50.00</m:t>
        </m:r>
      </m:oMath>
      <w:r>
        <w:rPr/>
        <w:t>), and the consumer prompt’s goal is specific or vague (“find the lowest price per ounce” vs. “find the best deal”).</w:t>
      </w:r>
    </w:p>
    <w:p>
      <w:pPr>
        <w:pStyle w:val="BodyText"/>
        <w:rPr/>
      </w:pPr>
      <w:r>
        <w:rPr/>
        <w:t>The empirical results document two consistent findings. First, under full information and specific goal prompt, the evaluated LLMs make decisions that largely align with normatively optimal behavior. Second, when acquisition costs are imposed under a vague goal prompt, most LLMs decrease search depth, and the impact on choice optimality depends on whether the omitted attributes are diagnostic (i.e., they are necessary to calculate the unit price). Because vague prompts lack a clear normative objective, LLMs abandon some diagnostic attributes (i.e., cents or product weight). Without the attributes that are required to calculate unit prices, the AI agents make suboptimal decisions that are consistent with human heuristic decision making. Validation experiments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200</m:t>
        </m:r>
      </m:oMath>
      <w:r>
        <w:rPr/>
        <w:t>) show that choice suboptimality stems from missing diagnostic attributes rather than arithmetic calculation failures for most LLMs.</w:t>
      </w:r>
    </w:p>
    <w:p>
      <w:pPr>
        <w:pStyle w:val="BodyText"/>
        <w:rPr/>
      </w:pPr>
      <w:r>
        <w:rPr/>
        <w:t>This research makes three contributions to marketing theory of agentic AI shopping. First, it challenges the assumption that heuristic-like behavior in LLMs as shopping assistants is solely inherited from training data, by showing that susceptibility to marketing cues depends on the information state in which AI agents choose. Second, it identifies the principal’s delegation instruction as a determinant of whether marketing cues influence the AI agent’s choice. Third, it introduces Tool-Lab, a process-tracing method that makes the information acquisition of AI agents observable and allows researchers to study how AI agents make decisions.</w:t>
      </w:r>
    </w:p>
    <w:p>
      <w:pPr>
        <w:pStyle w:val="BodyText"/>
        <w:rPr/>
      </w:pPr>
      <w:r>
        <w:rPr/>
        <w:t>These findings have implications for four stakeholders. Retailers should make diagnostic attributes (e.g., “price”, “weight”) readily available to AI shopping agents. Consumers should clearly state the criterion that defines a good choice (e.g., “lowest price per ounce”) rather than issuing vague requests such as “find the best deal.” AI agent developers should design agents to clarify vague objectives before searching and should audit the specific LLM they deploy for acquisition truncation. Finally, regulators should consider extending disclosure rules, such as unit-price requirements, to the product information made available to AI agents.</w:t>
      </w:r>
      <w:bookmarkEnd w:id="0"/>
    </w:p>
    <w:p>
      <w:pPr>
        <w:pStyle w:val="Heading1"/>
        <w:rPr/>
      </w:pPr>
      <w:bookmarkStart w:id="1" w:name="literature-review"/>
      <w:r>
        <w:rPr/>
        <w:t>Literature review</w:t>
      </w:r>
    </w:p>
    <w:p>
      <w:pPr>
        <w:pStyle w:val="Heading2"/>
        <w:rPr/>
      </w:pPr>
      <w:bookmarkStart w:id="2" w:name="ai-agents-as-surrogate-consumers"/>
      <w:r>
        <w:rPr/>
        <w:t>AI agents as surrogate consumers</w:t>
      </w:r>
    </w:p>
    <w:p>
      <w:pPr>
        <w:pStyle w:val="FirstParagraph"/>
        <w:rPr/>
      </w:pPr>
      <w:r>
        <w:rPr/>
        <w:t>Marketing scholarship has examined Generative Artificial Intelligence (GenAI) primarily through firm-side strategy (Grewal et al. 2025; Kumar et al. 2026; Prasanna and Kushwaha 2025; Riandhi et al. 2025), yet the critical frontier in marketing theory centers on the autonomous AI agent itself (Aw et al. 2025; Dholakia et al. 2025; Puntoni and Wertenbroch 2024). Behavioral research in this domain predominantly treats Large Language Models (LLMs) as passive “silicon samples” or synthetic respondent pools (Joerling 2025; Sarstedt et al. 2024) to emulate human survey responses and aid in marketing research (Arora et al. 2025; Li et al. 2025; X. Liu and Chen 2026; M. Wang et al. 2026).</w:t>
      </w:r>
    </w:p>
    <w:p>
      <w:pPr>
        <w:pStyle w:val="BodyText"/>
        <w:rPr/>
      </w:pPr>
      <w:r>
        <w:rPr/>
        <w:t>However, there is a growing use of AI agents by consumers as autonomous shopping assistants that perform end-to-end shopping (Google DeepMind 2026; Hasselwander et al. 2026; Kim et al. 2023; Pandya 2025). In marketing theory, delegating purchase authority to an external entity is a classic case of surrogate consumption (Solomon 1986). A surrogate consumer is defined as an agent to whom a consumer relinquishes decision authority to evaluate, select, and acquire goods within the marketplace (Solomon 1986). Today, generative AI, in particular Large Language Models (LLMs), can act as surrogate consumers because they are capable of autonomously querying APIs, exploring product catalogs, and executing financial transactions on a consumer’s behalf (Google DeepMind 2026; Schick et al. 2023; L. Wang et al. 2024). In fact, Meta, Google, and Amazon now deploy LLM agents that complete purchases on consumers’ behalf (Amazon Staff 2025; Meta 2026; Sataua 2026; Srinivasan 2026), and nearly a quarter of U.S. consumers report making an AI-assisted purchase (Morgan Stanley 2025).</w:t>
      </w:r>
      <w:bookmarkEnd w:id="2"/>
    </w:p>
    <w:p>
      <w:pPr>
        <w:pStyle w:val="Heading2"/>
        <w:rPr/>
      </w:pPr>
      <w:bookmarkStart w:id="3" w:name="the-rationality-paradox"/>
      <w:r>
        <w:rPr/>
        <w:t>The rationality paradox</w:t>
      </w:r>
    </w:p>
    <w:p>
      <w:pPr>
        <w:pStyle w:val="FirstParagraph"/>
        <w:rPr/>
      </w:pPr>
      <w:r>
        <w:rPr/>
        <w:t>As LLMs assume the role of surrogate consumers, a behavioral paradox emerges in the literature. LLMs neither conform strictly to classical economic assumptions of rationality (R. H. Thaler 2000), nor do they predictably replicate human bounded rationality (Kahneman 2003). On the one hand, an extensive body of research demonstrates that LLMs inherently possess strong analytical capabilities (Lee et al. 2026; Pandey and Singh 2025). When prompted in standard discrete-choice environments, LLMs can function as highly capable simulated economic actors (Horton et al. 2023). They can evaluate expected values, respect downward-sloping demand curves, maintain budgetary compliance, and execute complex multi-attribute compensatory evaluations (Brand et al. 2023; Cillo and Rubera 2025; Reisenbichler et al. 2026; Zhou et al. 2026). These competencies embody analytical (“thinking”) AI, characterized by computational precision, logic, and rule-based data processing (Huang and Rust 2021).</w:t>
      </w:r>
    </w:p>
    <w:p>
      <w:pPr>
        <w:pStyle w:val="BodyText"/>
        <w:rPr/>
      </w:pPr>
      <w:r>
        <w:rPr/>
        <w:t>On the other hand, research in computational psychology documents that LLMs remain susceptible to classic cognitive anomalies (Binz and Schulz 2023; Hermann and Puntoni 2025). LLMs can show susceptibility to framing effects (Pescher 2026), algorithmic impatience in intertemporal choices (Goli and Singh 2024), and vulnerability to adversarial prompt perturbations (Xie 2026). In product recommendation, promotional framing and sponsorship cues embedded in product text can distort LLM recommendations even when objective attributes remain the same (Filandrianos et al. 2025; Wadi and Ma 2026a). Importantly, large-scale benchmarks demonstrate that this paradox is not resolved simply by increasing computational capability of the LLMs (Echterhoff et al. 2024; Knipper et al. 2025; Malberg et al. 2025). Thus, the emergence of suboptimal behavior cannot be understood purely as a capability limitation. Instead, marketing scholarship must examine the contextual and task-level factors that govern when an LLM operates in an analytical versus a suboptimal decision mode (Huang and Rust 2021).</w:t>
      </w:r>
      <w:bookmarkEnd w:id="3"/>
    </w:p>
    <w:p>
      <w:pPr>
        <w:pStyle w:val="Heading2"/>
        <w:rPr/>
      </w:pPr>
      <w:bookmarkStart w:id="4" w:name="marketing-pricing-cues"/>
      <w:r>
        <w:rPr/>
        <w:t>Marketing pricing cues</w:t>
      </w:r>
    </w:p>
    <w:p>
      <w:pPr>
        <w:pStyle w:val="FirstParagraph"/>
        <w:rPr/>
      </w:pPr>
      <w:r>
        <w:rPr/>
        <w:t>While much of the computer science literature examines biases through abstract logic puzzles, such as the Linda problem or the Wason selection task (Binz and Schulz 2023; Knipper et al. 2025), marketing phenomena introduce a fundamentally different evaluative dynamic. In consumer purchasing, pricing tactics (e.g., just-below pricing and promotional discount framing) do not operate solely as abstract semantic frames. Rather, these marketing cues directly compete with exact utility calculations (Stiving and Winer 1997; Thomas and Morwitz 2005).</w:t>
      </w:r>
    </w:p>
    <w:p>
      <w:pPr>
        <w:pStyle w:val="BodyText"/>
        <w:rPr/>
      </w:pPr>
      <w:r>
        <w:rPr/>
        <w:t>Just-below pricing (e.g., pricing an item at $4.99 rather than $5.00) exploits a heuristic wherein decision-makers focus disproportionately on the leftmost integer while ignoring fractional cents (Bizer and Schindler 2005; Kraft and Rao 2026; Lacetera et al. 2012; Thomas and Morwitz 2005). Similarly, promotional discount framing (e.g., “20% off”) exploits transaction utility by signaling a bargain to the consumer (Inman et al. 1990; R. Thaler 1985). Therefore, if an AI shopping agent attends to the whole dollar price or the promotional cue while ignoring cents or package volume, it could select an economically inferior product.</w:t>
      </w:r>
      <w:bookmarkEnd w:id="4"/>
    </w:p>
    <w:p>
      <w:pPr>
        <w:pStyle w:val="Heading2"/>
        <w:rPr/>
      </w:pPr>
      <w:bookmarkStart w:id="5" w:name="storefront-information-architecture"/>
      <w:r>
        <w:rPr/>
        <w:t>Storefront information architecture</w:t>
      </w:r>
    </w:p>
    <w:p>
      <w:pPr>
        <w:pStyle w:val="FirstParagraph"/>
        <w:rPr/>
      </w:pPr>
      <w:r>
        <w:rPr/>
        <w:t>The marketing and computer science literatures documents heuristic-like outputs by LLMs as a potential defect hardwired during training (Echterhoff et al. 2024; Knipper et al. 2025; Malberg et al. 2025). According to this view, an LLM defaults to choices resembling human heuristics because its autoregressive parameters reflect the bounded rationality deeply embedded within human corpora.</w:t>
      </w:r>
    </w:p>
    <w:p>
      <w:pPr>
        <w:pStyle w:val="BodyText"/>
        <w:rPr/>
      </w:pPr>
      <w:r>
        <w:rPr/>
        <w:t>However, this remains a largely untestable claim. Because modern LLMs are trained on uncurated, proprietary web-scale corpora spanning trillions of tokens, empirically testing whether a suboptimal choice stems from heuristics embedded directly into its parameters is virtually impossible. Despite the absence of direct empirical verification, this “innate defect” account has operated as an implicit assumption across behavioral LLM research. We propose an alternative account. Choices that resemble human heuristics in AI agents are not solely innate training defects, but a product of the interplay between the information architecture of the storefront and the delegating prompts used by consumers.</w:t>
      </w:r>
    </w:p>
    <w:p>
      <w:pPr>
        <w:pStyle w:val="BodyText"/>
        <w:rPr/>
      </w:pPr>
      <w:r>
        <w:rPr/>
        <w:t>Beyond the difficulty of tracing behavior back to the training corpora, the “innate defect” assumption has persisted due to a prevailing methodological constraint. When an AI shopping agent is presented with fully enumerated product profiles in a single prompt and selects an inferior alternative, the researcher cannot disentangle the terminal choice from how the choice was made (Johnson et al. 2008). Therefore, despite research demonstrating suboptimal decision-making of AI shopping assistants (Allouah et al. 2026; N. F. Liu et al. 2024; Pezeshkpour and Hruschka 2024; Wadi and Ma 2026b; Yin et al. 2026), outcome-based data cannot explain whether the LLM calculated unit values but over-weighted a marketing cue, or whether its informational state was configured such that normative calculation was never attempted.</w:t>
      </w:r>
      <w:bookmarkEnd w:id="1"/>
      <w:bookmarkEnd w:id="5"/>
    </w:p>
    <w:p>
      <w:pPr>
        <w:pStyle w:val="Heading1"/>
        <w:rPr/>
      </w:pPr>
      <w:bookmarkStart w:id="6" w:name="conceptual-development"/>
      <w:r>
        <w:rPr/>
        <w:t>Conceptual development</w:t>
      </w:r>
    </w:p>
    <w:p>
      <w:pPr>
        <w:pStyle w:val="Heading2"/>
        <w:rPr/>
      </w:pPr>
      <w:bookmarkStart w:id="7" w:name="normative-and-heuristic-objectives"/>
      <w:r>
        <w:rPr/>
        <w:t>Normative and heuristic objectives</w:t>
      </w:r>
    </w:p>
    <w:p>
      <w:pPr>
        <w:pStyle w:val="FirstParagraph"/>
        <w:rPr/>
      </w:pPr>
      <w:r>
        <w:rPr/>
        <w:t xml:space="preserve">In economic decision-making, an agent evaluates market alternatives against a specific objective function. Depending on the decision context, this objective would optimize nominal expenditure, brand equity, perceived quality, or price per unit of volume. In the consumption of packaged goods, marketing theory and consumer economics establish that the normative objective is unit-price minimization—selecting the alternative </w:t>
      </w:r>
      <w:r>
        <w:rPr/>
      </w:r>
      <m:oMath xmlns:m="http://schemas.openxmlformats.org/officeDocument/2006/math">
        <m:r>
          <w:rPr>
            <w:rFonts w:ascii="Cambria Math" w:hAnsi="Cambria Math"/>
          </w:rPr>
          <m:t xml:space="preserve">j</m:t>
        </m:r>
      </m:oMath>
      <w:r>
        <w:rPr/>
        <w:t xml:space="preserve"> that minimizes financial expenditure per unit of physical quantity (Miyazaki et al. 2000; Russo 1977):</w:t>
      </w:r>
    </w:p>
    <w:p>
      <w:pPr>
        <w:pStyle w:val="BodyText"/>
        <w:jc w:val="center"/>
        <w:rPr/>
      </w:pPr>
      <w:r>
        <w:rPr/>
      </w:r>
      <m:oMathPara xmlns:m="http://schemas.openxmlformats.org/officeDocument/2006/math">
        <m:oMathParaPr>
          <m:jc m:val="center"/>
        </m:oMathParaPr>
        <m:oMath>
          <m:limLow>
            <m:e>
              <m:r>
                <w:rPr>
                  <w:rFonts w:ascii="Cambria Math" w:hAnsi="Cambria Math"/>
                </w:rPr>
                <m:t xml:space="preserve">min</m:t>
              </m:r>
            </m:e>
            <m:lim>
              <m:r>
                <w:rPr>
                  <w:rFonts w:ascii="Cambria Math" w:hAnsi="Cambria Math"/>
                </w:rPr>
                <m:t xml:space="preserve">j</m:t>
              </m:r>
              <m:r>
                <w:rPr>
                  <w:rFonts w:ascii="Cambria Math" w:hAnsi="Cambria Math"/>
                </w:rPr>
                <m:t xml:space="preserve">∈</m:t>
              </m:r>
              <m:r>
                <w:rPr>
                  <w:rFonts w:ascii="Cambria Math" w:hAnsi="Cambria Math"/>
                </w:rPr>
                <m:t xml:space="preserve">J</m:t>
              </m:r>
            </m:lim>
          </m:limLow>
          <m:d>
            <m:dPr>
              <m:begChr m:val="("/>
              <m:endChr m:val=")"/>
            </m:dPr>
            <m:e>
              <m:f>
                <m:num>
                  <m:sSub>
                    <m:e>
                      <m:r>
                        <m:rPr>
                          <m:lit/>
                          <m:nor/>
                        </m:rPr>
                        <w:rPr>
                          <w:rFonts w:ascii="Cambria Math" w:hAnsi="Cambria Math"/>
                        </w:rPr>
                        <m:t xml:space="preserve">Price</m:t>
                      </m:r>
                    </m:e>
                    <m:sub>
                      <m:r>
                        <w:rPr>
                          <w:rFonts w:ascii="Cambria Math" w:hAnsi="Cambria Math"/>
                        </w:rPr>
                        <m:t xml:space="preserve">j</m:t>
                      </m:r>
                    </m:sub>
                  </m:sSub>
                </m:num>
                <m:den>
                  <m:sSub>
                    <m:e>
                      <m:r>
                        <m:rPr>
                          <m:lit/>
                          <m:nor/>
                        </m:rPr>
                        <w:rPr>
                          <w:rFonts w:ascii="Cambria Math" w:hAnsi="Cambria Math"/>
                        </w:rPr>
                        <m:t xml:space="preserve">Weight</m:t>
                      </m:r>
                    </m:e>
                    <m:sub>
                      <m:r>
                        <w:rPr>
                          <w:rFonts w:ascii="Cambria Math" w:hAnsi="Cambria Math"/>
                        </w:rPr>
                        <m:t xml:space="preserve">j</m:t>
                      </m:r>
                    </m:sub>
                  </m:sSub>
                </m:den>
              </m:f>
            </m:e>
          </m:d>
        </m:oMath>
      </m:oMathPara>
    </w:p>
    <w:p>
      <w:pPr>
        <w:pStyle w:val="FirstParagraph"/>
        <w:rPr/>
      </w:pPr>
      <w:r>
        <w:rPr/>
        <w:t>It is against this normative benchmark that behavioral economics considers choice driven by pricing cues, such as just-below pricing and promotional discount framing, economically suboptimal and refers to them as biases.</w:t>
      </w:r>
    </w:p>
    <w:p>
      <w:pPr>
        <w:pStyle w:val="BodyText"/>
        <w:rPr/>
      </w:pPr>
      <w:r>
        <w:rPr/>
        <w:t>Consider just-below pricing. If an agent chooses a 10-ounce package priced at $4.99 over an available 100-ounce package priced at $5.00, the decision is optimal under a price-minimization objective (</w:t>
      </w:r>
      <w:r>
        <w:rPr/>
      </w:r>
      <m:oMath xmlns:m="http://schemas.openxmlformats.org/officeDocument/2006/math">
        <m:sSub>
          <m:e>
            <m:r>
              <w:rPr>
                <w:rFonts w:ascii="Cambria Math" w:hAnsi="Cambria Math"/>
              </w:rPr>
              <m:t xml:space="preserve">min</m:t>
            </m:r>
          </m:e>
          <m:sub>
            <m:r>
              <w:rPr>
                <w:rFonts w:ascii="Cambria Math" w:hAnsi="Cambria Math"/>
              </w:rPr>
              <m:t xml:space="preserve">j</m:t>
            </m:r>
            <m:r>
              <w:rPr>
                <w:rFonts w:ascii="Cambria Math" w:hAnsi="Cambria Math"/>
              </w:rPr>
              <m:t xml:space="preserve">∈</m:t>
            </m:r>
            <m:r>
              <w:rPr>
                <w:rFonts w:ascii="Cambria Math" w:hAnsi="Cambria Math"/>
              </w:rPr>
              <m:t xml:space="preserve">J</m:t>
            </m:r>
          </m:sub>
        </m:sSub>
        <m:sSub>
          <m:e>
            <m:r>
              <m:rPr>
                <m:lit/>
                <m:nor/>
              </m:rPr>
              <w:rPr>
                <w:rFonts w:ascii="Cambria Math" w:hAnsi="Cambria Math"/>
              </w:rPr>
              <m:t xml:space="preserve">Price</m:t>
            </m:r>
          </m:e>
          <m:sub>
            <m:r>
              <w:rPr>
                <w:rFonts w:ascii="Cambria Math" w:hAnsi="Cambria Math"/>
              </w:rPr>
              <m:t xml:space="preserve">j</m:t>
            </m:r>
          </m:sub>
        </m:sSub>
      </m:oMath>
      <w:r>
        <w:rPr/>
        <w:t>), but suboptimal under the normative unit-price objective (</w:t>
      </w:r>
      <w:r>
        <w:rPr/>
      </w:r>
      <m:oMath xmlns:m="http://schemas.openxmlformats.org/officeDocument/2006/math">
        <m:sSub>
          <m:e>
            <m:r>
              <w:rPr>
                <w:rFonts w:ascii="Cambria Math" w:hAnsi="Cambria Math"/>
              </w:rPr>
              <m:t xml:space="preserve">min</m:t>
            </m:r>
          </m:e>
          <m:sub>
            <m:r>
              <w:rPr>
                <w:rFonts w:ascii="Cambria Math" w:hAnsi="Cambria Math"/>
              </w:rPr>
              <m:t xml:space="preserve">j</m:t>
            </m:r>
            <m:r>
              <w:rPr>
                <w:rFonts w:ascii="Cambria Math" w:hAnsi="Cambria Math"/>
              </w:rPr>
              <m:t xml:space="preserve">∈</m:t>
            </m:r>
            <m:r>
              <w:rPr>
                <w:rFonts w:ascii="Cambria Math" w:hAnsi="Cambria Math"/>
              </w:rPr>
              <m:t xml:space="preserve">J</m:t>
            </m:r>
          </m:sub>
        </m:sSub>
        <m:f>
          <m:num>
            <m:sSub>
              <m:e>
                <m:r>
                  <m:rPr>
                    <m:lit/>
                    <m:nor/>
                  </m:rPr>
                  <w:rPr>
                    <w:rFonts w:ascii="Cambria Math" w:hAnsi="Cambria Math"/>
                  </w:rPr>
                  <m:t xml:space="preserve">Price</m:t>
                </m:r>
              </m:e>
              <m:sub>
                <m:r>
                  <w:rPr>
                    <w:rFonts w:ascii="Cambria Math" w:hAnsi="Cambria Math"/>
                  </w:rPr>
                  <m:t xml:space="preserve">j</m:t>
                </m:r>
              </m:sub>
            </m:sSub>
          </m:num>
          <m:den>
            <m:sSub>
              <m:e>
                <m:r>
                  <m:rPr>
                    <m:lit/>
                    <m:nor/>
                  </m:rPr>
                  <w:rPr>
                    <w:rFonts w:ascii="Cambria Math" w:hAnsi="Cambria Math"/>
                  </w:rPr>
                  <m:t xml:space="preserve">Weight</m:t>
                </m:r>
              </m:e>
              <m:sub>
                <m:r>
                  <w:rPr>
                    <w:rFonts w:ascii="Cambria Math" w:hAnsi="Cambria Math"/>
                  </w:rPr>
                  <m:t xml:space="preserve">j</m:t>
                </m:r>
              </m:sub>
            </m:sSub>
          </m:den>
        </m:f>
      </m:oMath>
      <w:r>
        <w:rPr/>
        <w:t>). In human decision research, when an individual shifts from the normative objective to a simpler one, this substitution is referred to as a heuristic (Gigerenzer and Gaissmaier 2011; Shah and Oppenheimer 2008).</w:t>
      </w:r>
    </w:p>
    <w:p>
      <w:pPr>
        <w:pStyle w:val="BodyText"/>
        <w:rPr/>
      </w:pPr>
      <w:r>
        <w:rPr/>
        <w:t>Similarly, when evaluating promotional discounts, computing the normative objective of a discounted item requires a multi-parameter objective function calculation:</w:t>
      </w:r>
    </w:p>
    <w:p>
      <w:pPr>
        <w:pStyle w:val="BodyText"/>
        <w:jc w:val="center"/>
        <w:rPr/>
      </w:pPr>
      <w:r>
        <w:rPr/>
      </w:r>
      <m:oMathPara xmlns:m="http://schemas.openxmlformats.org/officeDocument/2006/math">
        <m:oMathParaPr>
          <m:jc m:val="center"/>
        </m:oMathParaPr>
        <m:oMath>
          <m:limLow>
            <m:e>
              <m:r>
                <w:rPr>
                  <w:rFonts w:ascii="Cambria Math" w:hAnsi="Cambria Math"/>
                </w:rPr>
                <m:t xml:space="preserve">min</m:t>
              </m:r>
            </m:e>
            <m:lim>
              <m:r>
                <w:rPr>
                  <w:rFonts w:ascii="Cambria Math" w:hAnsi="Cambria Math"/>
                </w:rPr>
                <m:t xml:space="preserve">j</m:t>
              </m:r>
              <m:r>
                <w:rPr>
                  <w:rFonts w:ascii="Cambria Math" w:hAnsi="Cambria Math"/>
                </w:rPr>
                <m:t xml:space="preserve">∈</m:t>
              </m:r>
              <m:r>
                <w:rPr>
                  <w:rFonts w:ascii="Cambria Math" w:hAnsi="Cambria Math"/>
                </w:rPr>
                <m:t xml:space="preserve">J</m:t>
              </m:r>
            </m:lim>
          </m:limLow>
          <m:sSub>
            <m:e>
              <m:r>
                <m:rPr>
                  <m:lit/>
                  <m:nor/>
                </m:rPr>
                <w:rPr>
                  <w:rFonts w:ascii="Cambria Math" w:hAnsi="Cambria Math"/>
                </w:rPr>
                <m:t xml:space="preserve">Unit Price</m:t>
              </m:r>
            </m:e>
            <m:sub>
              <m:r>
                <w:rPr>
                  <w:rFonts w:ascii="Cambria Math" w:hAnsi="Cambria Math"/>
                </w:rPr>
                <m:t xml:space="preserve">j</m:t>
              </m:r>
            </m:sub>
          </m:sSub>
          <m:r>
            <w:rPr>
              <w:rFonts w:ascii="Cambria Math" w:hAnsi="Cambria Math"/>
            </w:rPr>
            <m:t xml:space="preserve">=</m:t>
          </m:r>
          <m:limLow>
            <m:e>
              <m:r>
                <w:rPr>
                  <w:rFonts w:ascii="Cambria Math" w:hAnsi="Cambria Math"/>
                </w:rPr>
                <m:t xml:space="preserve">min</m:t>
              </m:r>
            </m:e>
            <m:lim>
              <m:r>
                <w:rPr>
                  <w:rFonts w:ascii="Cambria Math" w:hAnsi="Cambria Math"/>
                </w:rPr>
                <m:t xml:space="preserve">j</m:t>
              </m:r>
              <m:r>
                <w:rPr>
                  <w:rFonts w:ascii="Cambria Math" w:hAnsi="Cambria Math"/>
                </w:rPr>
                <m:t xml:space="preserve">∈</m:t>
              </m:r>
              <m:r>
                <w:rPr>
                  <w:rFonts w:ascii="Cambria Math" w:hAnsi="Cambria Math"/>
                </w:rPr>
                <m:t xml:space="preserve">J</m:t>
              </m:r>
            </m:lim>
          </m:limLow>
          <m:f>
            <m:num>
              <m:sSub>
                <m:e>
                  <m:r>
                    <m:rPr>
                      <m:lit/>
                      <m:nor/>
                    </m:rPr>
                    <w:rPr>
                      <w:rFonts w:ascii="Cambria Math" w:hAnsi="Cambria Math"/>
                    </w:rPr>
                    <m:t xml:space="preserve">List Price</m:t>
                  </m:r>
                </m:e>
                <m:sub>
                  <m:r>
                    <w:rPr>
                      <w:rFonts w:ascii="Cambria Math" w:hAnsi="Cambria Math"/>
                    </w:rPr>
                    <m:t xml:space="preserve">j</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sSub>
                        <m:e>
                          <m:r>
                            <m:rPr>
                              <m:lit/>
                              <m:nor/>
                            </m:rPr>
                            <w:rPr>
                              <w:rFonts w:ascii="Cambria Math" w:hAnsi="Cambria Math"/>
                            </w:rPr>
                            <m:t xml:space="preserve">Discount Percentage</m:t>
                          </m:r>
                        </m:e>
                        <m:sub>
                          <m:r>
                            <w:rPr>
                              <w:rFonts w:ascii="Cambria Math" w:hAnsi="Cambria Math"/>
                            </w:rPr>
                            <m:t xml:space="preserve">j</m:t>
                          </m:r>
                        </m:sub>
                      </m:sSub>
                    </m:num>
                    <m:den>
                      <m:r>
                        <w:rPr>
                          <w:rFonts w:ascii="Cambria Math" w:hAnsi="Cambria Math"/>
                        </w:rPr>
                        <m:t xml:space="preserve">100</m:t>
                      </m:r>
                    </m:den>
                  </m:f>
                </m:e>
              </m:d>
            </m:num>
            <m:den>
              <m:sSub>
                <m:e>
                  <m:r>
                    <m:rPr>
                      <m:lit/>
                      <m:nor/>
                    </m:rPr>
                    <w:rPr>
                      <w:rFonts w:ascii="Cambria Math" w:hAnsi="Cambria Math"/>
                    </w:rPr>
                    <m:t xml:space="preserve">Weight</m:t>
                  </m:r>
                </m:e>
                <m:sub>
                  <m:r>
                    <w:rPr>
                      <w:rFonts w:ascii="Cambria Math" w:hAnsi="Cambria Math"/>
                    </w:rPr>
                    <m:t xml:space="preserve">j</m:t>
                  </m:r>
                </m:sub>
              </m:sSub>
            </m:den>
          </m:f>
        </m:oMath>
      </m:oMathPara>
    </w:p>
    <w:p>
      <w:pPr>
        <w:pStyle w:val="FirstParagraph"/>
        <w:rPr/>
      </w:pPr>
      <w:r>
        <w:rPr/>
        <w:t>Because computing this objective requires multi-step arithmetic, decision-makers operating under constraints frequently substitute the normative objective with a computationally simpler one, such as maximizing the discount percentage or minimizing the discounted list price. In marketing theory, this objective substitution is called transaction utility (Inman et al. 1990; R. Thaler 1985).</w:t>
      </w:r>
    </w:p>
    <w:p>
      <w:pPr>
        <w:pStyle w:val="BodyText"/>
        <w:rPr/>
      </w:pPr>
      <w:r>
        <w:rPr/>
        <w:t>Following this framing, we adopt unit-price minimization as the normative objective for consumer packaged goods and classify any choice that deviates from this normative objective as suboptimal. Heuristic then becomes a resource-conserving departure from full evaluation of the normative objective, either by substituting a simpler objective (e.g., price minimization) or by evaluating the normative objective on a reduced set of attributes (e.g., ignoring cents; Shah and Oppenheimer 2008).</w:t>
      </w:r>
    </w:p>
    <w:p>
      <w:pPr>
        <w:pStyle w:val="BodyText"/>
        <w:rPr/>
      </w:pPr>
      <w:r>
        <w:rPr/>
        <w:t xml:space="preserve">Product attributes can be classified by their role in the normative objective calculation. We refer to the subset of attributes that enter the unit-price equation as </w:t>
      </w:r>
      <w:r>
        <w:rPr>
          <w:i/>
          <w:iCs/>
        </w:rPr>
        <w:t>diagnostic</w:t>
      </w:r>
      <w:r>
        <w:rPr/>
        <w:t xml:space="preserve"> (i.e., list price, whole dollars, cents, discount percentages, and weight), and the attributes that do not enter the equation as </w:t>
      </w:r>
      <w:r>
        <w:rPr>
          <w:i/>
          <w:iCs/>
        </w:rPr>
        <w:t>non-diagnostic</w:t>
      </w:r>
      <w:r>
        <w:rPr/>
        <w:t xml:space="preserve"> (e.g., packaging, country of origin, calories).</w:t>
      </w:r>
      <w:bookmarkEnd w:id="7"/>
    </w:p>
    <w:p>
      <w:pPr>
        <w:pStyle w:val="Heading2"/>
        <w:rPr/>
      </w:pPr>
      <w:bookmarkStart w:id="8" w:name="acquisition-costs"/>
      <w:r>
        <w:rPr/>
        <w:t>Acquisition costs</w:t>
      </w:r>
    </w:p>
    <w:p>
      <w:pPr>
        <w:pStyle w:val="FirstParagraph"/>
        <w:rPr/>
      </w:pPr>
      <w:r>
        <w:rPr/>
        <w:t>In human judgment, information acquisition is costly. Human decision-makers face both external constraints (e.g., time pressure, fragmented shelf displays) and internal cognitive limitations (e.g., working memory capacity, computational fatigue; Payne et al. 1993; Shugan 1980).</w:t>
      </w:r>
    </w:p>
    <w:p>
      <w:pPr>
        <w:pStyle w:val="BodyText"/>
        <w:rPr/>
      </w:pPr>
      <w:r>
        <w:rPr/>
        <w:t xml:space="preserve">Similarly, an LLM operating as a surrogate consumer incurs both external and internal acquisition costs. External acquisition costs arise from storefront architecture and environment design, including the structural placement and prominence of attributes within the prompt or the structure of API payloads. Internal acquisition costs reflect computational resource allocation and LLM tendencies and capability. These include the LLM’s configured reasoning effort, the number of reasoning tokens it produces, or the number of tool calls it requests before producing the final response. LLM providers calibrate these propensities during fine-tuning to balance inference speed and API operating costs against output accuracy. If an AI agent were to exhaustively inspect every product attribute via unbounded tool calls, task execution would become prohibitively slow and expensive. Because online storefronts offer thousands of alternatives, each with many attributes, exhaustive inspection is prohibitively slow and would exceed the LLM’s output token limit. Thus, the LLM realistically must truncate its acquisition before inspecting every alternative and attribute combination. Throughout this research, we use the term </w:t>
      </w:r>
      <w:r>
        <w:rPr>
          <w:i/>
          <w:iCs/>
        </w:rPr>
        <w:t>acquisition cost</w:t>
      </w:r>
      <w:r>
        <w:rPr/>
        <w:t xml:space="preserve"> to refer to external constraints that an LLM operates within. Although both internal and external constraints may shape information acquisition, our experiments manipulate an explicit monetary fee for each attribute inspection, charged to the delegating consumer. Hereafter, acquisition cost refers to this experimentally imposed fee. Internal computational costs are potential influences on acquisition behavior, but our design neither manipulates nor estimates them.</w:t>
      </w:r>
      <w:bookmarkEnd w:id="8"/>
    </w:p>
    <w:p>
      <w:pPr>
        <w:pStyle w:val="Heading2"/>
        <w:rPr/>
      </w:pPr>
      <w:bookmarkStart w:id="9" w:name="goal-specificity"/>
      <w:r>
        <w:rPr/>
        <w:t>Goal specificity</w:t>
      </w:r>
    </w:p>
    <w:p>
      <w:pPr>
        <w:pStyle w:val="FirstParagraph"/>
        <w:rPr/>
      </w:pPr>
      <w:r>
        <w:rPr/>
        <w:t>LLMs are instruction-tuned to deliver contextually coherent and relevant responses to users’ prompts. In a delegation relationship, however, task performance strongly depends on the goal specificity communicated by the delegating principal (Kleingeld et al. 2011; Locke and Latham 2002). According to goal-setting theory (Latham 2023), high goal specificity directs the agent’s effort to goal-relevant information.</w:t>
      </w:r>
    </w:p>
    <w:p>
      <w:pPr>
        <w:pStyle w:val="BodyText"/>
        <w:rPr/>
      </w:pPr>
      <w:r>
        <w:rPr/>
        <w:t xml:space="preserve">We define prompt specificity as whether the prompt specifies the objective to be optimized. A </w:t>
      </w:r>
      <w:r>
        <w:rPr>
          <w:i/>
          <w:iCs/>
        </w:rPr>
        <w:t>specific goal prompt</w:t>
      </w:r>
      <w:r>
        <w:rPr/>
        <w:t xml:space="preserve"> explicitly defines the objective function to be optimized (e.g., </w:t>
      </w:r>
      <w:r>
        <w:rPr>
          <w:i/>
          <w:iCs/>
        </w:rPr>
        <w:t>“Find the coffee with the lowest price per ounce”</w:t>
      </w:r>
      <w:r>
        <w:rPr/>
        <w:t xml:space="preserve">), and the diagnostic attribute set. Conversely, a </w:t>
      </w:r>
      <w:r>
        <w:rPr>
          <w:i/>
          <w:iCs/>
        </w:rPr>
        <w:t>vague goal prompt</w:t>
      </w:r>
      <w:r>
        <w:rPr/>
        <w:t xml:space="preserve">, such as the colloquial </w:t>
      </w:r>
      <w:r>
        <w:rPr>
          <w:i/>
          <w:iCs/>
        </w:rPr>
        <w:t>“Find the best deal”</w:t>
      </w:r>
      <w:r>
        <w:rPr/>
        <w:t>, leaves the objective open to multiple valid interpretations (e.g., price per weight or price) and leaves objective specification partly to the LLM.</w:t>
      </w:r>
    </w:p>
    <w:p>
      <w:pPr>
        <w:pStyle w:val="BodyText"/>
        <w:rPr/>
      </w:pPr>
      <w:r>
        <w:rPr/>
        <w:t>Under high acquisition costs, a vague goal prompt can reduce diagnostic acquisition through two routes. First, the LLM can substitute the normative objective (price per weight) with a simpler one (e.g., price), reducing the set of attributes relevant to that objective. For example, weight is irrelevant to price minimization but remains diagnostic under our normative unit-price benchmark. Omitting weight therefore reduces our measured diagnostic acquisition even when its omission is consistent with the simpler objective, adopted by the LLM. Second, the LLM can omit attributes whose expected value of information is low relative to the acquisition cost. For example, cents ($0.00 to $0.99) has a relatively smaller contribution to the normative objective function than whole dollars (Web Appendix H). Both routes reduce the total acquisition cost of completing the task.</w:t>
      </w:r>
      <w:r>
        <w:rPr>
          <w:rStyle w:val="FootnoteReference"/>
        </w:rPr>
        <w:footnoteReference w:id="2"/>
      </w:r>
    </w:p>
    <w:p>
      <w:pPr>
        <w:pStyle w:val="BodyText"/>
        <w:rPr/>
      </w:pPr>
      <w:r>
        <w:rPr>
          <w:b/>
          <w:bCs/>
        </w:rPr>
        <w:t>H1.</w:t>
      </w:r>
      <w:r>
        <w:rPr/>
        <w:t xml:space="preserve"> A vague goal prompt negatively moderates the relationship between acquisition cost and diagnostic acquisition.</w:t>
      </w:r>
    </w:p>
    <w:p>
      <w:pPr>
        <w:pStyle w:val="BodyText"/>
        <w:rPr/>
      </w:pPr>
      <w:r>
        <w:rPr/>
        <w:t>Because computing the normative objective requires the complete set of diagnostic attributes, the diagnostic information retrieved dictates whether the LLM has the necessary information for normative objective optimization.</w:t>
      </w:r>
    </w:p>
    <w:p>
      <w:pPr>
        <w:pStyle w:val="BodyText"/>
        <w:rPr/>
      </w:pPr>
      <w:r>
        <w:rPr>
          <w:b/>
          <w:bCs/>
        </w:rPr>
        <w:t>H2.</w:t>
      </w:r>
      <w:r>
        <w:rPr/>
        <w:t xml:space="preserve"> Diagnostic acquisition positively influences choice optimality.</w:t>
      </w:r>
    </w:p>
    <w:p>
      <w:pPr>
        <w:pStyle w:val="BodyText"/>
        <w:rPr/>
      </w:pPr>
      <w:r>
        <w:rPr/>
        <w:t>Integrating these stages establishes a moderated mediation. Under a vague goal prompt, acquisition costs lead to diagnostic acquisition truncation, which in turn leads to choice suboptimality.</w:t>
      </w:r>
    </w:p>
    <w:p>
      <w:pPr>
        <w:pStyle w:val="BodyText"/>
        <w:rPr/>
      </w:pPr>
      <w:r>
        <w:rPr>
          <w:b/>
          <w:bCs/>
        </w:rPr>
        <w:t>H3.</w:t>
      </w:r>
      <w:r>
        <w:rPr/>
        <w:t xml:space="preserve"> The indirect effect of acquisition cost on choice optimality via diagnostic acquisition is moderated by prompt specificity.</w:t>
      </w:r>
    </w:p>
    <w:p>
      <w:pPr>
        <w:pStyle w:val="BodyText"/>
        <w:rPr/>
      </w:pPr>
      <w:r>
        <w:rPr>
          <w:i/>
          <w:iCs/>
        </w:rPr>
        <w:t xml:space="preserve">Insert </w:t>
      </w:r>
      <w:hyperlink w:anchor="fig-framework">
        <w:r>
          <w:rPr>
            <w:rStyle w:val="Hyperlink"/>
            <w:i/>
            <w:iCs/>
          </w:rPr>
          <w:t>Figure 1</w:t>
        </w:r>
      </w:hyperlink>
      <w:r>
        <w:rPr>
          <w:i/>
          <w:iCs/>
        </w:rPr>
        <w:t xml:space="preserve"> about here</w:t>
      </w:r>
    </w:p>
    <w:p>
      <w:pPr>
        <w:pStyle w:val="BodyText"/>
        <w:rPr/>
      </w:pPr>
      <w:r>
        <w:rPr/>
        <w:t>We next present the Tool-Lab paradigm, which allows us to test our hypotheses. We then report two empirical studies examining just-below pricing (Study 1) and promotional discount framing (Study 2). Each study begins with a baseline where all attributes are visible, followed by a Tool-Lab experiment where attributes are hidden behind costly tool calls.</w:t>
      </w:r>
      <w:bookmarkEnd w:id="6"/>
      <w:bookmarkEnd w:id="9"/>
    </w:p>
    <w:p>
      <w:pPr>
        <w:pStyle w:val="Heading1"/>
        <w:rPr/>
      </w:pPr>
      <w:bookmarkStart w:id="10" w:name="the-tool-lab-paradigm"/>
      <w:r>
        <w:rPr/>
        <w:t>The Tool-Lab paradigm</w:t>
      </w:r>
    </w:p>
    <w:p>
      <w:pPr>
        <w:pStyle w:val="FirstParagraph"/>
        <w:rPr/>
      </w:pPr>
      <w:r>
        <w:rPr/>
        <w:t>To test how acquisition costs affects decision-making in delegated AI purchasing, empirical research requires a method that moves beyond choice outcomes. In human decision research, process-tracing methods such as Mouselab (Johnson et al. 1989; Payne et al. 1993) externalize internal decision-making steps by placing product attributes behind closed display boxes on a computer screen. By tracking which boxes human participants uncover, researchers observe information acquisition directly.</w:t>
      </w:r>
    </w:p>
    <w:p>
      <w:pPr>
        <w:pStyle w:val="BodyText"/>
        <w:rPr/>
      </w:pPr>
      <w:r>
        <w:rPr/>
        <w:t>We adapt this paradigm to Large Language Models (LLMs) acting as consumption decision makers through an experimental paradigm we term Tool-Lab. Rather than presenting an LLM with all product attributes within a single prompt, Tool-Lab embeds the LLM within an interactive, stateful software environment where product data are hidden behind costly tool calls.</w:t>
      </w:r>
    </w:p>
    <w:p>
      <w:pPr>
        <w:pStyle w:val="BodyText"/>
        <w:rPr/>
      </w:pPr>
      <w:r>
        <w:rPr/>
        <w:t xml:space="preserve">In Tool-Lab, product alternatives and their corresponding attributes are structured as an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N</m:t>
        </m:r>
      </m:oMath>
      <w:r>
        <w:rPr/>
        <w:t xml:space="preserve"> matrix of hidden cells. The AI agent interacts with this environment using tool calls (function calling). The environment exposes two tools, namely, </w:t>
      </w:r>
      <w:r>
        <w:rPr>
          <w:i/>
          <w:iCs/>
        </w:rPr>
        <w:t>inspect_cell</w:t>
      </w:r>
      <w:r>
        <w:rPr/>
        <w:t xml:space="preserve"> and </w:t>
      </w:r>
      <w:r>
        <w:rPr>
          <w:i/>
          <w:iCs/>
        </w:rPr>
        <w:t>submit_choice</w:t>
      </w:r>
      <w:r>
        <w:rPr>
          <w:rStyle w:val="FootnoteReference"/>
        </w:rPr>
        <w:footnoteReference w:id="3"/>
      </w:r>
      <w:r>
        <w:rPr/>
        <w:t xml:space="preserve">. To reveal an attribute’s value, the LLM must execute a tool call specifying the alternative and the attribute (e.g., </w:t>
      </w:r>
      <w:r>
        <w:rPr>
          <w:i/>
          <w:iCs/>
        </w:rPr>
        <w:t>inspect_cell(option_id=“coffee_b”, attribute_id=“weight”)</w:t>
      </w:r>
      <w:r>
        <w:rPr/>
        <w:t>)</w:t>
      </w:r>
      <w:r>
        <w:rPr>
          <w:rStyle w:val="FootnoteReference"/>
        </w:rPr>
        <w:footnoteReference w:id="4"/>
      </w:r>
      <w:r>
        <w:rPr/>
        <w:t xml:space="preserve">. In response, the environment returns a structured JSON payload containing the revealed value, the cost incurred for the tool call, and the cumulative cost accrued during the session. The LLM can terminate the search sequence by invoking a separate tool, named </w:t>
      </w:r>
      <w:r>
        <w:rPr>
          <w:i/>
          <w:iCs/>
        </w:rPr>
        <w:t>submit_choice</w:t>
      </w:r>
      <w:r>
        <w:rPr/>
        <w:t xml:space="preserve"> (e.g., </w:t>
      </w:r>
      <w:r>
        <w:rPr>
          <w:i/>
          <w:iCs/>
        </w:rPr>
        <w:t>submit_choice(option_id=“coffee_b”)</w:t>
      </w:r>
      <w:r>
        <w:rPr/>
        <w:t>). Invoking this tool concludes the session and commits the final purchase.</w:t>
      </w:r>
    </w:p>
    <w:p>
      <w:pPr>
        <w:pStyle w:val="BodyText"/>
        <w:rPr/>
      </w:pPr>
      <w:r>
        <w:rPr/>
        <w:t xml:space="preserve">To operationalize the acquisition cost, Tool-Lab attaches an explicit financial cost to each invocation of </w:t>
      </w:r>
      <w:r>
        <w:rPr>
          <w:i/>
          <w:iCs/>
        </w:rPr>
        <w:t>inspect_cell</w:t>
      </w:r>
      <w:r>
        <w:rPr/>
        <w:t xml:space="preserve">, which is charged directly to the delegating consumer. </w:t>
      </w:r>
      <w:r>
        <w:rPr>
          <w:i/>
          <w:iCs/>
        </w:rPr>
        <w:t>submit_choice</w:t>
      </w:r>
      <w:r>
        <w:rPr/>
        <w:t xml:space="preserve"> carries zero cost. By manipulating this cost across conditions, we observe how the AI agent adjusts its information acquisition behavior under varying degrees of constraint (</w:t>
      </w:r>
      <w:hyperlink w:anchor="fig-tool-lab-setup">
        <w:r>
          <w:rPr>
            <w:rStyle w:val="Hyperlink"/>
          </w:rPr>
          <w:t>Figure 2</w:t>
        </w:r>
      </w:hyperlink>
      <w:r>
        <w:rPr/>
        <w:t>).</w:t>
      </w:r>
    </w:p>
    <w:p>
      <w:pPr>
        <w:pStyle w:val="BodyText"/>
        <w:rPr/>
      </w:pPr>
      <w:r>
        <w:rPr>
          <w:i/>
          <w:iCs/>
        </w:rPr>
        <w:t xml:space="preserve">Insert </w:t>
      </w:r>
      <w:hyperlink w:anchor="fig-tool-lab-setup">
        <w:r>
          <w:rPr>
            <w:rStyle w:val="Hyperlink"/>
            <w:i/>
            <w:iCs/>
          </w:rPr>
          <w:t>Figure 2</w:t>
        </w:r>
      </w:hyperlink>
      <w:r>
        <w:rPr>
          <w:i/>
          <w:iCs/>
        </w:rPr>
        <w:t xml:space="preserve"> about here</w:t>
      </w:r>
    </w:p>
    <w:p>
      <w:pPr>
        <w:pStyle w:val="BodyText"/>
        <w:rPr/>
      </w:pPr>
      <w:r>
        <w:rPr/>
        <w:t>We quantify total acquisition, the distribution of acquisition across diagnostic (vs. non-diagnostic) attributes, and the final choice. Tool-Lab distinguishes choices made with complete versus incomplete diagnostic information. The validation studies separately assess whether models use the available information appropriately. This allows us to isolate whether a suboptimal choice occurred under complete diagnostic information (a utilization failure) or under incomplete diagnostic information (an acquisition failure). Tool-Lab can also record the reasoning traces that LLMs produce between tool calls (Yao et al. 2022). This is conditional on LLMs having reasoning capabilities and providers making reasoning traces accessible to the public. See Web Appendix E for an example of how we used the pre-tool reasoning traces to classify the objectives expressed by LLMs under vague goal prompt.</w:t>
      </w:r>
    </w:p>
    <w:p>
      <w:pPr>
        <w:pStyle w:val="BodyText"/>
        <w:rPr/>
      </w:pPr>
      <w:r>
        <w:rPr>
          <w:b/>
          <w:bCs/>
        </w:rPr>
        <w:t>Stochastic evaluation.</w:t>
      </w:r>
      <w:r>
        <w:rPr/>
        <w:t xml:space="preserve"> Evaluating LLMs in multi-turn tool environments requires addressing the stochastic nature of autoregressive text generation. In standard commercial deployments, LLMs sample tokens from probability distributions, meaning identical prompts can generate heterogeneous search trajectories and final decisions.</w:t>
      </w:r>
    </w:p>
    <w:p>
      <w:pPr>
        <w:pStyle w:val="BodyText"/>
        <w:rPr/>
      </w:pPr>
      <w:r>
        <w:rPr/>
        <w:t>To account for this variance, Tool-Lab implements a Monte Carlo sampling protocol (Holtzman et al. 2019; Robert et al. 1999; Wadi and Fredette 2025). Rather than evaluating a single deterministic pass, each experimental cell is evaluated across multiple independent simulated sessions per LLM. Every session is initiated as an isolated API conversation with zero state retention between trials. Within each session, the presentation order of alternative options and attribute rows is randomized to prevent position confounds. All interactions are executed programmatically via official client libraries under default provider decoding configurations, and all tool responses are validated against JSON schemas (detailed specifications and snapshot identifiers are provided in Web Appendix I).</w:t>
      </w:r>
    </w:p>
    <w:p>
      <w:pPr>
        <w:pStyle w:val="BodyText"/>
        <w:rPr/>
      </w:pPr>
      <w:r>
        <w:rPr>
          <w:b/>
          <w:bCs/>
        </w:rPr>
        <w:t>LLMs tested.</w:t>
      </w:r>
      <w:r>
        <w:rPr/>
        <w:t xml:space="preserve"> Unless noted otherwise, the experiments test eight commercially deployed LLMs from three major providers: Gemini 3.5 Flash Lite (Flash Lite), Gemini 3.8 Flash (Flash), and Gemini 3.1 Pro (Pro) from Google, GPT 5.6 Luna (Luna), GPT 5.6 Terra (Terra), and GPT 5.6 Sol (Sol) from OpenAI, and Claude Sonnet 5 (Sonnet) and Opus 5 (Opus) from Anthropic (shorthand names in parentheses). To avoid repetition, we refer to these LLMs using their shorthand name.</w:t>
      </w:r>
      <w:bookmarkEnd w:id="10"/>
    </w:p>
    <w:p>
      <w:pPr>
        <w:pStyle w:val="Heading1"/>
        <w:rPr/>
      </w:pPr>
      <w:bookmarkStart w:id="11" w:name="study-1"/>
      <w:r>
        <w:rPr/>
        <w:t>Study 1</w:t>
      </w:r>
    </w:p>
    <w:p>
      <w:pPr>
        <w:pStyle w:val="Heading2"/>
        <w:rPr/>
      </w:pPr>
      <w:bookmarkStart w:id="12" w:name="baseline"/>
      <w:r>
        <w:rPr/>
        <w:t>Baseline</w:t>
      </w:r>
    </w:p>
    <w:p>
      <w:pPr>
        <w:pStyle w:val="FirstParagraph"/>
        <w:rPr/>
      </w:pPr>
      <w:r>
        <w:rPr/>
        <w:t>We first test LLM choice when diagnostic attributes (i.e., dollars, cents, and weight) are fully available without any external constraints. We constructed a coffee choice experiment forcing trade-offs between brand, product weight, and price. We utilized four of the best-selling Amazon.com brands (</w:t>
      </w:r>
      <w:r>
        <w:rPr>
          <w:i/>
          <w:iCs/>
        </w:rPr>
        <w:t>McCafé, Maxwell House, Starbucks, Folgers</w:t>
      </w:r>
      <w:r>
        <w:rPr/>
        <w:t>). To investigate the relative effect of the cent versus the dollar value of the price on choice, we independently drew dollars and cents from the real-world distribution of coffee prices. We generated 1,014 non-dominated choice sets to ensure no alternative was superior in both price and weight, which would push the LLMs to make genuine economic trade-offs (Web Appendix B).</w:t>
      </w:r>
    </w:p>
    <w:p>
      <w:pPr>
        <w:pStyle w:val="BodyText"/>
        <w:rPr/>
      </w:pPr>
      <w:r>
        <w:rPr/>
        <w:t>We queried the eight LLMs once per choice set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112</m:t>
        </m:r>
      </m:oMath>
      <w:r>
        <w:rPr/>
        <w:t xml:space="preserve"> trials; 1,014 per LLM), as well as a normative objective optimizer that always chooses the alternative with the lowest price per weight. We used a standardized prompt that delegates the LLM as a surrogate shopping assistant (“You are a helpful shopping assistant”; </w:t>
      </w:r>
      <w:hyperlink w:anchor="apptbl-s1a-prompt-template">
        <w:r>
          <w:rPr>
            <w:rStyle w:val="Hyperlink"/>
          </w:rPr>
          <w:t>Table W21</w:t>
        </w:r>
      </w:hyperlink>
      <w:r>
        <w:rPr/>
        <w:t xml:space="preserve">). The presentation positions of the alternatives were randomized to control for position effects. We estimate an independent conditional logit for each LLM and the normative objective optimizer separately, assuming a random utility framework (Train 2009; specification in Web Appendix B). </w:t>
      </w:r>
      <w:hyperlink w:anchor="apptbl-s1a-realistic-cents">
        <w:r>
          <w:rPr>
            <w:rStyle w:val="Hyperlink"/>
          </w:rPr>
          <w:t>Table W1</w:t>
        </w:r>
      </w:hyperlink>
      <w:r>
        <w:rPr/>
        <w:t xml:space="preserve"> shows the results.</w:t>
      </w:r>
    </w:p>
    <w:p>
      <w:pPr>
        <w:pStyle w:val="BodyText"/>
        <w:rPr/>
      </w:pPr>
      <w:r>
        <w:rPr/>
        <w:t>Normative price sensitivity requires that a cent in dollar units be weighted at the same rate as a dollar. To test whether the LLMs weight the cents at the normative rate, we estimate separate marginal utilities for dollars (</w:t>
      </w:r>
      <w:r>
        <w:rPr/>
      </w:r>
      <m:oMath xmlns:m="http://schemas.openxmlformats.org/officeDocument/2006/math">
        <m:sSub>
          <m:e>
            <m:r>
              <w:rPr>
                <w:rFonts w:ascii="Cambria Math" w:hAnsi="Cambria Math"/>
              </w:rPr>
              <m:t xml:space="preserve">β</m:t>
            </m:r>
          </m:e>
          <m:sub>
            <m:r>
              <m:rPr>
                <m:lit/>
                <m:nor/>
              </m:rPr>
              <w:rPr>
                <w:rFonts w:ascii="Cambria Math" w:hAnsi="Cambria Math"/>
              </w:rPr>
              <m:t xml:space="preserve">Dollars ($)</m:t>
            </m:r>
          </m:sub>
        </m:sSub>
      </m:oMath>
      <w:r>
        <w:rPr/>
        <w:t>) and for cents converted to dollar units (</w:t>
      </w:r>
      <w:r>
        <w:rPr/>
      </w:r>
      <m:oMath xmlns:m="http://schemas.openxmlformats.org/officeDocument/2006/math">
        <m:r>
          <m:rPr>
            <m:lit/>
            <m:nor/>
          </m:rPr>
          <w:rPr>
            <w:rFonts w:ascii="Cambria Math" w:hAnsi="Cambria Math"/>
          </w:rPr>
          <m:t xml:space="preserve">Cents ($)</m:t>
        </m:r>
        <m:r>
          <w:rPr>
            <w:rFonts w:ascii="Cambria Math" w:hAnsi="Cambria Math"/>
          </w:rPr>
          <m:t xml:space="preserve">=</m:t>
        </m:r>
        <m:f>
          <m:num>
            <m:r>
              <m:rPr>
                <m:lit/>
                <m:nor/>
              </m:rPr>
              <w:rPr>
                <w:rFonts w:ascii="Cambria Math" w:hAnsi="Cambria Math"/>
              </w:rPr>
              <m:t xml:space="preserve">Cents</m:t>
            </m:r>
          </m:num>
          <m:den>
            <m:r>
              <w:rPr>
                <w:rFonts w:ascii="Cambria Math" w:hAnsi="Cambria Math"/>
              </w:rPr>
              <m:t xml:space="preserve">100</m:t>
            </m:r>
          </m:den>
        </m:f>
      </m:oMath>
      <w:r>
        <w:rPr/>
        <w:t xml:space="preserve">), and evaluate their ratio, </w:t>
      </w:r>
      <w:r>
        <w:rPr/>
      </w:r>
      <m:oMath xmlns:m="http://schemas.openxmlformats.org/officeDocument/2006/math">
        <m:f>
          <m:fPr>
            <m:type m:val="lin"/>
          </m:fPr>
          <m:num>
            <m:sSub>
              <m:e>
                <m:r>
                  <w:rPr>
                    <w:rFonts w:ascii="Cambria Math" w:hAnsi="Cambria Math"/>
                  </w:rPr>
                  <m:t xml:space="preserve">β</m:t>
                </m:r>
              </m:e>
              <m:sub>
                <m:r>
                  <m:rPr>
                    <m:lit/>
                    <m:nor/>
                  </m:rPr>
                  <w:rPr>
                    <w:rFonts w:ascii="Cambria Math" w:hAnsi="Cambria Math"/>
                  </w:rPr>
                  <m:t xml:space="preserve">Cents ($)</m:t>
                </m:r>
              </m:sub>
            </m:sSub>
          </m:num>
          <m:den>
            <m:sSub>
              <m:e>
                <m:r>
                  <w:rPr>
                    <w:rFonts w:ascii="Cambria Math" w:hAnsi="Cambria Math"/>
                  </w:rPr>
                  <m:t xml:space="preserve">β</m:t>
                </m:r>
              </m:e>
              <m:sub>
                <m:r>
                  <m:rPr>
                    <m:lit/>
                    <m:nor/>
                  </m:rPr>
                  <w:rPr>
                    <w:rFonts w:ascii="Cambria Math" w:hAnsi="Cambria Math"/>
                  </w:rPr>
                  <m:t xml:space="preserve">Dollars ($)</m:t>
                </m:r>
              </m:sub>
            </m:sSub>
          </m:den>
        </m:f>
      </m:oMath>
      <w:r>
        <w:rPr/>
        <w:t>, against the normative benchmark of one. Confidence intervals are exact, obtained by Fieller’s theorem (Fieller 1954) from the estimated coefficients.</w:t>
      </w:r>
    </w:p>
    <w:p>
      <w:pPr>
        <w:pStyle w:val="BodyText"/>
        <w:rPr/>
      </w:pPr>
      <w:r>
        <w:rPr/>
        <w:t>The ratio of cent-to-dollar sensitivity ranges from 0.55 to 1.12 (</w:t>
      </w:r>
      <w:hyperlink w:anchor="apptbl-s1a-cent-dollar-ratio">
        <w:r>
          <w:rPr>
            <w:rStyle w:val="Hyperlink"/>
          </w:rPr>
          <w:t>Table W2</w:t>
        </w:r>
      </w:hyperlink>
      <w:r>
        <w:rPr/>
        <w:t>). For seven out of the eight LLMs, the 95% confidence interval contains 1.00, and we find no evidence that they discount or favor the cent relative to the dollar amount. Only Flash systematically discounts cents relative to whole dollars (ratio = 0.55, 95% CI [0.19, 0.90]). For example, Flash treats the 16-cent difference between $8.99 and $9.15 as a 54-cent difference. Hence, under full attribute information, most LLMs do not show a just-below pricing effect.</w:t>
      </w:r>
      <w:bookmarkEnd w:id="12"/>
    </w:p>
    <w:p>
      <w:pPr>
        <w:pStyle w:val="Heading2"/>
        <w:rPr/>
      </w:pPr>
      <w:bookmarkStart w:id="13" w:name="tool-lab"/>
      <w:r>
        <w:rPr/>
        <w:t>Tool-Lab</w:t>
      </w:r>
    </w:p>
    <w:p>
      <w:pPr>
        <w:pStyle w:val="FirstParagraph"/>
        <w:rPr/>
      </w:pPr>
      <w:r>
        <w:rPr/>
        <w:t xml:space="preserve">The baseline experiment cannot trace what happens when the information environment is constrained, and how acquisition costs affect LLM choice. We deploy Tool-Lab to explore these conditions and test our hypotheses. We instruct the LLMs to choose an instant coffee for a human consumer. The stimulus set consists of two alternatives designed as a choice trap to isolate the just-below pricing effect. </w:t>
      </w:r>
      <w:r>
        <w:rPr>
          <w:i/>
          <w:iCs/>
        </w:rPr>
        <w:t>Coffee A</w:t>
      </w:r>
      <w:r>
        <w:rPr/>
        <w:t xml:space="preserve">, has a lower dollar value ($4.99 for 10 oz), but yields a suboptimal unit-price of 0.499 $/oz. </w:t>
      </w:r>
      <w:r>
        <w:rPr>
          <w:i/>
          <w:iCs/>
        </w:rPr>
        <w:t>Coffee B</w:t>
      </w:r>
      <w:r>
        <w:rPr/>
        <w:t xml:space="preserve">, the optimal choice, has a higher dollar value ($5.00 for 11 oz), but yields the superior unit price at 0.455 $/oz. A normative objective optimizer would thus choose </w:t>
      </w:r>
      <w:r>
        <w:rPr>
          <w:i/>
          <w:iCs/>
        </w:rPr>
        <w:t>Coffee B</w:t>
      </w:r>
      <w:r>
        <w:rPr/>
        <w:t>.</w:t>
      </w:r>
    </w:p>
    <w:p>
      <w:pPr>
        <w:pStyle w:val="BodyText"/>
        <w:rPr/>
      </w:pPr>
      <w:r>
        <w:rPr/>
        <w:t xml:space="preserve">To force a tradeoff between the dollar and cent components of the price, we separate the price into two hidden attributes, </w:t>
      </w:r>
      <w:r>
        <w:rPr>
          <w:i/>
          <w:iCs/>
        </w:rPr>
        <w:t>price_dollars</w:t>
      </w:r>
      <w:r>
        <w:rPr/>
        <w:t xml:space="preserve"> (e.g., “$4”) and </w:t>
      </w:r>
      <w:r>
        <w:rPr>
          <w:i/>
          <w:iCs/>
        </w:rPr>
        <w:t>price_cents</w:t>
      </w:r>
      <w:r>
        <w:rPr/>
        <w:t xml:space="preserve"> (e.g., “99 cents”). To calculate the unit price (</w:t>
      </w:r>
      <w:r>
        <w:rPr/>
      </w:r>
      <m:oMath xmlns:m="http://schemas.openxmlformats.org/officeDocument/2006/math">
        <m:f>
          <m:num>
            <m:r>
              <m:rPr>
                <m:lit/>
                <m:nor/>
              </m:rPr>
              <w:rPr>
                <w:rFonts w:ascii="Cambria Math" w:hAnsi="Cambria Math"/>
              </w:rPr>
              <m:t xml:space="preserve">price dollars</m:t>
            </m:r>
            <m:r>
              <w:rPr>
                <w:rFonts w:ascii="Cambria Math" w:hAnsi="Cambria Math"/>
              </w:rPr>
              <m:t xml:space="preserve">+</m:t>
            </m:r>
            <m:r>
              <m:rPr>
                <m:lit/>
                <m:nor/>
              </m:rPr>
              <w:rPr>
                <w:rFonts w:ascii="Cambria Math" w:hAnsi="Cambria Math"/>
              </w:rPr>
              <m:t xml:space="preserve">price cents</m:t>
            </m:r>
          </m:num>
          <m:den>
            <m:r>
              <m:rPr>
                <m:lit/>
                <m:nor/>
              </m:rPr>
              <w:rPr>
                <w:rFonts w:ascii="Cambria Math" w:hAnsi="Cambria Math"/>
              </w:rPr>
              <m:t xml:space="preserve">weight</m:t>
            </m:r>
          </m:den>
        </m:f>
      </m:oMath>
      <w:r>
        <w:rPr/>
        <w:t>), the LLM must expend resources to reveal three diagnostic attributes for each alternative (6 diagnostic attributes total). To increase ecological validity of the products and to obscure the true purpose of the experiment, we also include four non-diagnostic attributes (</w:t>
      </w:r>
      <w:r>
        <w:rPr>
          <w:i/>
          <w:iCs/>
        </w:rPr>
        <w:t>origin</w:t>
      </w:r>
      <w:r>
        <w:rPr/>
        <w:t xml:space="preserve">, </w:t>
      </w:r>
      <w:r>
        <w:rPr>
          <w:i/>
          <w:iCs/>
        </w:rPr>
        <w:t>roast_date</w:t>
      </w:r>
      <w:r>
        <w:rPr/>
        <w:t xml:space="preserve">, </w:t>
      </w:r>
      <w:r>
        <w:rPr>
          <w:i/>
          <w:iCs/>
        </w:rPr>
        <w:t>calories</w:t>
      </w:r>
      <w:r>
        <w:rPr/>
        <w:t xml:space="preserve">, and </w:t>
      </w:r>
      <w:r>
        <w:rPr>
          <w:i/>
          <w:iCs/>
        </w:rPr>
        <w:t>packaging</w:t>
      </w:r>
      <w:r>
        <w:rPr/>
        <w:t>). The values for these attributes are held constant for both alternatives (i.e., “Colombia”, “2 weeks ago”, “3” “Foil bag”) to prevent any confounds.</w:t>
      </w:r>
    </w:p>
    <w:p>
      <w:pPr>
        <w:pStyle w:val="BodyText"/>
        <w:rPr/>
      </w:pPr>
      <w:r>
        <w:rPr/>
        <w:t xml:space="preserve">We implement a 2 (Acquisition cost: $0.00 vs. $10.00 per </w:t>
      </w:r>
      <w:r>
        <w:rPr>
          <w:i/>
          <w:iCs/>
        </w:rPr>
        <w:t>inspect_cell</w:t>
      </w:r>
      <w:r>
        <w:rPr/>
        <w:t xml:space="preserve"> invocation) </w:t>
      </w:r>
      <w:r>
        <w:rPr/>
      </w:r>
      <m:oMath xmlns:m="http://schemas.openxmlformats.org/officeDocument/2006/math">
        <m:r>
          <w:rPr>
            <w:rFonts w:ascii="Cambria Math" w:hAnsi="Cambria Math"/>
          </w:rPr>
          <m:t xml:space="preserve">×</m:t>
        </m:r>
      </m:oMath>
      <w:r>
        <w:rPr/>
        <w:t xml:space="preserve"> 2 (Goal specificity: specific vs. vague goal prompt) between-sessions design. To manipulate goal specificity, we vary the evaluative instruction in the prompt. In the vague goal prompt condition, the LLM receives a colloquial purchasing prompt: </w:t>
      </w:r>
      <w:r>
        <w:rPr>
          <w:i/>
          <w:iCs/>
        </w:rPr>
        <w:t xml:space="preserve">“You need to find the </w:t>
      </w:r>
      <w:r>
        <w:rPr>
          <w:b/>
          <w:bCs/>
          <w:i/>
          <w:iCs/>
        </w:rPr>
        <w:t>best deal</w:t>
      </w:r>
      <w:r>
        <w:rPr>
          <w:i/>
          <w:iCs/>
        </w:rPr>
        <w:t xml:space="preserve"> on instant coffee.”</w:t>
      </w:r>
      <w:r>
        <w:rPr/>
        <w:t xml:space="preserve"> In the specific goal prompt condition, this instruction is replaced with the normative objective: </w:t>
      </w:r>
      <w:r>
        <w:rPr>
          <w:i/>
          <w:iCs/>
        </w:rPr>
        <w:t xml:space="preserve">“You need to find the coffee with the </w:t>
      </w:r>
      <w:r>
        <w:rPr>
          <w:b/>
          <w:bCs/>
          <w:i/>
          <w:iCs/>
        </w:rPr>
        <w:t>lowest price per ounce</w:t>
      </w:r>
      <w:r>
        <w:rPr>
          <w:i/>
          <w:iCs/>
        </w:rPr>
        <w:t>.”</w:t>
      </w:r>
      <w:r>
        <w:rPr/>
        <w:t xml:space="preserve"> All other elements of the prompt, the product stimuli, and the tool environment are held constant across conditions. We evaluate the eight LLMs. In total, Study 1 Tool-Lab comprises 3,200 unique simulated sessions (8 LLMs </w:t>
      </w:r>
      <w:r>
        <w:rPr/>
      </w:r>
      <m:oMath xmlns:m="http://schemas.openxmlformats.org/officeDocument/2006/math">
        <m:r>
          <w:rPr>
            <w:rFonts w:ascii="Cambria Math" w:hAnsi="Cambria Math"/>
          </w:rPr>
          <m:t xml:space="preserve">×</m:t>
        </m:r>
      </m:oMath>
      <w:r>
        <w:rPr/>
        <w:t xml:space="preserve"> 2 acquisition costs </w:t>
      </w:r>
      <w:r>
        <w:rPr/>
      </w:r>
      <m:oMath xmlns:m="http://schemas.openxmlformats.org/officeDocument/2006/math">
        <m:r>
          <w:rPr>
            <w:rFonts w:ascii="Cambria Math" w:hAnsi="Cambria Math"/>
          </w:rPr>
          <m:t xml:space="preserve">×</m:t>
        </m:r>
      </m:oMath>
      <w:r>
        <w:rPr/>
        <w:t xml:space="preserve"> 2 goal specificity conditions </w:t>
      </w:r>
      <w:r>
        <w:rPr/>
      </w:r>
      <m:oMath xmlns:m="http://schemas.openxmlformats.org/officeDocument/2006/math">
        <m:r>
          <w:rPr>
            <w:rFonts w:ascii="Cambria Math" w:hAnsi="Cambria Math"/>
          </w:rPr>
          <m:t xml:space="preserve">×</m:t>
        </m:r>
      </m:oMath>
      <w:r>
        <w:rPr/>
        <w:t xml:space="preserve"> 100 iterations).</w:t>
      </w:r>
    </w:p>
    <w:p>
      <w:pPr>
        <w:pStyle w:val="BodyText"/>
        <w:rPr/>
      </w:pPr>
      <w:r>
        <w:rPr/>
        <w:t>Each session begins with a system prompt that delegates the choice of an instant coffee to the LLM and states that the user would purchase 5 bags of the chosen coffee.</w:t>
      </w:r>
      <w:r>
        <w:rPr>
          <w:rStyle w:val="FootnoteReference"/>
        </w:rPr>
        <w:footnoteReference w:id="5"/>
      </w:r>
      <w:r>
        <w:rPr/>
        <w:t xml:space="preserve"> The prompt then defines the tool mechanics and states that the user loses an amount equal to the acquisition cost for each </w:t>
      </w:r>
      <w:r>
        <w:rPr>
          <w:i/>
          <w:iCs/>
        </w:rPr>
        <w:t>inspect_cell</w:t>
      </w:r>
      <w:r>
        <w:rPr/>
        <w:t xml:space="preserve"> call, followed by the goal specificity manipulation and the choice query (</w:t>
      </w:r>
      <w:hyperlink w:anchor="apptbl-s1b-prompts">
        <w:r>
          <w:rPr>
            <w:rStyle w:val="Hyperlink"/>
          </w:rPr>
          <w:t>Table W3</w:t>
        </w:r>
      </w:hyperlink>
      <w:r>
        <w:rPr/>
        <w:t xml:space="preserve">). </w:t>
      </w:r>
      <w:r>
        <w:rPr>
          <w:i/>
          <w:iCs/>
        </w:rPr>
        <w:t>Choice optimality</w:t>
      </w:r>
      <w:r>
        <w:rPr/>
        <w:t xml:space="preserve"> is the final product selected via the </w:t>
      </w:r>
      <w:r>
        <w:rPr>
          <w:i/>
          <w:iCs/>
        </w:rPr>
        <w:t>submit_choice</w:t>
      </w:r>
      <w:r>
        <w:rPr/>
        <w:t xml:space="preserve"> tool, coded as a binary variable (1 = the optimal choice; 0 = the suboptimal choice). </w:t>
      </w:r>
      <w:r>
        <w:rPr>
          <w:i/>
          <w:iCs/>
        </w:rPr>
        <w:t>Diagnostic acquisition</w:t>
      </w:r>
      <w:r>
        <w:rPr/>
        <w:t xml:space="preserve"> is the count of how many of the six diagnostic attributes (</w:t>
      </w:r>
      <w:r>
        <w:rPr>
          <w:i/>
          <w:iCs/>
        </w:rPr>
        <w:t>price_dollars</w:t>
      </w:r>
      <w:r>
        <w:rPr/>
        <w:t xml:space="preserve">, </w:t>
      </w:r>
      <w:r>
        <w:rPr>
          <w:i/>
          <w:iCs/>
        </w:rPr>
        <w:t>price_cents</w:t>
      </w:r>
      <w:r>
        <w:rPr/>
        <w:t xml:space="preserve">, and </w:t>
      </w:r>
      <w:r>
        <w:rPr>
          <w:i/>
          <w:iCs/>
        </w:rPr>
        <w:t>weight</w:t>
      </w:r>
      <w:r>
        <w:rPr/>
        <w:t>) the LLM inspects before submitting its choice.</w:t>
      </w:r>
    </w:p>
    <w:p>
      <w:pPr>
        <w:pStyle w:val="BodyText"/>
        <w:rPr/>
      </w:pPr>
      <w:r>
        <w:rPr>
          <w:b/>
          <w:bCs/>
        </w:rPr>
        <w:t>Results</w:t>
      </w:r>
      <w:r>
        <w:rPr/>
        <w:t xml:space="preserve"> Aggregated across all LLMs tested (</w:t>
      </w:r>
      <w:hyperlink w:anchor="tbl-s1b-aggregate">
        <w:r>
          <w:rPr>
            <w:rStyle w:val="Hyperlink"/>
          </w:rPr>
          <w:t>Table 1</w:t>
        </w:r>
      </w:hyperlink>
      <w:r>
        <w:rPr/>
        <w:t xml:space="preserve">; per LLM descriptives in </w:t>
      </w:r>
      <w:hyperlink w:anchor="apptbl-s1b-descriptives">
        <w:r>
          <w:rPr>
            <w:rStyle w:val="Hyperlink"/>
          </w:rPr>
          <w:t>Table W4</w:t>
        </w:r>
      </w:hyperlink>
      <w:r>
        <w:rPr/>
        <w:t>), diagnostic acquisition and choice optimality were high at zero cost under both the specific goal prompt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6.00</m:t>
        </m:r>
      </m:oMath>
      <w:r>
        <w:rPr/>
        <w:t xml:space="preserve"> and </w:t>
      </w:r>
      <w:r>
        <w:rPr/>
      </w:r>
      <m:oMath xmlns:m="http://schemas.openxmlformats.org/officeDocument/2006/math">
        <m:r>
          <w:rPr>
            <w:rFonts w:ascii="Cambria Math" w:hAnsi="Cambria Math"/>
          </w:rPr>
          <m:t xml:space="preserve">0.94</m:t>
        </m:r>
      </m:oMath>
      <w:r>
        <w:rPr/>
        <w:t>) and the vague goal prompt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5.86</m:t>
        </m:r>
      </m:oMath>
      <w:r>
        <w:rPr/>
        <w:t xml:space="preserve"> and </w:t>
      </w:r>
      <w:r>
        <w:rPr/>
      </w:r>
      <m:oMath xmlns:m="http://schemas.openxmlformats.org/officeDocument/2006/math">
        <m:r>
          <w:rPr>
            <w:rFonts w:ascii="Cambria Math" w:hAnsi="Cambria Math"/>
          </w:rPr>
          <m:t xml:space="preserve">0.89</m:t>
        </m:r>
      </m:oMath>
      <w:r>
        <w:rPr/>
        <w:t>). Under the specific goal prompt, the $10.00 acquisition cost produced a small reduction in diagnostic acquisition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5.72</m:t>
        </m:r>
      </m:oMath>
      <w:r>
        <w:rPr/>
        <w:t>) and choice optimality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0.83</m:t>
        </m:r>
      </m:oMath>
      <w:r>
        <w:rPr/>
        <w:t>), driven exclusively by the omission of cents. Under the vague goal prompt, the same cost produced a substantial reduction in diagnostic acquisition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3.81</m:t>
        </m:r>
      </m:oMath>
      <w:r>
        <w:rPr/>
        <w:t>) and choice optimality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0.29</m:t>
        </m:r>
      </m:oMath>
      <w:r>
        <w:rPr/>
        <w:t>). The LLMs largely maintained dollars but omitted both cents and weight.</w:t>
      </w:r>
    </w:p>
    <w:p>
      <w:pPr>
        <w:pStyle w:val="BodyText"/>
        <w:rPr/>
      </w:pPr>
      <w:r>
        <w:rPr>
          <w:i/>
          <w:iCs/>
        </w:rPr>
        <w:t xml:space="preserve">Insert </w:t>
      </w:r>
      <w:hyperlink w:anchor="tbl-s1b-aggregate">
        <w:r>
          <w:rPr>
            <w:rStyle w:val="Hyperlink"/>
            <w:i/>
            <w:iCs/>
          </w:rPr>
          <w:t>Table 1</w:t>
        </w:r>
      </w:hyperlink>
      <w:r>
        <w:rPr>
          <w:i/>
          <w:iCs/>
        </w:rPr>
        <w:t xml:space="preserve"> about here</w:t>
      </w:r>
    </w:p>
    <w:p>
      <w:pPr>
        <w:pStyle w:val="BodyText"/>
        <w:rPr/>
      </w:pPr>
      <w:r>
        <w:rPr>
          <w:b/>
          <w:bCs/>
        </w:rPr>
        <w:t>Moderated mediation analysis</w:t>
      </w:r>
      <w:r>
        <w:rPr/>
        <w:t xml:space="preserve"> To test H1–H3 while allowing baseline acquisition and structural slopes to vary across LLMs, we estimate a Bayesian multilevel moderated mediation model in Stan via </w:t>
      </w:r>
      <w:r>
        <w:rPr>
          <w:i/>
          <w:iCs/>
        </w:rPr>
        <w:t>brms</w:t>
      </w:r>
      <w:r>
        <w:rPr/>
        <w:t xml:space="preserve"> (Bürkner 2017). The first stage regresses diagnostic acquisition on acquisition cost, prompt specificity, and their interaction (H1). The second stage regresses choice optimality on diagnostic acquisition (H2), acquisition cost, and prompt specificity. It uses a linear probability specification, which permits an exact additive decomposition of conditional indirect effects (Breen et al. 2013) and the Index of Moderated Mediation (</w:t>
      </w:r>
      <w:r>
        <w:rPr/>
      </w:r>
      <m:oMath xmlns:m="http://schemas.openxmlformats.org/officeDocument/2006/math">
        <m:r>
          <w:rPr>
            <w:rFonts w:ascii="Cambria Math" w:hAnsi="Cambria Math"/>
          </w:rPr>
          <m:t xml:space="preserve">I</m:t>
        </m:r>
        <m:r>
          <w:rPr>
            <w:rFonts w:ascii="Cambria Math" w:hAnsi="Cambria Math"/>
          </w:rPr>
          <m:t xml:space="preserve">M</m:t>
        </m:r>
        <m:r>
          <w:rPr>
            <w:rFonts w:ascii="Cambria Math" w:hAnsi="Cambria Math"/>
          </w:rPr>
          <m:t xml:space="preserve">M</m:t>
        </m:r>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H3). Equations, priors, and Markov chain diagnostics are reported in Web Appendix D.</w:t>
      </w:r>
    </w:p>
    <w:p>
      <w:pPr>
        <w:pStyle w:val="BodyText"/>
        <w:rPr/>
      </w:pPr>
      <w:r>
        <w:rPr>
          <w:i/>
          <w:iCs/>
        </w:rPr>
        <w:t xml:space="preserve">Insert </w:t>
      </w:r>
      <w:hyperlink w:anchor="tbl-modmed">
        <w:r>
          <w:rPr>
            <w:rStyle w:val="Hyperlink"/>
            <w:i/>
            <w:iCs/>
          </w:rPr>
          <w:t>Table 2</w:t>
        </w:r>
      </w:hyperlink>
      <w:r>
        <w:rPr>
          <w:i/>
          <w:iCs/>
        </w:rPr>
        <w:t xml:space="preserve"> about here</w:t>
      </w:r>
    </w:p>
    <w:p>
      <w:pPr>
        <w:pStyle w:val="BodyText"/>
        <w:rPr/>
      </w:pPr>
      <w:r>
        <w:rPr/>
        <w:t>The empirical estimates are consistent with the hypothesized structural pathways (</w:t>
      </w:r>
      <w:hyperlink w:anchor="tbl-modmed">
        <w:r>
          <w:rPr>
            <w:rStyle w:val="Hyperlink"/>
          </w:rPr>
          <w:t>Table 2</w:t>
        </w:r>
      </w:hyperlink>
      <w:r>
        <w:rPr/>
        <w:t>, Study 1). Prompt specificity moderates the effect of acquisition cost on diagnostic acquisition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1.727</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2.641</m:t>
        </m:r>
        <m:r>
          <w:rPr>
            <w:rFonts w:ascii="Cambria Math" w:hAnsi="Cambria Math"/>
          </w:rPr>
          <m:t xml:space="preserve">,</m:t>
        </m:r>
        <m:r>
          <w:rPr>
            <w:rFonts w:ascii="Cambria Math" w:hAnsi="Cambria Math"/>
          </w:rPr>
          <m:t xml:space="preserve">−</m:t>
        </m:r>
        <m:r>
          <w:rPr>
            <w:rFonts w:ascii="Cambria Math" w:hAnsi="Cambria Math"/>
          </w:rPr>
          <m:t xml:space="preserve">0.765</m:t>
        </m:r>
        <m:r>
          <w:rPr>
            <w:rFonts w:ascii="Cambria Math" w:hAnsi="Cambria Math"/>
          </w:rPr>
          <m:t xml:space="preserve">]</m:t>
        </m:r>
      </m:oMath>
      <w:r>
        <w:rPr/>
        <w:t>), supporting H1. Acquisition cost credibly reduces diagnostic acquisition under the 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r>
          <w:rPr>
            <w:rFonts w:ascii="Cambria Math" w:hAnsi="Cambria Math"/>
          </w:rPr>
          <m:t xml:space="preserve">=</m:t>
        </m:r>
        <m:r>
          <w:rPr>
            <w:rFonts w:ascii="Cambria Math" w:hAnsi="Cambria Math"/>
          </w:rPr>
          <m:t xml:space="preserve">−</m:t>
        </m:r>
        <m:r>
          <w:rPr>
            <w:rFonts w:ascii="Cambria Math" w:hAnsi="Cambria Math"/>
          </w:rPr>
          <m:t xml:space="preserve">1.997</m:t>
        </m:r>
      </m:oMath>
      <w:r>
        <w:rPr/>
        <w:t>), but its effect under the specific goal prompt is not credibly different from zero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0.270</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0.698</m:t>
        </m:r>
        <m:r>
          <w:rPr>
            <w:rFonts w:ascii="Cambria Math" w:hAnsi="Cambria Math"/>
          </w:rPr>
          <m:t xml:space="preserve">,</m:t>
        </m:r>
        <m:r>
          <w:rPr>
            <w:rFonts w:ascii="Cambria Math" w:hAnsi="Cambria Math"/>
          </w:rPr>
          <m:t xml:space="preserve">0.161</m:t>
        </m:r>
        <m:r>
          <w:rPr>
            <w:rFonts w:ascii="Cambria Math" w:hAnsi="Cambria Math"/>
          </w:rPr>
          <m:t xml:space="preserve">]</m:t>
        </m:r>
      </m:oMath>
      <w:r>
        <w:rPr/>
        <w:t>). Diagnostic acquisition is positively associated with choice optimality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0.263</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0.196</m:t>
        </m:r>
        <m:r>
          <w:rPr>
            <w:rFonts w:ascii="Cambria Math" w:hAnsi="Cambria Math"/>
          </w:rPr>
          <m:t xml:space="preserve">,</m:t>
        </m:r>
        <m:r>
          <w:rPr>
            <w:rFonts w:ascii="Cambria Math" w:hAnsi="Cambria Math"/>
          </w:rPr>
          <m:t xml:space="preserve">0.329</m:t>
        </m:r>
        <m:r>
          <w:rPr>
            <w:rFonts w:ascii="Cambria Math" w:hAnsi="Cambria Math"/>
          </w:rPr>
          <m:t xml:space="preserve">]</m:t>
        </m:r>
      </m:oMath>
      <w:r>
        <w:rPr/>
        <w:t>), supporting H2. The Index of Moderated Mediation is negative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0.451</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0.704</m:t>
        </m:r>
        <m:r>
          <w:rPr>
            <w:rFonts w:ascii="Cambria Math" w:hAnsi="Cambria Math"/>
          </w:rPr>
          <m:t xml:space="preserve">,</m:t>
        </m:r>
        <m:r>
          <w:rPr>
            <w:rFonts w:ascii="Cambria Math" w:hAnsi="Cambria Math"/>
          </w:rPr>
          <m:t xml:space="preserve">−</m:t>
        </m:r>
        <m:r>
          <w:rPr>
            <w:rFonts w:ascii="Cambria Math" w:hAnsi="Cambria Math"/>
          </w:rPr>
          <m:t xml:space="preserve">0.194</m:t>
        </m:r>
        <m:r>
          <w:rPr>
            <w:rFonts w:ascii="Cambria Math" w:hAnsi="Cambria Math"/>
          </w:rPr>
          <m:t xml:space="preserve">]</m:t>
        </m:r>
      </m:oMath>
      <w:r>
        <w:rPr/>
        <w:t>), supporting H3. The indirect effect is negative under the vague goal prompt but overlaps zero under the specific goal prompt. The direct effect of acquisition cost on choice optimality is not credibly different from zero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r>
          <w:rPr>
            <w:rFonts w:ascii="Cambria Math" w:hAnsi="Cambria Math"/>
          </w:rPr>
          <m:t xml:space="preserve">−</m:t>
        </m:r>
        <m:r>
          <w:rPr>
            <w:rFonts w:ascii="Cambria Math" w:hAnsi="Cambria Math"/>
          </w:rPr>
          <m:t xml:space="preserve">0.100</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0.251</m:t>
        </m:r>
        <m:r>
          <w:rPr>
            <w:rFonts w:ascii="Cambria Math" w:hAnsi="Cambria Math"/>
          </w:rPr>
          <m:t xml:space="preserve">,</m:t>
        </m:r>
        <m:r>
          <w:rPr>
            <w:rFonts w:ascii="Cambria Math" w:hAnsi="Cambria Math"/>
          </w:rPr>
          <m:t xml:space="preserve">0.051</m:t>
        </m:r>
        <m:r>
          <w:rPr>
            <w:rFonts w:ascii="Cambria Math" w:hAnsi="Cambria Math"/>
          </w:rPr>
          <m:t xml:space="preserve">]</m:t>
        </m:r>
      </m:oMath>
      <w:r>
        <w:rPr/>
        <w:t>), which indicates that the decrease in choice optimality operates primarily through the truncation of diagnostic acquisition. Disaggregated analyses show that this indirect pathway is broadly consistent across the evaluated LLMs, with one exception. Luna maintained diagnostic acquisition under vague goal prompt with an IMM that overlapped zero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0.063</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0.158</m:t>
        </m:r>
        <m:r>
          <w:rPr>
            <w:rFonts w:ascii="Cambria Math" w:hAnsi="Cambria Math"/>
          </w:rPr>
          <m:t xml:space="preserve">,</m:t>
        </m:r>
        <m:r>
          <w:rPr>
            <w:rFonts w:ascii="Cambria Math" w:hAnsi="Cambria Math"/>
          </w:rPr>
          <m:t xml:space="preserve">0.033</m:t>
        </m:r>
        <m:r>
          <w:rPr>
            <w:rFonts w:ascii="Cambria Math" w:hAnsi="Cambria Math"/>
          </w:rPr>
          <m:t xml:space="preserve">]</m:t>
        </m:r>
      </m:oMath>
      <w:r>
        <w:rPr/>
        <w:t xml:space="preserve">). LLM-specific structural path estimates and conditional indirect effects are reported in </w:t>
      </w:r>
      <w:hyperlink w:anchor="apptbl-s1b-permodel-paths">
        <w:r>
          <w:rPr>
            <w:rStyle w:val="Hyperlink"/>
          </w:rPr>
          <w:t>Table W5</w:t>
        </w:r>
      </w:hyperlink>
      <w:r>
        <w:rPr/>
        <w:t xml:space="preserve"> and </w:t>
      </w:r>
      <w:hyperlink w:anchor="apptbl-s1b-permodel-indirect">
        <w:r>
          <w:rPr>
            <w:rStyle w:val="Hyperlink"/>
          </w:rPr>
          <w:t>Table W6</w:t>
        </w:r>
      </w:hyperlink>
      <w:r>
        <w:rPr/>
        <w:t>.</w:t>
      </w:r>
    </w:p>
    <w:p>
      <w:pPr>
        <w:pStyle w:val="BodyText"/>
        <w:rPr/>
      </w:pPr>
      <w:r>
        <w:rPr>
          <w:b/>
          <w:bCs/>
        </w:rPr>
        <w:t>Prompt variation</w:t>
      </w:r>
      <w:r>
        <w:rPr/>
        <w:t xml:space="preserve"> A natural concern with LLM evaluations is that the observed effects might be due to the specific prompt wording or ordering rather than the pathway that we claimed. Holding choice stimuli and tool mechanics invariant, we test three prompt variations (</w:t>
      </w:r>
      <w:hyperlink w:anchor="apptbl-s1b-prompt-variants">
        <w:r>
          <w:rPr>
            <w:rStyle w:val="Hyperlink"/>
          </w:rPr>
          <w:t>Table W7</w:t>
        </w:r>
      </w:hyperlink>
      <w:r>
        <w:rPr/>
        <w:t xml:space="preserve">): (1) the </w:t>
      </w:r>
      <w:r>
        <w:rPr>
          <w:i/>
          <w:iCs/>
        </w:rPr>
        <w:t>Original</w:t>
      </w:r>
      <w:r>
        <w:rPr/>
        <w:t xml:space="preserve"> prompt; (2) </w:t>
      </w:r>
      <w:r>
        <w:rPr>
          <w:i/>
          <w:iCs/>
        </w:rPr>
        <w:t>Sentence reorder</w:t>
      </w:r>
      <w:r>
        <w:rPr/>
        <w:t xml:space="preserve">, which moves the goal instruction earlier in the prompt to test for recency effects; and (3) </w:t>
      </w:r>
      <w:r>
        <w:rPr>
          <w:i/>
          <w:iCs/>
        </w:rPr>
        <w:t>Cost paraphrase</w:t>
      </w:r>
      <w:r>
        <w:rPr/>
        <w:t>, which replaces the loss framing of the acquisition cost with fee framing to test for lexical loss confounds.</w:t>
      </w:r>
    </w:p>
    <w:p>
      <w:pPr>
        <w:pStyle w:val="BodyText"/>
        <w:rPr/>
      </w:pPr>
      <w:r>
        <w:rPr/>
        <w:t xml:space="preserve">Crossing these 3 prompt variations with 2 acquisition costs ($0 vs. $10) and 2 prompt specificities (specific vs. vague goal prompt) yields 12 cells. Because testing the full design of Study 1 Tool-Lab for all eight LLMs across 12 cells would be combinatorially prohibitive and difficult to report, we focus on the Google Gemini family (100 sessions per cell;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600</m:t>
        </m:r>
      </m:oMath>
      <w:r>
        <w:rPr/>
        <w:t>, including 1,200 sessions from Study 1 Tool-Lab). Gemini LLMs exhibited wide behavioral variance in Study 1 Tool-Lab, under vague prompt, from a small truncation under cost in Flash Lite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0.44</m:t>
        </m:r>
      </m:oMath>
      <w:r>
        <w:rPr/>
        <w:t>) to a pronounced truncation in Pro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3.20</m:t>
        </m:r>
      </m:oMath>
      <w:r>
        <w:rPr/>
        <w:t xml:space="preserve">; </w:t>
      </w:r>
      <w:hyperlink w:anchor="apptbl-s1b-robust-results">
        <w:r>
          <w:rPr>
            <w:rStyle w:val="Hyperlink"/>
          </w:rPr>
          <w:t>Table W8</w:t>
        </w:r>
      </w:hyperlink>
      <w:r>
        <w:rPr/>
        <w:t>).</w:t>
      </w:r>
    </w:p>
    <w:p>
      <w:pPr>
        <w:pStyle w:val="BodyText"/>
        <w:rPr/>
      </w:pPr>
      <w:r>
        <w:rPr/>
        <w:t xml:space="preserve">We estimated the moderated mediation model separately for each LLM </w:t>
      </w:r>
      <w:r>
        <w:rPr/>
      </w:r>
      <m:oMath xmlns:m="http://schemas.openxmlformats.org/officeDocument/2006/math">
        <m:r>
          <w:rPr>
            <w:rFonts w:ascii="Cambria Math" w:hAnsi="Cambria Math"/>
          </w:rPr>
          <m:t xml:space="preserve">×</m:t>
        </m:r>
      </m:oMath>
      <w:r>
        <w:rPr/>
        <w:t xml:space="preserve"> prompt variation combination (Web Appendix D).  Across prompt variations, the structural estimates replicate the primary findings in eight of the nine LLM × prompt variation combinations (</w:t>
      </w:r>
      <w:hyperlink w:anchor="apptbl-s1b-robust-results">
        <w:r>
          <w:rPr>
            <w:rStyle w:val="Hyperlink"/>
          </w:rPr>
          <w:t>Table W8</w:t>
        </w:r>
      </w:hyperlink>
      <w:r>
        <w:rPr/>
        <w:t xml:space="preserve">). In these eight conditions,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xml:space="preserve"> and the Index of Moderated Mediation are credible in the hypothesized direction (H1 and H3). The exception is Flash Lite under sentence reordering, where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xml:space="preserve"> remains negative but overlaps zero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0.120</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0.375</m:t>
        </m:r>
        <m:r>
          <w:rPr>
            <w:rFonts w:ascii="Cambria Math" w:hAnsi="Cambria Math"/>
          </w:rPr>
          <m:t xml:space="preserve">,</m:t>
        </m:r>
        <m:r>
          <w:rPr>
            <w:rFonts w:ascii="Cambria Math" w:hAnsi="Cambria Math"/>
          </w:rPr>
          <m:t xml:space="preserve">0.140</m:t>
        </m:r>
        <m:r>
          <w:rPr>
            <w:rFonts w:ascii="Cambria Math" w:hAnsi="Cambria Math"/>
          </w:rPr>
          <m:t xml:space="preserve">]</m:t>
        </m:r>
      </m:oMath>
      <w:r>
        <w:rPr/>
        <w:t>). Diagnostic acquisition credibly predicts choice optimality in all nine combinations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0.180</m:t>
        </m:r>
      </m:oMath>
      <w:r>
        <w:rPr/>
        <w:t xml:space="preserve"> to </w:t>
      </w:r>
      <w:r>
        <w:rPr/>
      </w:r>
      <m:oMath xmlns:m="http://schemas.openxmlformats.org/officeDocument/2006/math">
        <m:r>
          <w:rPr>
            <w:rFonts w:ascii="Cambria Math" w:hAnsi="Cambria Math"/>
          </w:rPr>
          <m:t xml:space="preserve">0.302</m:t>
        </m:r>
      </m:oMath>
      <w:r>
        <w:rPr/>
        <w:t>; H2).</w:t>
      </w:r>
    </w:p>
    <w:p>
      <w:pPr>
        <w:pStyle w:val="BodyText"/>
        <w:rPr/>
      </w:pPr>
      <w:r>
        <w:rPr>
          <w:b/>
          <w:bCs/>
        </w:rPr>
        <w:t>Price partitioning</w:t>
      </w:r>
      <w:r>
        <w:rPr/>
        <w:t xml:space="preserve"> A potential concern with the Tool-Lab environment in Study 1 is that the effect of acquisition cost on choice optimality might be an artifact of partitioning the price into two separate fields (</w:t>
      </w:r>
      <w:r>
        <w:rPr>
          <w:i/>
          <w:iCs/>
        </w:rPr>
        <w:t>price_dollars</w:t>
      </w:r>
      <w:r>
        <w:rPr/>
        <w:t xml:space="preserve"> and </w:t>
      </w:r>
      <w:r>
        <w:rPr>
          <w:i/>
          <w:iCs/>
        </w:rPr>
        <w:t>price_cents</w:t>
      </w:r>
      <w:r>
        <w:rPr/>
        <w:t>), which is not how prices are naturally represented in retail environments. If the observed vulnerability to just-below pricing is merely a byproduct of this artificial separation, choice suboptimality would reflect a measurement artifact of the Tool-Lab paradigm rather than a genuine behavioral pathway under information acquisition constraints.</w:t>
      </w:r>
    </w:p>
    <w:p>
      <w:pPr>
        <w:pStyle w:val="BodyText"/>
        <w:rPr/>
      </w:pPr>
      <w:r>
        <w:rPr/>
        <w:t xml:space="preserve">To test this, we repeated Study 1 Tool-Lab with price acquired as a single </w:t>
      </w:r>
      <w:r>
        <w:rPr>
          <w:i/>
          <w:iCs/>
        </w:rPr>
        <w:t>price</w:t>
      </w:r>
      <w:r>
        <w:rPr/>
        <w:t xml:space="preserve"> attribute, using Flash Lite, Flash, and Pro (100 sessions per cell;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200</m:t>
        </m:r>
      </m:oMath>
      <w:r>
        <w:rPr/>
        <w:t>).  Consolidating price components shifted acquisition truncation from cents to weight. Under the specific goal prompt, acquisition cost had no effect on diagnostic acquisition or choice optimality (</w:t>
      </w:r>
      <w:hyperlink w:anchor="Xe14eb53a38e13316cc3010ff4030908a481968a">
        <w:r>
          <w:rPr>
            <w:rStyle w:val="Hyperlink"/>
          </w:rPr>
          <w:t>Table W9</w:t>
        </w:r>
      </w:hyperlink>
      <w:r>
        <w:rPr/>
        <w:t xml:space="preserve">; </w:t>
      </w:r>
      <w:hyperlink w:anchor="apptbl-s1-price-partitioning-difference">
        <w:r>
          <w:rPr>
            <w:rStyle w:val="Hyperlink"/>
          </w:rPr>
          <w:t>Table W10</w:t>
        </w:r>
      </w:hyperlink>
      <w:r>
        <w:rPr/>
        <w:t xml:space="preserve">). Under the vague goal prompt and the $10.00 cost, the LLMs inspected </w:t>
      </w:r>
      <w:r>
        <w:rPr>
          <w:i/>
          <w:iCs/>
        </w:rPr>
        <w:t>price</w:t>
      </w:r>
      <w:r>
        <w:rPr/>
        <w:t xml:space="preserve"> for both alternatives in most sessions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1.96</m:t>
        </m:r>
      </m:oMath>
      <w:r>
        <w:rPr/>
        <w:t xml:space="preserve"> to </w:t>
      </w:r>
      <w:r>
        <w:rPr/>
      </w:r>
      <m:oMath xmlns:m="http://schemas.openxmlformats.org/officeDocument/2006/math">
        <m:r>
          <w:rPr>
            <w:rFonts w:ascii="Cambria Math" w:hAnsi="Cambria Math"/>
          </w:rPr>
          <m:t xml:space="preserve">2.00</m:t>
        </m:r>
      </m:oMath>
      <w:r>
        <w:rPr/>
        <w:t xml:space="preserve">) but reduced the acquisition of </w:t>
      </w:r>
      <w:r>
        <w:rPr>
          <w:i/>
          <w:iCs/>
        </w:rPr>
        <w:t>weight</w:t>
      </w:r>
      <w:r>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0.56</m:t>
        </m:r>
      </m:oMath>
      <w:r>
        <w:rPr/>
        <w:t xml:space="preserve"> to </w:t>
      </w:r>
      <w:r>
        <w:rPr/>
      </w:r>
      <m:oMath xmlns:m="http://schemas.openxmlformats.org/officeDocument/2006/math">
        <m:r>
          <w:rPr>
            <w:rFonts w:ascii="Cambria Math" w:hAnsi="Cambria Math"/>
          </w:rPr>
          <m:t xml:space="preserve">1.71</m:t>
        </m:r>
      </m:oMath>
      <w:r>
        <w:rPr/>
        <w:t xml:space="preserve">). Choice optimality decreased accordingly. The moderated mediation estimates support H1–H3 for all three LLMs, with credibly negative Indices of Moderated Mediation ranging from </w:t>
      </w:r>
      <w:r>
        <w:rPr/>
      </w:r>
      <m:oMath xmlns:m="http://schemas.openxmlformats.org/officeDocument/2006/math">
        <m:r>
          <w:rPr>
            <w:rFonts w:ascii="Cambria Math" w:hAnsi="Cambria Math"/>
          </w:rPr>
          <m:t xml:space="preserve">−</m:t>
        </m:r>
        <m:r>
          <w:rPr>
            <w:rFonts w:ascii="Cambria Math" w:hAnsi="Cambria Math"/>
          </w:rPr>
          <m:t xml:space="preserve">0.149</m:t>
        </m:r>
      </m:oMath>
      <w:r>
        <w:rPr/>
        <w:t xml:space="preserve"> (Flash) to </w:t>
      </w:r>
      <w:r>
        <w:rPr/>
      </w:r>
      <m:oMath xmlns:m="http://schemas.openxmlformats.org/officeDocument/2006/math">
        <m:r>
          <w:rPr>
            <w:rFonts w:ascii="Cambria Math" w:hAnsi="Cambria Math"/>
          </w:rPr>
          <m:t xml:space="preserve">−</m:t>
        </m:r>
        <m:r>
          <w:rPr>
            <w:rFonts w:ascii="Cambria Math" w:hAnsi="Cambria Math"/>
          </w:rPr>
          <m:t xml:space="preserve">0.622</m:t>
        </m:r>
      </m:oMath>
      <w:r>
        <w:rPr/>
        <w:t xml:space="preserve"> (Pro; </w:t>
      </w:r>
      <w:hyperlink w:anchor="apptbl-s1b-unpartitioned-modmed">
        <w:r>
          <w:rPr>
            <w:rStyle w:val="Hyperlink"/>
          </w:rPr>
          <w:t>Table W11</w:t>
        </w:r>
      </w:hyperlink>
      <w:r>
        <w:rPr/>
        <w:t>). Therefore, the pathway does not depend on partitioning prices into separate dollar and cent fields.</w:t>
      </w:r>
    </w:p>
    <w:p>
      <w:pPr>
        <w:pStyle w:val="BodyText"/>
        <w:rPr/>
      </w:pPr>
      <w:r>
        <w:rPr>
          <w:b/>
          <w:bCs/>
        </w:rPr>
        <w:t>Sensitivity to purchase volume</w:t>
      </w:r>
      <w:r>
        <w:rPr/>
        <w:t xml:space="preserve"> In Study 1 Tool-Lab, Pro acquired diagnostic attributes incompletely under the vague goal prompt even when acquisition was free (cents: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1.75</m:t>
        </m:r>
      </m:oMath>
      <w:r>
        <w:rPr/>
        <w:t xml:space="preserve">; weight: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1.68</m:t>
        </m:r>
      </m:oMath>
      <w:r>
        <w:rPr/>
        <w:t xml:space="preserve">; </w:t>
      </w:r>
      <w:hyperlink w:anchor="apptbl-s1b-descriptives">
        <w:r>
          <w:rPr>
            <w:rStyle w:val="Hyperlink"/>
          </w:rPr>
          <w:t>Table W4</w:t>
        </w:r>
      </w:hyperlink>
      <w:r>
        <w:rPr/>
        <w:t>).  Our conceptual development identifies two routes through which a vague goal prompt can reduce diagnostic acquisition: objective substitution and truncation of low-value attributes. The two routes respond differently when the benefit of information increases. If Pro retains the normative objective under the vague goal prompt but omits attributes with low value of information, increasing the number of bags purchased (purchase volume) should not decrease diagnostic acquisition, because the surplus from identifying the optimal alternative grows with volume.</w:t>
      </w:r>
    </w:p>
    <w:p>
      <w:pPr>
        <w:pStyle w:val="BodyText"/>
        <w:rPr/>
      </w:pPr>
      <w:r>
        <w:rPr/>
        <w:t xml:space="preserve">If instead as the purchase volume increases, Pro substitutes the normative objective with a simpler one (e.g., price minimization) under the vague goal prompt, acquisition should follow the diagnostic set of the simpler objective rather than the diagnostic set of the normative objective. Weight acquisition is especially informative because weight is a diagnostic attribute under unit-price minimization (Web Appendix H), but non-diagnostic under price minimization. To test which route governs the observed pattern, we implemented a 3 (LLMs: Flash Lite, Flash, and Pro) </w:t>
      </w:r>
      <w:r>
        <w:rPr/>
      </w:r>
      <m:oMath xmlns:m="http://schemas.openxmlformats.org/officeDocument/2006/math">
        <m:r>
          <w:rPr>
            <w:rFonts w:ascii="Cambria Math" w:hAnsi="Cambria Math"/>
          </w:rPr>
          <m:t xml:space="preserve">×</m:t>
        </m:r>
      </m:oMath>
      <w:r>
        <w:rPr/>
        <w:t xml:space="preserve"> 4 (Purchase volume: 1, 5, 50, and 250 bags) between-sessions design under the vague goal prompt at zero acquisition cost. Each cell was evaluated across 100 independent sessions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200</m:t>
        </m:r>
      </m:oMath>
      <w:r>
        <w:rPr/>
        <w:t>) with everything else identical to Study 1 Tool-Lab.</w:t>
      </w:r>
    </w:p>
    <w:p>
      <w:pPr>
        <w:pStyle w:val="BodyText"/>
        <w:rPr/>
      </w:pPr>
      <w:r>
        <w:rPr/>
        <w:t xml:space="preserve">The results show different patterns for the LLMs tested. Flash remained at ceiling at all four purchase volumes (diagnostic acquisition: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6.00</m:t>
        </m:r>
      </m:oMath>
      <w:r>
        <w:rPr/>
        <w:t>; optimality = 1.00). However, scaling from 1 to 250 bags reduced diagnostic acquisition for Flash Lite and Pro (</w:t>
      </w:r>
      <w:hyperlink w:anchor="appfig-study1-bags-sensitivity">
        <w:r>
          <w:rPr>
            <w:rStyle w:val="Hyperlink"/>
          </w:rPr>
          <w:t>Figure W1</w:t>
        </w:r>
      </w:hyperlink>
      <w:r>
        <w:rPr/>
        <w:t xml:space="preserve">; </w:t>
      </w:r>
      <w:hyperlink w:anchor="apptbl-num-bags-descriptive">
        <w:r>
          <w:rPr>
            <w:rStyle w:val="Hyperlink"/>
          </w:rPr>
          <w:t>Table W12</w:t>
        </w:r>
      </w:hyperlink>
      <w:r>
        <w:rPr/>
        <w:t xml:space="preserve">). Pro reduced diagnostic acquisition from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5.55</m:t>
        </m:r>
      </m:oMath>
      <w:r>
        <w:rPr/>
        <w:t xml:space="preserve"> to </w:t>
      </w:r>
      <w:r>
        <w:rPr/>
      </w:r>
      <m:oMath xmlns:m="http://schemas.openxmlformats.org/officeDocument/2006/math">
        <m:r>
          <w:rPr>
            <w:rFonts w:ascii="Cambria Math" w:hAnsi="Cambria Math"/>
          </w:rPr>
          <m:t xml:space="preserve">4.22</m:t>
        </m:r>
      </m:oMath>
      <w:r>
        <w:rPr/>
        <w:t xml:space="preserve"> (cents: 1.81 to 1.30; weight: 1.74 to 0.92), and its optimality decreased from .80 to .35. Flash Lite retained cents at all purchase volumes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1.95</m:t>
        </m:r>
      </m:oMath>
      <w:r>
        <w:rPr/>
        <w:t xml:space="preserve"> to </w:t>
      </w:r>
      <w:r>
        <w:rPr/>
      </w:r>
      <m:oMath xmlns:m="http://schemas.openxmlformats.org/officeDocument/2006/math">
        <m:r>
          <w:rPr>
            <w:rFonts w:ascii="Cambria Math" w:hAnsi="Cambria Math"/>
          </w:rPr>
          <m:t xml:space="preserve">2.00</m:t>
        </m:r>
      </m:oMath>
      <w:r>
        <w:rPr/>
        <w:t>) but reduced weight acquisitions from 1 to 250 bags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1.82</m:t>
        </m:r>
      </m:oMath>
      <w:r>
        <w:rPr/>
        <w:t xml:space="preserve"> to </w:t>
      </w:r>
      <w:r>
        <w:rPr/>
      </w:r>
      <m:oMath xmlns:m="http://schemas.openxmlformats.org/officeDocument/2006/math">
        <m:r>
          <w:rPr>
            <w:rFonts w:ascii="Cambria Math" w:hAnsi="Cambria Math"/>
          </w:rPr>
          <m:t xml:space="preserve">1.30</m:t>
        </m:r>
      </m:oMath>
      <w:r>
        <w:rPr/>
        <w:t>). Its optimality decreased from .62 to .37 as the number of bags increased. Scaling purchase volume thus decreases diagnostic acquisitions and increases suboptimality for Flash Lite and Pro. The decrease in diagnostic acquisition is inconsistent with the truncation of low-value attributes account, which predicts no decrease in diagnostic acquisition as purchase volume grows.</w:t>
      </w:r>
    </w:p>
    <w:p>
      <w:pPr>
        <w:pStyle w:val="BodyText"/>
        <w:rPr/>
      </w:pPr>
      <w:r>
        <w:rPr/>
        <w:t>To evaluate what objective the LLMs adopted</w:t>
      </w:r>
      <w:r>
        <w:rPr>
          <w:rStyle w:val="FootnoteReference"/>
        </w:rPr>
        <w:footnoteReference w:id="6"/>
      </w:r>
      <w:r>
        <w:rPr/>
        <w:t>, a judge classified the first reasoning trace emitted before any tool execution into one of three classes: (1) unit price minimization objective (</w:t>
      </w:r>
      <w:r>
        <w:rPr>
          <w:i/>
          <w:iCs/>
        </w:rPr>
        <w:t>price_per_weight</w:t>
      </w:r>
      <w:r>
        <w:rPr/>
        <w:t>), (2) price minimization objective (</w:t>
      </w:r>
      <w:r>
        <w:rPr>
          <w:i/>
          <w:iCs/>
        </w:rPr>
        <w:t>price</w:t>
      </w:r>
      <w:r>
        <w:rPr/>
        <w:t xml:space="preserve">), or (3) </w:t>
      </w:r>
      <w:r>
        <w:rPr>
          <w:i/>
          <w:iCs/>
        </w:rPr>
        <w:t>others</w:t>
      </w:r>
      <w:r>
        <w:rPr/>
        <w:t xml:space="preserve"> (Web Appendix E). We selected the judge from eight candidates (five decision models and three LLMs) by agreement with three independent human coders. Decision models are a class of models that return a choice among predefined categories with a probability for each. The human coders were blind to the purpose of the experiment and independently classified a stratified subsample of 120 traces (30 traces per purchase volume). Each coder was paid $40 ($20 per hour) for the two hours it took an author to complete the coding session. The selected judge, the Mercury Decide decision model, had the highest mean agreement with the three human coders (mean Cohen’s </w:t>
      </w:r>
      <w:r>
        <w:rPr/>
      </w:r>
      <m:oMath xmlns:m="http://schemas.openxmlformats.org/officeDocument/2006/math">
        <m:r>
          <w:rPr>
            <w:rFonts w:ascii="Cambria Math" w:hAnsi="Cambria Math"/>
          </w:rPr>
          <m:t xml:space="preserve">κ</m:t>
        </m:r>
        <m:r>
          <w:rPr>
            <w:rFonts w:ascii="Cambria Math" w:hAnsi="Cambria Math"/>
          </w:rPr>
          <m:t xml:space="preserve">=</m:t>
        </m:r>
        <m:r>
          <w:rPr>
            <w:rFonts w:ascii="Cambria Math" w:hAnsi="Cambria Math"/>
          </w:rPr>
          <m:t xml:space="preserve">.63</m:t>
        </m:r>
      </m:oMath>
      <w:r>
        <w:rPr/>
        <w:t xml:space="preserve">; </w:t>
      </w:r>
      <w:hyperlink w:anchor="apptbl-judge-human">
        <w:r>
          <w:rPr>
            <w:rStyle w:val="Hyperlink"/>
          </w:rPr>
          <w:t>Table W26</w:t>
        </w:r>
      </w:hyperlink>
      <w:r>
        <w:rPr/>
        <w:t>).</w:t>
      </w:r>
    </w:p>
    <w:p>
      <w:pPr>
        <w:pStyle w:val="BodyText"/>
        <w:rPr/>
      </w:pPr>
      <w:r>
        <w:rPr/>
        <w:t>Based on the classification, Flash adopted a unit-price minimization objective (</w:t>
      </w:r>
      <w:r>
        <w:rPr>
          <w:i/>
          <w:iCs/>
        </w:rPr>
        <w:t>price_per_weight</w:t>
      </w:r>
      <w:r>
        <w:rPr/>
        <w:t>) in 64.6% to 73.5% of sessions and adopted a price minimization objective in at most 9.1% of sessions (</w:t>
      </w:r>
      <w:hyperlink w:anchor="apptbl-bags-objective">
        <w:r>
          <w:rPr>
            <w:rStyle w:val="Hyperlink"/>
          </w:rPr>
          <w:t>Table W13</w:t>
        </w:r>
      </w:hyperlink>
      <w:r>
        <w:rPr/>
        <w:t xml:space="preserve">; </w:t>
      </w:r>
      <w:hyperlink w:anchor="appfig-study1-bags-sensitivity">
        <w:r>
          <w:rPr>
            <w:rStyle w:val="Hyperlink"/>
          </w:rPr>
          <w:t>Figure W1</w:t>
        </w:r>
      </w:hyperlink>
      <w:r>
        <w:rPr/>
        <w:t>, Panel A). In contrast, the objective Pro adopted shifted with purchase volume. At one bag, 37.0% of Pro sessions articulated a price objective, which increased to 85.9% of sessions at 250 bags (</w:t>
      </w:r>
      <w:hyperlink w:anchor="apptbl-bags-objective">
        <w:r>
          <w:rPr>
            <w:rStyle w:val="Hyperlink"/>
          </w:rPr>
          <w:t>Table W13</w:t>
        </w:r>
      </w:hyperlink>
      <w:r>
        <w:rPr/>
        <w:t>). Under a price objective, cents and product weight become functionally non-diagnostic because Coffee A’s dollar ($4.xx) is lower than Coffee B’s ($5.00). Therefore, the AI agent terminates search without inspecting cents or weight.</w:t>
      </w:r>
    </w:p>
    <w:p>
      <w:pPr>
        <w:pStyle w:val="BodyText"/>
        <w:rPr/>
      </w:pPr>
      <w:r>
        <w:rPr/>
        <w:t>To examine whether the adopted objective, rather than the purchase quantity itself, is associated with search truncation and suboptimal choice, we evaluated the contrast between sessions adopting a price objective and those adopting a unit-price objective, holding purchase volume fixed (</w:t>
      </w:r>
      <w:hyperlink w:anchor="apptbl-bags-contrast">
        <w:r>
          <w:rPr>
            <w:rStyle w:val="Hyperlink"/>
          </w:rPr>
          <w:t>Table W14</w:t>
        </w:r>
      </w:hyperlink>
      <w:r>
        <w:rPr/>
        <w:t xml:space="preserve">; Web Appendix E). Within every volume condition, Pro sessions adopting a price objective acquired significantly fewer diagnostic attributes (differences ranging from </w:t>
      </w:r>
      <w:r>
        <w:rPr/>
      </w:r>
      <m:oMath xmlns:m="http://schemas.openxmlformats.org/officeDocument/2006/math">
        <m:r>
          <w:rPr>
            <w:rFonts w:ascii="Cambria Math" w:hAnsi="Cambria Math"/>
          </w:rPr>
          <m:t xml:space="preserve">−</m:t>
        </m:r>
        <m:r>
          <w:rPr>
            <w:rFonts w:ascii="Cambria Math" w:hAnsi="Cambria Math"/>
          </w:rPr>
          <m:t xml:space="preserve">1.10</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2.09</m:t>
        </m:r>
      </m:oMath>
      <w:r>
        <w:rPr/>
        <w:t xml:space="preserve"> cells; all 95% bootstrap CIs exclude zero). At 1, 5, and 50 bags, they were 40 to 69 percentage points less likely to select the optimal alternative (</w:t>
      </w:r>
      <w:hyperlink w:anchor="apptbl-bags-contrast">
        <w:r>
          <w:rPr>
            <w:rStyle w:val="Hyperlink"/>
          </w:rPr>
          <w:t>Table W14</w:t>
        </w:r>
      </w:hyperlink>
      <w:r>
        <w:rPr/>
        <w:t>). At 250 bags, where only two Pro sessions adopted a unit-price objective, the choice optimality contrast did not exclude zero.</w:t>
      </w:r>
    </w:p>
    <w:p>
      <w:pPr>
        <w:pStyle w:val="BodyText"/>
        <w:rPr/>
      </w:pPr>
      <w:r>
        <w:rPr/>
        <w:t xml:space="preserve">Although the human coders agreed moderately with each other (Fleiss’ </w:t>
      </w:r>
      <w:r>
        <w:rPr/>
      </w:r>
      <m:oMath xmlns:m="http://schemas.openxmlformats.org/officeDocument/2006/math">
        <m:r>
          <w:rPr>
            <w:rFonts w:ascii="Cambria Math" w:hAnsi="Cambria Math"/>
          </w:rPr>
          <m:t xml:space="preserve">κ</m:t>
        </m:r>
        <m:r>
          <w:rPr>
            <w:rFonts w:ascii="Cambria Math" w:hAnsi="Cambria Math"/>
          </w:rPr>
          <m:t xml:space="preserve">=</m:t>
        </m:r>
        <m:r>
          <w:rPr>
            <w:rFonts w:ascii="Cambria Math" w:hAnsi="Cambria Math"/>
          </w:rPr>
          <m:t xml:space="preserve">.46</m:t>
        </m:r>
      </m:oMath>
      <w:r>
        <w:rPr/>
        <w:t>), every human coder and each of the three top-ranked judges showed similar increase in price objective classification with purchase volume (</w:t>
      </w:r>
      <w:hyperlink w:anchor="apptbl-human-bags">
        <w:r>
          <w:rPr>
            <w:rStyle w:val="Hyperlink"/>
          </w:rPr>
          <w:t>Table W27</w:t>
        </w:r>
      </w:hyperlink>
      <w:r>
        <w:rPr/>
        <w:t>). The shift in the adopted objective and the contrast also replicate with the second- and third-ranked judges, except for choice optimality at 250 bags under pplx Decider v1 27B (</w:t>
      </w:r>
      <w:hyperlink w:anchor="apptbl-bags-objective-robust">
        <w:r>
          <w:rPr>
            <w:rStyle w:val="Hyperlink"/>
          </w:rPr>
          <w:t>Table W28</w:t>
        </w:r>
      </w:hyperlink>
      <w:r>
        <w:rPr/>
        <w:t xml:space="preserve">; </w:t>
      </w:r>
      <w:hyperlink w:anchor="apptbl-bags-contrast-robust">
        <w:r>
          <w:rPr>
            <w:rStyle w:val="Hyperlink"/>
          </w:rPr>
          <w:t>Table W29</w:t>
        </w:r>
      </w:hyperlink>
      <w:r>
        <w:rPr/>
        <w:t>).</w:t>
      </w:r>
    </w:p>
    <w:p>
      <w:pPr>
        <w:pStyle w:val="BodyText"/>
        <w:rPr/>
      </w:pPr>
      <w:r>
        <w:rPr/>
        <w:t>Taken together, these results are consistent with objective substitution: as purchase volume increased, Pro more frequently articulated a price-minimization objective, and sessions articulating this objective acquired fewer attributes required for unit-price minimization.</w:t>
      </w:r>
      <w:r>
        <w:rPr>
          <w:rStyle w:val="FootnoteReference"/>
        </w:rPr>
        <w:footnoteReference w:id="7"/>
      </w:r>
      <w:bookmarkEnd w:id="11"/>
      <w:bookmarkEnd w:id="13"/>
    </w:p>
    <w:p>
      <w:pPr>
        <w:pStyle w:val="Heading1"/>
        <w:rPr/>
      </w:pPr>
      <w:bookmarkStart w:id="14" w:name="study-2"/>
      <w:r>
        <w:rPr/>
        <w:t>Study 2</w:t>
      </w:r>
    </w:p>
    <w:p>
      <w:pPr>
        <w:pStyle w:val="FirstParagraph"/>
        <w:rPr/>
      </w:pPr>
      <w:r>
        <w:rPr/>
        <w:t>Study 2 tests our conceptual framework under another marketing cue: promotional discount framing.</w:t>
      </w:r>
    </w:p>
    <w:p>
      <w:pPr>
        <w:pStyle w:val="Heading2"/>
        <w:rPr/>
      </w:pPr>
      <w:bookmarkStart w:id="15" w:name="baseline-1"/>
      <w:r>
        <w:rPr/>
        <w:t>Baseline</w:t>
      </w:r>
    </w:p>
    <w:p>
      <w:pPr>
        <w:pStyle w:val="FirstParagraph"/>
        <w:rPr/>
      </w:pPr>
      <w:r>
        <w:rPr/>
        <w:t>We first examine how LLMs process promotional framing when all attributes are freely accessible. Discounted alternatives display the list price, product weight, and discount percentage (manipulated from 5% to 40% in 5% increments). Following Study 1, we constructed 1,149 Pareto-filtered, non-dominated choice sets of four ground coffee alternatives from the same four brands, and queried each of the eight LLMs once per choice set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192</m:t>
        </m:r>
      </m:oMath>
      <w:r>
        <w:rPr/>
        <w:t xml:space="preserve"> trials).</w:t>
        <w:br/>
        <w:t xml:space="preserve">Each alternative was independently assigned a discount with probability .5. Discount percentages and list prices were independently drawn. Estimation follows Study 1 Baseline (Web Appendix C). An alternative’s net price is </w:t>
      </w:r>
      <w:r>
        <w:rPr/>
      </w:r>
      <m:oMath xmlns:m="http://schemas.openxmlformats.org/officeDocument/2006/math">
        <m:r>
          <m:rPr>
            <m:lit/>
            <m:nor/>
          </m:rPr>
          <w:rPr>
            <w:rFonts w:ascii="Cambria Math" w:hAnsi="Cambria Math"/>
          </w:rPr>
          <m:t xml:space="preserve">List Price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Discount</m:t>
        </m:r>
        <m:r>
          <w:rPr>
            <w:rFonts w:ascii="Cambria Math" w:hAnsi="Cambria Math"/>
          </w:rPr>
          <m:t xml:space="preserve">)</m:t>
        </m:r>
      </m:oMath>
      <w:r>
        <w:rPr/>
        <w:t xml:space="preserve">. Across all eight LLMs, base list price enters negatively, and discount amount and product weight enter positively (all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.001</m:t>
        </m:r>
      </m:oMath>
      <w:r>
        <w:rPr/>
        <w:t xml:space="preserve">; </w:t>
      </w:r>
      <w:hyperlink w:anchor="apptbl-s2aresults">
        <w:r>
          <w:rPr>
            <w:rStyle w:val="Hyperlink"/>
          </w:rPr>
          <w:t>Table W15</w:t>
        </w:r>
      </w:hyperlink>
      <w:r>
        <w:rPr/>
        <w:t>).</w:t>
      </w:r>
    </w:p>
    <w:p>
      <w:pPr>
        <w:pStyle w:val="BodyText"/>
        <w:rPr/>
      </w:pPr>
      <w:r>
        <w:rPr/>
        <w:t>To evaluate whether the LLMs treat a dollar saved through discounts at the same rate as a dollar spent through list prices, we examine the ratio of the marginal utility of discount amount (in dollars) to the absolute marginal utility of list price (</w:t>
      </w:r>
      <w:r>
        <w:rPr/>
      </w:r>
      <m:oMath xmlns:m="http://schemas.openxmlformats.org/officeDocument/2006/math">
        <m:f>
          <m:fPr>
            <m:type m:val="lin"/>
          </m:fPr>
          <m:num>
            <m:sSub>
              <m:e>
                <m:r>
                  <w:rPr>
                    <w:rFonts w:ascii="Cambria Math" w:hAnsi="Cambria Math"/>
                  </w:rPr>
                  <m:t xml:space="preserve">β</m:t>
                </m:r>
              </m:e>
              <m:sub>
                <m:r>
                  <m:rPr>
                    <m:lit/>
                    <m:nor/>
                  </m:rPr>
                  <w:rPr>
                    <w:rFonts w:ascii="Cambria Math" w:hAnsi="Cambria Math"/>
                  </w:rPr>
                  <m:t xml:space="preserve">Discount Amount</m:t>
                </m:r>
              </m:sub>
            </m:sSub>
          </m:num>
          <m:den>
            <m:r>
              <m:rPr>
                <m:lit/>
                <m:nor/>
              </m:rPr>
              <w:rPr>
                <w:rFonts w:ascii="Cambria Math" w:hAnsi="Cambria Math"/>
              </w:rPr>
              <m:t xml:space="preserve">|</m:t>
            </m:r>
          </m:den>
        </m:f>
        <m:sSub>
          <m:e>
            <m:r>
              <w:rPr>
                <w:rFonts w:ascii="Cambria Math" w:hAnsi="Cambria Math"/>
              </w:rPr>
              <m:t xml:space="preserve">β</m:t>
            </m:r>
          </m:e>
          <m:sub>
            <m:r>
              <m:rPr>
                <m:lit/>
                <m:nor/>
              </m:rPr>
              <w:rPr>
                <w:rFonts w:ascii="Cambria Math" w:hAnsi="Cambria Math"/>
              </w:rPr>
              <m:t xml:space="preserve">List Price</m:t>
            </m:r>
          </m:sub>
        </m:sSub>
        <m:r>
          <m:rPr>
            <m:lit/>
            <m:nor/>
          </m:rPr>
          <w:rPr>
            <w:rFonts w:ascii="Cambria Math" w:hAnsi="Cambria Math"/>
          </w:rPr>
          <m:t xml:space="preserve">|</m:t>
        </m:r>
      </m:oMath>
      <w:r>
        <w:rPr/>
        <w:t xml:space="preserve">; </w:t>
      </w:r>
      <w:hyperlink w:anchor="apptbl-s2a-discount-price-ratio">
        <w:r>
          <w:rPr>
            <w:rStyle w:val="Hyperlink"/>
          </w:rPr>
          <w:t>Table W16</w:t>
        </w:r>
      </w:hyperlink>
      <w:r>
        <w:rPr/>
        <w:t>), with Fieller confidence intervals as in Study 1. For six of the eight LLMs (Flash, Pro, Sonnet, Luna, Terra, and Sol), the ratio ranges between 0.99 and 1.03, 95% confidence intervals include 1.00, and the ratio is similar to the normative benchmark (</w:t>
      </w:r>
      <w:hyperlink w:anchor="apptbl-s2a-discount-price-ratio">
        <w:r>
          <w:rPr>
            <w:rStyle w:val="Hyperlink"/>
          </w:rPr>
          <w:t>Table W16</w:t>
        </w:r>
      </w:hyperlink>
      <w:r>
        <w:rPr/>
        <w:t xml:space="preserve">). For Opus and Flash Lite, the 95% confidence interval excludes 1.00. Opus over-weighs discounts slightly (ratio = 1.15, 95% CI </w:t>
      </w:r>
      <w:r>
        <w:rPr/>
      </w:r>
      <m:oMath xmlns:m="http://schemas.openxmlformats.org/officeDocument/2006/math">
        <m:r>
          <w:rPr>
            <w:rFonts w:ascii="Cambria Math" w:hAnsi="Cambria Math"/>
          </w:rPr>
          <m:t xml:space="preserve">[</m:t>
        </m:r>
        <m:r>
          <w:rPr>
            <w:rFonts w:ascii="Cambria Math" w:hAnsi="Cambria Math"/>
          </w:rPr>
          <m:t xml:space="preserve">1.11</m:t>
        </m:r>
        <m:r>
          <w:rPr>
            <w:rFonts w:ascii="Cambria Math" w:hAnsi="Cambria Math"/>
          </w:rPr>
          <m:t xml:space="preserve">,</m:t>
        </m:r>
        <m:r>
          <w:rPr>
            <w:rFonts w:ascii="Cambria Math" w:hAnsi="Cambria Math"/>
          </w:rPr>
          <m:t xml:space="preserve">1.19</m:t>
        </m:r>
        <m:r>
          <w:rPr>
            <w:rFonts w:ascii="Cambria Math" w:hAnsi="Cambria Math"/>
          </w:rPr>
          <m:t xml:space="preserve">]</m:t>
        </m:r>
      </m:oMath>
      <w:r>
        <w:rPr/>
        <w:t xml:space="preserve">), whereas Flash Lite under-weights discount savings (ratio = 0.72, 95% CI </w:t>
      </w:r>
      <w:r>
        <w:rPr/>
      </w:r>
      <m:oMath xmlns:m="http://schemas.openxmlformats.org/officeDocument/2006/math">
        <m:r>
          <w:rPr>
            <w:rFonts w:ascii="Cambria Math" w:hAnsi="Cambria Math"/>
          </w:rPr>
          <m:t xml:space="preserve">[</m:t>
        </m:r>
        <m:r>
          <w:rPr>
            <w:rFonts w:ascii="Cambria Math" w:hAnsi="Cambria Math"/>
          </w:rPr>
          <m:t xml:space="preserve">0.67</m:t>
        </m:r>
        <m:r>
          <w:rPr>
            <w:rFonts w:ascii="Cambria Math" w:hAnsi="Cambria Math"/>
          </w:rPr>
          <m:t xml:space="preserve">,</m:t>
        </m:r>
        <m:r>
          <w:rPr>
            <w:rFonts w:ascii="Cambria Math" w:hAnsi="Cambria Math"/>
          </w:rPr>
          <m:t xml:space="preserve">0.77</m:t>
        </m:r>
        <m:r>
          <w:rPr>
            <w:rFonts w:ascii="Cambria Math" w:hAnsi="Cambria Math"/>
          </w:rPr>
          <m:t xml:space="preserve">]</m:t>
        </m:r>
      </m:oMath>
      <w:r>
        <w:rPr/>
        <w:t>). These results show that under full attribute information, most LLMs tested weight a dollar of discount savings at the same rate as a dollar of list price, with Opus over-weighting and Flash Lite under-weighting discount savings.</w:t>
      </w:r>
      <w:bookmarkEnd w:id="15"/>
    </w:p>
    <w:p>
      <w:pPr>
        <w:pStyle w:val="Heading2"/>
        <w:rPr/>
      </w:pPr>
      <w:bookmarkStart w:id="16" w:name="tool-lab-1"/>
      <w:r>
        <w:rPr/>
        <w:t>Tool-Lab</w:t>
      </w:r>
    </w:p>
    <w:p>
      <w:pPr>
        <w:pStyle w:val="FirstParagraph"/>
        <w:rPr/>
      </w:pPr>
      <w:r>
        <w:rPr/>
        <w:t xml:space="preserve">Study 2 Tool-Lab tests H1–H3 for discounted products by hiding the attributes that Study 2 Baseline made freely visible. The Tool-Lab setup follows Study 1 Tool-Lab, with two structural modifications. First, we expand the choice set from two to three alternatives. The three alternatives represent three decision fallbacks: (1) lowest price (Coffee C), (2) discounted (Coffee D), or (3) lowest price per weight (Coffee E, the normatively optimal choice; </w:t>
      </w:r>
      <w:hyperlink w:anchor="apptbl-s2b-stimuli">
        <w:r>
          <w:rPr>
            <w:rStyle w:val="Hyperlink"/>
          </w:rPr>
          <w:t>Table W17</w:t>
        </w:r>
      </w:hyperlink>
      <w:r>
        <w:rPr/>
        <w:t>).</w:t>
      </w:r>
    </w:p>
    <w:p>
      <w:pPr>
        <w:pStyle w:val="BodyText"/>
        <w:rPr/>
      </w:pPr>
      <w:r>
        <w:rPr/>
        <w:t xml:space="preserve">Second, the discount cue typically has a higher Expected Value of Information (EVI) than cents. For example, a 20% discount on a $11.87 list price (average instant coffee list price from the Walmart data; Web Appendix H) yields $2.37 in nominal savings per bag ($11.87 total across the 5-bag purchase), compared to cents, which can alter the net price by a maximum of $0.99 ($4.95 total across the 5-bag purchase). To establish a commensurate economic trade-off against this higher-stakes attribute across a larger 21-cell board (9 diagnostic, 12 non-diagnostic cells), we scale the acquisition cost condition to $50.00 per inspection. The design, procedure, and measures follow Study 1 Tool-Lab, with an acquisition cost of $0.00 vs. $50.00 (8 LLMs </w:t>
      </w:r>
      <w:r>
        <w:rPr/>
      </w:r>
      <m:oMath xmlns:m="http://schemas.openxmlformats.org/officeDocument/2006/math">
        <m:r>
          <w:rPr>
            <w:rFonts w:ascii="Cambria Math" w:hAnsi="Cambria Math"/>
          </w:rPr>
          <m:t xml:space="preserve">×</m:t>
        </m:r>
      </m:oMath>
      <w:r>
        <w:rPr/>
        <w:t xml:space="preserve"> 2 acquisition costs </w:t>
      </w:r>
      <w:r>
        <w:rPr/>
      </w:r>
      <m:oMath xmlns:m="http://schemas.openxmlformats.org/officeDocument/2006/math">
        <m:r>
          <w:rPr>
            <w:rFonts w:ascii="Cambria Math" w:hAnsi="Cambria Math"/>
          </w:rPr>
          <m:t xml:space="preserve">×</m:t>
        </m:r>
      </m:oMath>
      <w:r>
        <w:rPr/>
        <w:t xml:space="preserve"> 2 goal specificity conditions </w:t>
      </w:r>
      <w:r>
        <w:rPr/>
      </w:r>
      <m:oMath xmlns:m="http://schemas.openxmlformats.org/officeDocument/2006/math">
        <m:r>
          <w:rPr>
            <w:rFonts w:ascii="Cambria Math" w:hAnsi="Cambria Math"/>
          </w:rPr>
          <m:t xml:space="preserve">×</m:t>
        </m:r>
      </m:oMath>
      <w:r>
        <w:rPr/>
        <w:t xml:space="preserve"> 100 sessions;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w:t>
      </w:r>
    </w:p>
    <w:p>
      <w:pPr>
        <w:pStyle w:val="BodyText"/>
        <w:rPr/>
      </w:pPr>
      <w:r>
        <w:rPr>
          <w:b/>
          <w:bCs/>
        </w:rPr>
        <w:t>Results</w:t>
      </w:r>
      <w:r>
        <w:rPr/>
        <w:t xml:space="preserve"> Aggregated across all LLMs tested (</w:t>
      </w:r>
      <w:hyperlink w:anchor="tbl-s2b-aggregate">
        <w:r>
          <w:rPr>
            <w:rStyle w:val="Hyperlink"/>
          </w:rPr>
          <w:t>Table 3</w:t>
        </w:r>
      </w:hyperlink>
      <w:r>
        <w:rPr/>
        <w:t xml:space="preserve">; per LLM descriptives in </w:t>
      </w:r>
      <w:hyperlink w:anchor="apptbl-s2b-descriptives">
        <w:r>
          <w:rPr>
            <w:rStyle w:val="Hyperlink"/>
          </w:rPr>
          <w:t>Table W18</w:t>
        </w:r>
      </w:hyperlink>
      <w:r>
        <w:rPr/>
        <w:t>), diagnostic acquisition and choice optimality were high at zero cost under both goal prompts. Under the specific goal prompt, the $50.00 acquisition cost produced a small reduction in diagnostic acquisition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8.26</m:t>
        </m:r>
      </m:oMath>
      <w:r>
        <w:rPr/>
        <w:t xml:space="preserve"> vs. </w:t>
      </w:r>
      <w:r>
        <w:rPr/>
      </w:r>
      <m:oMath xmlns:m="http://schemas.openxmlformats.org/officeDocument/2006/math">
        <m:r>
          <w:rPr>
            <w:rFonts w:ascii="Cambria Math" w:hAnsi="Cambria Math"/>
          </w:rPr>
          <m:t xml:space="preserve">8.98</m:t>
        </m:r>
      </m:oMath>
      <w:r>
        <w:rPr/>
        <w:t>) and choice optimality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0.88</m:t>
        </m:r>
      </m:oMath>
      <w:r>
        <w:rPr/>
        <w:t xml:space="preserve"> vs. </w:t>
      </w:r>
      <w:r>
        <w:rPr/>
      </w:r>
      <m:oMath xmlns:m="http://schemas.openxmlformats.org/officeDocument/2006/math">
        <m:r>
          <w:rPr>
            <w:rFonts w:ascii="Cambria Math" w:hAnsi="Cambria Math"/>
          </w:rPr>
          <m:t xml:space="preserve">0.90</m:t>
        </m:r>
      </m:oMath>
      <w:r>
        <w:rPr/>
        <w:t>), driven primarily by the omission of discount percentage. Under the vague goal prompt, the same cost produced a substantial reduction in diagnostic acquisition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4.82</m:t>
        </m:r>
      </m:oMath>
      <w:r>
        <w:rPr/>
        <w:t xml:space="preserve"> vs. </w:t>
      </w:r>
      <w:r>
        <w:rPr/>
      </w:r>
      <m:oMath xmlns:m="http://schemas.openxmlformats.org/officeDocument/2006/math">
        <m:r>
          <w:rPr>
            <w:rFonts w:ascii="Cambria Math" w:hAnsi="Cambria Math"/>
          </w:rPr>
          <m:t xml:space="preserve">9.00</m:t>
        </m:r>
      </m:oMath>
      <w:r>
        <w:rPr/>
        <w:t>) and choice optimality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0.48</m:t>
        </m:r>
      </m:oMath>
      <w:r>
        <w:rPr/>
        <w:t xml:space="preserve"> vs. </w:t>
      </w:r>
      <w:r>
        <w:rPr/>
      </w:r>
      <m:oMath xmlns:m="http://schemas.openxmlformats.org/officeDocument/2006/math">
        <m:r>
          <w:rPr>
            <w:rFonts w:ascii="Cambria Math" w:hAnsi="Cambria Math"/>
          </w:rPr>
          <m:t xml:space="preserve">0.86</m:t>
        </m:r>
      </m:oMath>
      <w:r>
        <w:rPr/>
        <w:t>). The LLMs reduced all diagnostic acquisitions, but reduced weight and discount percentage more strongly than list price.</w:t>
      </w:r>
    </w:p>
    <w:p>
      <w:pPr>
        <w:pStyle w:val="BodyText"/>
        <w:rPr/>
      </w:pPr>
      <w:r>
        <w:rPr>
          <w:i/>
          <w:iCs/>
        </w:rPr>
        <w:t xml:space="preserve">Insert </w:t>
      </w:r>
      <w:hyperlink w:anchor="tbl-s2b-aggregate">
        <w:r>
          <w:rPr>
            <w:rStyle w:val="Hyperlink"/>
            <w:i/>
            <w:iCs/>
          </w:rPr>
          <w:t>Table 3</w:t>
        </w:r>
      </w:hyperlink>
      <w:r>
        <w:rPr>
          <w:i/>
          <w:iCs/>
        </w:rPr>
        <w:t xml:space="preserve"> about here</w:t>
      </w:r>
    </w:p>
    <w:p>
      <w:pPr>
        <w:pStyle w:val="BodyText"/>
        <w:rPr/>
      </w:pPr>
      <w:r>
        <w:rPr>
          <w:b/>
          <w:bCs/>
        </w:rPr>
        <w:t>Moderated mediation analysis</w:t>
      </w:r>
      <w:r>
        <w:rPr/>
        <w:t xml:space="preserve">  The empirical estimates support H1 (</w:t>
      </w:r>
      <w:hyperlink w:anchor="tbl-modmed">
        <w:r>
          <w:rPr>
            <w:rStyle w:val="Hyperlink"/>
          </w:rPr>
          <w:t>Table 2</w:t>
        </w:r>
      </w:hyperlink>
      <w:r>
        <w:rPr/>
        <w:t>, Study 2). Prompt specificity moderates the effect of acquisition cost on diagnostic acquisition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2.902</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5.027</m:t>
        </m:r>
        <m:r>
          <w:rPr>
            <w:rFonts w:ascii="Cambria Math" w:hAnsi="Cambria Math"/>
          </w:rPr>
          <m:t xml:space="preserve">,</m:t>
        </m:r>
        <m:r>
          <w:rPr>
            <w:rFonts w:ascii="Cambria Math" w:hAnsi="Cambria Math"/>
          </w:rPr>
          <m:t xml:space="preserve">−</m:t>
        </m:r>
        <m:r>
          <w:rPr>
            <w:rFonts w:ascii="Cambria Math" w:hAnsi="Cambria Math"/>
          </w:rPr>
          <m:t xml:space="preserve">0.539</m:t>
        </m:r>
        <m:r>
          <w:rPr>
            <w:rFonts w:ascii="Cambria Math" w:hAnsi="Cambria Math"/>
          </w:rPr>
          <m:t xml:space="preserve">]</m:t>
        </m:r>
      </m:oMath>
      <w:r>
        <w:rPr/>
        <w:t>). Acquisition cost credibly reduces diagnostic acquisition under the 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r>
          <w:rPr>
            <w:rFonts w:ascii="Cambria Math" w:hAnsi="Cambria Math"/>
          </w:rPr>
          <m:t xml:space="preserve">=</m:t>
        </m:r>
        <m:r>
          <w:rPr>
            <w:rFonts w:ascii="Cambria Math" w:hAnsi="Cambria Math"/>
          </w:rPr>
          <m:t xml:space="preserve">−</m:t>
        </m:r>
        <m:r>
          <w:rPr>
            <w:rFonts w:ascii="Cambria Math" w:hAnsi="Cambria Math"/>
          </w:rPr>
          <m:t xml:space="preserve">3.576</m:t>
        </m:r>
      </m:oMath>
      <w:r>
        <w:rPr/>
        <w:t>), but its effect under the specific goal prompt is not credibly different from zero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0.674</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1.582</m:t>
        </m:r>
        <m:r>
          <w:rPr>
            <w:rFonts w:ascii="Cambria Math" w:hAnsi="Cambria Math"/>
          </w:rPr>
          <m:t xml:space="preserve">,</m:t>
        </m:r>
        <m:r>
          <w:rPr>
            <w:rFonts w:ascii="Cambria Math" w:hAnsi="Cambria Math"/>
          </w:rPr>
          <m:t xml:space="preserve">0.260</m:t>
        </m:r>
        <m:r>
          <w:rPr>
            <w:rFonts w:ascii="Cambria Math" w:hAnsi="Cambria Math"/>
          </w:rPr>
          <m:t xml:space="preserve">]</m:t>
        </m:r>
      </m:oMath>
      <w:r>
        <w:rPr/>
        <w:t>). Diagnostic acquisition is positively associated with choice optimality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0.078</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0.016</m:t>
        </m:r>
        <m:r>
          <w:rPr>
            <w:rFonts w:ascii="Cambria Math" w:hAnsi="Cambria Math"/>
          </w:rPr>
          <m:t xml:space="preserve">,</m:t>
        </m:r>
        <m:r>
          <w:rPr>
            <w:rFonts w:ascii="Cambria Math" w:hAnsi="Cambria Math"/>
          </w:rPr>
          <m:t xml:space="preserve">0.141</m:t>
        </m:r>
        <m:r>
          <w:rPr>
            <w:rFonts w:ascii="Cambria Math" w:hAnsi="Cambria Math"/>
          </w:rPr>
          <m:t xml:space="preserve">]</m:t>
        </m:r>
      </m:oMath>
      <w:r>
        <w:rPr/>
        <w:t>), supporting H2. The Index of Moderated Mediation is negative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0.228</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0.521</m:t>
        </m:r>
        <m:r>
          <w:rPr>
            <w:rFonts w:ascii="Cambria Math" w:hAnsi="Cambria Math"/>
          </w:rPr>
          <m:t xml:space="preserve">,</m:t>
        </m:r>
        <m:r>
          <w:rPr>
            <w:rFonts w:ascii="Cambria Math" w:hAnsi="Cambria Math"/>
          </w:rPr>
          <m:t xml:space="preserve">−</m:t>
        </m:r>
        <m:r>
          <w:rPr>
            <w:rFonts w:ascii="Cambria Math" w:hAnsi="Cambria Math"/>
          </w:rPr>
          <m:t xml:space="preserve">0.009</m:t>
        </m:r>
        <m:r>
          <w:rPr>
            <w:rFonts w:ascii="Cambria Math" w:hAnsi="Cambria Math"/>
          </w:rPr>
          <m:t xml:space="preserve">]</m:t>
        </m:r>
      </m:oMath>
      <w:r>
        <w:rPr/>
        <w:t>), supporting H3. The direct effect of acquisition cost on choice optimality is not credibly different from zero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r>
          <w:rPr>
            <w:rFonts w:ascii="Cambria Math" w:hAnsi="Cambria Math"/>
          </w:rPr>
          <m:t xml:space="preserve">−</m:t>
        </m:r>
        <m:r>
          <w:rPr>
            <w:rFonts w:ascii="Cambria Math" w:hAnsi="Cambria Math"/>
          </w:rPr>
          <m:t xml:space="preserve">0.006</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0.045</m:t>
        </m:r>
        <m:r>
          <w:rPr>
            <w:rFonts w:ascii="Cambria Math" w:hAnsi="Cambria Math"/>
          </w:rPr>
          <m:t xml:space="preserve">,</m:t>
        </m:r>
        <m:r>
          <w:rPr>
            <w:rFonts w:ascii="Cambria Math" w:hAnsi="Cambria Math"/>
          </w:rPr>
          <m:t xml:space="preserve">0.035</m:t>
        </m:r>
        <m:r>
          <w:rPr>
            <w:rFonts w:ascii="Cambria Math" w:hAnsi="Cambria Math"/>
          </w:rPr>
          <m:t xml:space="preserve">]</m:t>
        </m:r>
      </m:oMath>
      <w:r>
        <w:rPr/>
        <w:t xml:space="preserve">), indicating that choice degradation operates primarily through the truncation of diagnostic acquisition. Disaggregated per-LLM structural paths and indirect effects are reported in </w:t>
      </w:r>
      <w:hyperlink w:anchor="apptbl-s2b-permodel-paths">
        <w:r>
          <w:rPr>
            <w:rStyle w:val="Hyperlink"/>
          </w:rPr>
          <w:t>Table W19</w:t>
        </w:r>
      </w:hyperlink>
      <w:r>
        <w:rPr/>
        <w:t xml:space="preserve"> and </w:t>
      </w:r>
      <w:hyperlink w:anchor="apptbl-s2b-permodel-indirect">
        <w:r>
          <w:rPr>
            <w:rStyle w:val="Hyperlink"/>
          </w:rPr>
          <w:t>Table W20</w:t>
        </w:r>
      </w:hyperlink>
      <w:r>
        <w:rPr/>
        <w:t>.</w:t>
      </w:r>
      <w:bookmarkEnd w:id="14"/>
      <w:bookmarkEnd w:id="16"/>
    </w:p>
    <w:p>
      <w:pPr>
        <w:pStyle w:val="Heading1"/>
        <w:rPr/>
      </w:pPr>
      <w:bookmarkStart w:id="17" w:name="validation-studies"/>
      <w:r>
        <w:rPr/>
        <w:t>Validation studies</w:t>
      </w:r>
    </w:p>
    <w:p>
      <w:pPr>
        <w:pStyle w:val="Heading2"/>
        <w:rPr/>
      </w:pPr>
      <w:bookmarkStart w:id="18" w:name="exogenous-information-states"/>
      <w:r>
        <w:rPr/>
        <w:t>Exogenous information states</w:t>
      </w:r>
    </w:p>
    <w:p>
      <w:pPr>
        <w:pStyle w:val="FirstParagraph"/>
        <w:rPr/>
      </w:pPr>
      <w:r>
        <w:rPr/>
        <w:t>In Tool-Lab, the LLMs’ pre-choice information state is endogenous. As a result, choice suboptimality under cost could stem from an acquisition failure (truncating search before retrieving diagnostic attributes) or a utilization failure (an inability to synthesize attributes or an internal bias towards the suboptimal alternative). Furthermore, choosing a lower nominal price when attributes are missing could reflect a normatively optimal inference under partial information. Therefore, we exogenously assign fixed information states (</w:t>
      </w:r>
      <w:r>
        <w:rPr/>
      </w:r>
      <m:oMath xmlns:m="http://schemas.openxmlformats.org/officeDocument/2006/math">
        <m:r>
          <w:rPr>
            <w:rFonts w:ascii="Cambria Math" w:hAnsi="Cambria Math"/>
          </w:rPr>
          <m:t xml:space="preserve">k</m:t>
        </m:r>
      </m:oMath>
      <w:r>
        <w:rPr/>
        <w:t xml:space="preserve"> attributes) directly in the prompt.</w:t>
      </w:r>
    </w:p>
    <w:p>
      <w:pPr>
        <w:pStyle w:val="BodyText"/>
        <w:rPr/>
      </w:pPr>
      <w:r>
        <w:rPr/>
        <w:t>We evaluated four information states for the Study 1 environment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600</m:t>
        </m:r>
      </m:oMath>
      <w:r>
        <w:rPr/>
        <w:t xml:space="preserve"> sessions; 50 sessions per cell across eight LLMs): dollars alone (2 diagnostic cells), dollars plus roast date (2 diagnostic, 2 non-diagnostic cells), dollars plus weight (4 diagnostic cells), and the complete diagnostic set of dollars, weight, and cents (6 diagnostic cells). In the Study 2 environment, we tested five information states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000</m:t>
        </m:r>
      </m:oMath>
      <w:r>
        <w:rPr/>
        <w:t xml:space="preserve"> sessions; 50 sessions per cell across eight LLMs): list price alone (3 diagnostic cells), list price plus roast date (3 diagnostic, 3 non-diagnostic cells), list price plus discount percentage (6 diagnostic cells), list price plus weight (6 diagnostic cells), and the complete diagnostic set of list price, discount percentage, and weight (9 diagnostic cells; </w:t>
      </w:r>
      <w:hyperlink w:anchor="apptbl-fixed-reveal-design">
        <w:r>
          <w:rPr>
            <w:rStyle w:val="Hyperlink"/>
          </w:rPr>
          <w:t>Table W30</w:t>
        </w:r>
      </w:hyperlink>
      <w:r>
        <w:rPr/>
        <w:t>). Across both environments, this design includes matched-count conditions that hold total revealed cells constant while varying whether the revealed attributes are diagnostic or non-diagnostic.</w:t>
      </w:r>
    </w:p>
    <w:p>
      <w:pPr>
        <w:pStyle w:val="BodyText"/>
        <w:rPr/>
      </w:pPr>
      <w:r>
        <w:rPr/>
        <w:t>The results show that suboptimal choices under partial information are primarily driven by limited diagnostic information (</w:t>
      </w:r>
      <w:hyperlink w:anchor="apptbl-fixed-reveal-study1">
        <w:r>
          <w:rPr>
            <w:rStyle w:val="Hyperlink"/>
          </w:rPr>
          <w:t>Table W31</w:t>
        </w:r>
      </w:hyperlink>
      <w:r>
        <w:rPr/>
        <w:t xml:space="preserve"> and </w:t>
      </w:r>
      <w:hyperlink w:anchor="apptbl-fixed-reveal-study2">
        <w:r>
          <w:rPr>
            <w:rStyle w:val="Hyperlink"/>
          </w:rPr>
          <w:t>Table W32</w:t>
        </w:r>
      </w:hyperlink>
      <w:r>
        <w:rPr/>
        <w:t xml:space="preserve">). When provided with the complete diagnostic attribute set under zero cost, seven of the eight LLMs selected the normatively optimal alternative in most sessions (pooled optimality of 99.7% in Study 1 and 98.6% in Study 2; </w:t>
      </w:r>
      <w:hyperlink w:anchor="apptbl-fixed-reveal-dist-study1">
        <w:r>
          <w:rPr>
            <w:rStyle w:val="Hyperlink"/>
          </w:rPr>
          <w:t>Table W33</w:t>
        </w:r>
      </w:hyperlink>
      <w:r>
        <w:rPr/>
        <w:t xml:space="preserve"> and </w:t>
      </w:r>
      <w:hyperlink w:anchor="apptbl-fixed-reveal-dist-study2">
        <w:r>
          <w:rPr>
            <w:rStyle w:val="Hyperlink"/>
          </w:rPr>
          <w:t>Table W34</w:t>
        </w:r>
      </w:hyperlink>
      <w:r>
        <w:rPr/>
        <w:t>).</w:t>
      </w:r>
    </w:p>
    <w:p>
      <w:pPr>
        <w:pStyle w:val="BodyText"/>
        <w:rPr/>
      </w:pPr>
      <w:r>
        <w:rPr/>
        <w:t xml:space="preserve">Furthermore, when diagnostic attributes were withheld, the choices of these seven LLMs aligned with the normative Expectimax policy conditional on the available information in 99.3% of sessions across both studies (2,434 of 2,450 of truncated trials; </w:t>
      </w:r>
      <w:hyperlink w:anchor="apptbl-fixed-reveal-dist-study1">
        <w:r>
          <w:rPr>
            <w:rStyle w:val="Hyperlink"/>
          </w:rPr>
          <w:t>Table W33</w:t>
        </w:r>
      </w:hyperlink>
      <w:r>
        <w:rPr/>
        <w:t xml:space="preserve">, </w:t>
      </w:r>
      <w:hyperlink w:anchor="apptbl-fixed-reveal-dist-study2">
        <w:r>
          <w:rPr>
            <w:rStyle w:val="Hyperlink"/>
          </w:rPr>
          <w:t>Table W34</w:t>
        </w:r>
      </w:hyperlink>
      <w:r>
        <w:rPr/>
        <w:t>). In Study 1, when cents were withheld, market priors assign symmetric expected cents to both alternatives, making Coffee A the normative cost-minimizing choice. Similarly, in Study 2, when product weight was withheld, Coffee C was the normative choice because its lower list price minimizes expected unit price. This shows that selecting a lower whole-dollar price or lower list price under partial information represents a state-consistent normative inference given limited information. Flash Lite was the exception. When given complete diagnostic information under zero cost, it selected the optimal alternative in 4.0% of sessions in Study 1 and 0.0% in Study 2 (Web Appendix F).</w:t>
      </w:r>
      <w:bookmarkEnd w:id="18"/>
    </w:p>
    <w:p>
      <w:pPr>
        <w:pStyle w:val="Heading2"/>
        <w:rPr/>
      </w:pPr>
      <w:bookmarkStart w:id="19" w:name="reported-valuations"/>
      <w:r>
        <w:rPr/>
        <w:t>Reported valuations</w:t>
      </w:r>
    </w:p>
    <w:p>
      <w:pPr>
        <w:pStyle w:val="FirstParagraph"/>
        <w:rPr/>
      </w:pPr>
      <w:r>
        <w:rPr/>
        <w:t xml:space="preserve">Although exogenously fixing information states demonstrates that most LLMs can utilize complete information to make the optimal choice, it does not prove whether they have the arithmetic capacity to calculate the unit price. Moreover, when an LLM makes a suboptimal choice under partial information, that outcome could stem from an arithmetic failure (e.g., an inability to compute </w:t>
      </w:r>
      <w:r>
        <w:rPr/>
      </w:r>
      <m:oMath xmlns:m="http://schemas.openxmlformats.org/officeDocument/2006/math">
        <m:f>
          <m:num>
            <m:r>
              <m:rPr>
                <m:lit/>
                <m:nor/>
              </m:rPr>
              <w:rPr>
                <w:rFonts w:ascii="Cambria Math" w:hAnsi="Cambria Math"/>
              </w:rPr>
              <m:t xml:space="preserve">Price</m:t>
            </m:r>
          </m:num>
          <m:den>
            <m:r>
              <m:rPr>
                <m:lit/>
                <m:nor/>
              </m:rPr>
              <w:rPr>
                <w:rFonts w:ascii="Cambria Math" w:hAnsi="Cambria Math"/>
              </w:rPr>
              <m:t xml:space="preserve">Weight</m:t>
            </m:r>
          </m:den>
        </m:f>
      </m:oMath>
      <w:r>
        <w:rPr/>
        <w:t xml:space="preserve"> or subtract discounts) or an evaluation failure (computing unit prices accurately but weighting a marketing cue more heavily).</w:t>
      </w:r>
    </w:p>
    <w:p>
      <w:pPr>
        <w:pStyle w:val="BodyText"/>
        <w:rPr/>
      </w:pPr>
      <w:r>
        <w:rPr/>
        <w:t xml:space="preserve">To evaluate the arithmetic capability directly, we modified the parameter schema of the </w:t>
      </w:r>
      <w:r>
        <w:rPr>
          <w:i/>
          <w:iCs/>
        </w:rPr>
        <w:t>submit_choice</w:t>
      </w:r>
      <w:r>
        <w:rPr/>
        <w:t xml:space="preserve"> tool across both study environments under the vague goal prompt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600</m:t>
        </m:r>
      </m:oMath>
      <w:r>
        <w:rPr/>
        <w:t xml:space="preserve"> sessions total; 50 sessions per cell across eight LLMs; Web Appendix G). The LLMs were required to report, concurrently with their choice, the calculated price metrics for every alternative in the choice set: dollars, cents, price, weight, and </w:t>
      </w:r>
      <w:r>
        <w:rPr/>
      </w:r>
      <m:oMath xmlns:m="http://schemas.openxmlformats.org/officeDocument/2006/math">
        <m:f>
          <m:num>
            <m:r>
              <m:rPr>
                <m:lit/>
                <m:nor/>
              </m:rPr>
              <w:rPr>
                <w:rFonts w:ascii="Cambria Math" w:hAnsi="Cambria Math"/>
              </w:rPr>
              <m:t xml:space="preserve">weight</m:t>
            </m:r>
          </m:num>
          <m:den>
            <m:r>
              <m:rPr>
                <m:lit/>
                <m:nor/>
              </m:rPr>
              <w:rPr>
                <w:rFonts w:ascii="Cambria Math" w:hAnsi="Cambria Math"/>
              </w:rPr>
              <m:t xml:space="preserve">price</m:t>
            </m:r>
          </m:den>
        </m:f>
      </m:oMath>
      <w:r>
        <w:rPr/>
        <w:t xml:space="preserve"> for Study 1, list price, discount percentage, net price, weight, and </w:t>
      </w:r>
      <w:r>
        <w:rPr/>
      </w:r>
      <m:oMath xmlns:m="http://schemas.openxmlformats.org/officeDocument/2006/math">
        <m:f>
          <m:num>
            <m:r>
              <m:rPr>
                <m:lit/>
                <m:nor/>
              </m:rPr>
              <w:rPr>
                <w:rFonts w:ascii="Cambria Math" w:hAnsi="Cambria Math"/>
              </w:rPr>
              <m:t xml:space="preserve">weight</m:t>
            </m:r>
          </m:num>
          <m:den>
            <m:r>
              <m:rPr>
                <m:lit/>
                <m:nor/>
              </m:rPr>
              <w:rPr>
                <w:rFonts w:ascii="Cambria Math" w:hAnsi="Cambria Math"/>
              </w:rPr>
              <m:t xml:space="preserve">price</m:t>
            </m:r>
          </m:den>
        </m:f>
      </m:oMath>
      <w:r>
        <w:rPr/>
        <w:t xml:space="preserve"> for Study 2, and the basis of calculation (</w:t>
      </w:r>
      <w:r>
        <w:rPr>
          <w:i/>
          <w:iCs/>
        </w:rPr>
        <w:t>“computed”</w:t>
      </w:r>
      <w:r>
        <w:rPr/>
        <w:t xml:space="preserve"> vs. </w:t>
      </w:r>
      <w:r>
        <w:rPr>
          <w:i/>
          <w:iCs/>
        </w:rPr>
        <w:t>“insufficient_information”</w:t>
      </w:r>
      <w:r>
        <w:rPr/>
        <w:t xml:space="preserve">). </w:t>
      </w:r>
      <w:r>
        <w:rPr>
          <w:i/>
          <w:iCs/>
        </w:rPr>
        <w:t>“unknown”</w:t>
      </w:r>
      <w:r>
        <w:rPr/>
        <w:t xml:space="preserve"> was designated as an admissible value across all fields, which allowed the LLMs to report uninspected cells without being forced to fabricate numbers (</w:t>
      </w:r>
      <w:hyperlink w:anchor="apptbl-valuations-schema">
        <w:r>
          <w:rPr>
            <w:rStyle w:val="Hyperlink"/>
          </w:rPr>
          <w:t>Table W35</w:t>
        </w:r>
      </w:hyperlink>
      <w:r>
        <w:rPr/>
        <w:t xml:space="preserve">). Every reported valuation field was compared against the session’s </w:t>
      </w:r>
      <w:r>
        <w:rPr>
          <w:i/>
          <w:iCs/>
        </w:rPr>
        <w:t>inspect_cell</w:t>
      </w:r>
      <w:r>
        <w:rPr/>
        <w:t xml:space="preserve"> execution logs to classify values as correct, arithmetic failures, hallucinations (asserting values for uninspected cells), or correctly identified unknown values.</w:t>
      </w:r>
    </w:p>
    <w:p>
      <w:pPr>
        <w:pStyle w:val="BodyText"/>
        <w:rPr/>
      </w:pPr>
      <w:r>
        <w:rPr/>
        <w:t>The results (</w:t>
      </w:r>
      <w:hyperlink w:anchor="apptbl-valuations-study1">
        <w:r>
          <w:rPr>
            <w:rStyle w:val="Hyperlink"/>
          </w:rPr>
          <w:t>Table W36</w:t>
        </w:r>
      </w:hyperlink>
      <w:r>
        <w:rPr/>
        <w:t xml:space="preserve"> and </w:t>
      </w:r>
      <w:hyperlink w:anchor="apptbl-valuations-study2">
        <w:r>
          <w:rPr>
            <w:rStyle w:val="Hyperlink"/>
          </w:rPr>
          <w:t>Table W37</w:t>
        </w:r>
      </w:hyperlink>
      <w:r>
        <w:rPr/>
        <w:t xml:space="preserve">) show that arithmetic failure was 0.0% across all eight LLMs, both study environments, and all cost conditions. Whenever diagnostic attributes were inspected, every LLM computed total prices, and unit values without mathematical error. Additionally, when search truncation occurred, uninspected cells were correctly reported as </w:t>
      </w:r>
      <w:r>
        <w:rPr>
          <w:i/>
          <w:iCs/>
        </w:rPr>
        <w:t>“unknown”</w:t>
      </w:r>
      <w:r>
        <w:rPr/>
        <w:t>, with hallucinations occurring in 0.0% to 8.5% of the reported valuations across LLMs.  Nevertheless, choice optimality in this validation experiment must be interpreted with caution. Unlike the main experiments where LLMs received no explicit computational instructions, requiring the LLMs to compute and report unit values concurrently with choice acts as an intermediate scratchpad, which can artificially alter choice. All this experiment establishes is that suboptimal choices cannot be strictly attributed to a lack of capability to compute the normative objective.</w:t>
      </w:r>
      <w:bookmarkEnd w:id="17"/>
      <w:bookmarkEnd w:id="19"/>
    </w:p>
    <w:p>
      <w:pPr>
        <w:pStyle w:val="Heading1"/>
        <w:rPr/>
      </w:pPr>
      <w:bookmarkStart w:id="20" w:name="general-discussion"/>
      <w:r>
        <w:rPr/>
        <w:t>General discussion</w:t>
      </w:r>
    </w:p>
    <w:p>
      <w:pPr>
        <w:pStyle w:val="FirstParagraph"/>
        <w:rPr/>
      </w:pPr>
      <w:r>
        <w:rPr/>
        <w:t>This research examined whether pricing cues designed for human bounded rationality continue to influence AI shopping agents, and what governs when they do. Across eight commercially deployed LLMs from three major providers, just-below pricing and promotional framing affected delegated choices mainly through the information the agent held at the moment of choice, rather than through how the agent weighted the cues themselves. When attribute acquisition was costly and the delegating goal was vague, most evaluated LLMs omitted diagnostic attributes, and the resulting choices resembled human heuristic decisions.</w:t>
      </w:r>
    </w:p>
    <w:p>
      <w:pPr>
        <w:pStyle w:val="BodyText"/>
        <w:rPr/>
      </w:pPr>
      <w:r>
        <w:rPr/>
        <w:t>When all attributes were visible, pricing cues rarely distorted choice. Seven of the eight LLMs weighted cents at the same rate as whole dollars (</w:t>
      </w:r>
      <w:hyperlink w:anchor="apptbl-s1a-cent-dollar-ratio">
        <w:r>
          <w:rPr>
            <w:rStyle w:val="Hyperlink"/>
          </w:rPr>
          <w:t>Table W2</w:t>
        </w:r>
      </w:hyperlink>
      <w:r>
        <w:rPr/>
        <w:t>), and six of the eight LLMs weighted a dollar saved through a discount like a dollar spent through list price (</w:t>
      </w:r>
      <w:hyperlink w:anchor="apptbl-s2a-discount-price-ratio">
        <w:r>
          <w:rPr>
            <w:rStyle w:val="Hyperlink"/>
          </w:rPr>
          <w:t>Table W16</w:t>
        </w:r>
      </w:hyperlink>
      <w:r>
        <w:rPr/>
        <w:t>). When attributes were hidden behind costly tool calls, the vague goal prompt negatively moderated the effect of acquisition cost on diagnostic acquisition, which in turn reduced choice optimality. The validation studies show that this degradation happens primarily through information acquisition rather than utilization. When information states were assigned exogenously, seven of the eight LLMs selected the alternative implied by the normative policy in 99.3% of sessions with partial information (Web Appendix F). When required to report unit values, no LLM made an arithmetic error (Web Appendix G). Selecting the lower whole-dollar or lower list-price alternative was therefore consistent with the information the agent held (</w:t>
      </w:r>
      <w:hyperlink w:anchor="apptbl-fixed-reveal-dist-study1">
        <w:r>
          <w:rPr>
            <w:rStyle w:val="Hyperlink"/>
          </w:rPr>
          <w:t>Table W33</w:t>
        </w:r>
      </w:hyperlink>
      <w:r>
        <w:rPr/>
        <w:t xml:space="preserve">, </w:t>
      </w:r>
      <w:hyperlink w:anchor="apptbl-fixed-reveal-dist-study2">
        <w:r>
          <w:rPr>
            <w:rStyle w:val="Hyperlink"/>
          </w:rPr>
          <w:t>Table W34</w:t>
        </w:r>
      </w:hyperlink>
      <w:r>
        <w:rPr/>
        <w:t>), even though it was economically inferior given the full attribute set.</w:t>
      </w:r>
    </w:p>
    <w:p>
      <w:pPr>
        <w:pStyle w:val="BodyText"/>
        <w:rPr/>
      </w:pPr>
      <w:r>
        <w:rPr/>
        <w:t xml:space="preserve">Tool-Lab reveals which attributes were omitted. Under the specific goal prompt, acquisition cost primarily reduced acquisition of cents in Study 1 and discount percentage in Study 2, which are the same attributes the normative policy abandons first as cost rises (Web Appendix H). Under the vague goal prompt, cost also reduced acquisition of weight (Study 1: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1.10</m:t>
        </m:r>
      </m:oMath>
      <w:r>
        <w:rPr/>
        <w:t xml:space="preserve"> of 2; Study 2: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1.31</m:t>
        </m:r>
      </m:oMath>
      <w:r>
        <w:rPr/>
        <w:t xml:space="preserve"> of 3), which is a diagnostic attribute under a unit-price objective but non-diagnostic under a price objective. When price was consolidated into a single attribute, truncation shifted to weight, and the pathway replicated for the three Gemini LLMs tested (</w:t>
      </w:r>
      <w:hyperlink w:anchor="apptbl-s1b-unpartitioned-modmed">
        <w:r>
          <w:rPr>
            <w:rStyle w:val="Hyperlink"/>
          </w:rPr>
          <w:t>Table W11</w:t>
        </w:r>
      </w:hyperlink>
      <w:r>
        <w:rPr/>
        <w:t>).</w:t>
      </w:r>
    </w:p>
    <w:p>
      <w:pPr>
        <w:pStyle w:val="BodyText"/>
        <w:rPr/>
      </w:pPr>
      <w:r>
        <w:rPr/>
        <w:t>Holding the objective constant, increasing purchase volume raises the benefit of information relevant to that objective and should therefore sustain or increase its acquisition. However, as purchase volume increased from one to 250 bags, Pro’s pre-search reasoning traces more frequently articulated a price-minimization objective. The share of Pro’s pre-search reasoning traces that articulated a price objective increased from 37% to 86%, diagnostic acquisition fell from 5.55 to 4.22, and choice optimality fell from .80 to .35 (</w:t>
      </w:r>
      <w:hyperlink w:anchor="appfig-study1-bags-sensitivity">
        <w:r>
          <w:rPr>
            <w:rStyle w:val="Hyperlink"/>
          </w:rPr>
          <w:t>Figure W1</w:t>
        </w:r>
      </w:hyperlink>
      <w:r>
        <w:rPr/>
        <w:t>). Holding volume constant, sessions articulating a price objective acquired fewer diagnostic attributes and, at 1, 5, and 50 bags, were 40 to 69 percentage points less likely to select the optimal alternative (</w:t>
      </w:r>
      <w:hyperlink w:anchor="apptbl-bags-contrast">
        <w:r>
          <w:rPr>
            <w:rStyle w:val="Hyperlink"/>
          </w:rPr>
          <w:t>Table W14</w:t>
        </w:r>
      </w:hyperlink>
      <w:r>
        <w:rPr/>
        <w:t>).</w:t>
        <w:br/>
        <w:t>This pattern suggests that in addition to the cost and benefit of search, the objective an LLM adopts under a vague goal is associated with the attributes it acquires.</w:t>
      </w:r>
    </w:p>
    <w:p>
      <w:pPr>
        <w:pStyle w:val="BodyText"/>
        <w:rPr/>
      </w:pPr>
      <w:r>
        <w:rPr/>
        <w:t>The hypothesized pathway generalized across most of the LLMs and providers we tested. All three hypotheses were supported for seven of the eight LLMs in Study 1 and six of the eight in Study 2, across the three providers (</w:t>
      </w:r>
      <w:hyperlink w:anchor="apptbl-s1b-permodel-indirect">
        <w:r>
          <w:rPr>
            <w:rStyle w:val="Hyperlink"/>
          </w:rPr>
          <w:t>Table W6</w:t>
        </w:r>
      </w:hyperlink>
      <w:r>
        <w:rPr/>
        <w:t xml:space="preserve">; </w:t>
      </w:r>
      <w:hyperlink w:anchor="apptbl-s2b-permodel-indirect">
        <w:r>
          <w:rPr>
            <w:rStyle w:val="Hyperlink"/>
          </w:rPr>
          <w:t>Table W20</w:t>
        </w:r>
      </w:hyperlink>
      <w:r>
        <w:rPr/>
        <w:t>). The pathway also replicated across most prompt phrasings and when price was consolidated into a single attribute (</w:t>
      </w:r>
      <w:hyperlink w:anchor="apptbl-s1b-robust-results">
        <w:r>
          <w:rPr>
            <w:rStyle w:val="Hyperlink"/>
          </w:rPr>
          <w:t>Table W8</w:t>
        </w:r>
      </w:hyperlink>
      <w:r>
        <w:rPr/>
        <w:t xml:space="preserve">; </w:t>
      </w:r>
      <w:hyperlink w:anchor="apptbl-s1b-unpartitioned-modmed">
        <w:r>
          <w:rPr>
            <w:rStyle w:val="Hyperlink"/>
          </w:rPr>
          <w:t>Table W11</w:t>
        </w:r>
      </w:hyperlink>
      <w:r>
        <w:rPr/>
        <w:t>). We found boundary conditions for two LLMs. Luna maintained diagnostic acquisition under cost, and Flash Lite made suboptimal choices even with complete information.</w:t>
      </w:r>
    </w:p>
    <w:p>
      <w:pPr>
        <w:pStyle w:val="BodyText"/>
        <w:rPr/>
      </w:pPr>
      <w:r>
        <w:rPr/>
        <w:t>Because LLMs are updated frequently, a natural question is whether these effects will persist as LLMs become more capable. Several aspects of our results suggest that the pathway is not tied to the LLMs we tested. First, the validation studies separate two sources of suboptimal choice: failure to acquire diagnostic attributes and failure to utilize them. Greater capability may reduce utilization failures, such as Flash Lite’s suboptimal choices under complete information, which occurred despite computing unit values correctly (Web Appendix F; Web Appendix G). Our findings identify environmental conditions that may remain relevant as models improve, but whether newer models acquire information or resolve ambiguous instructions differently remains an empirical question. Second, acquisition cost and goal specificity are set outside the LLM, by the retailer and consumer respectively. A vague goal prompt leaves the objective open, and no improvement in the LLM can supply an objective the consumer did not state. Third, the pathway held across eight LLMs from three providers, consistent with benchmarks finding that biases in LLMs are not resolved by increasing capability (Echterhoff et al. 2024; Knipper et al. 2025; Malberg et al. 2025). Finally, our Tool-Lab experiments can be re-executed with the same design on newer LLMs as they are released.</w:t>
      </w:r>
      <w:bookmarkEnd w:id="20"/>
    </w:p>
    <w:p>
      <w:pPr>
        <w:pStyle w:val="Heading1"/>
        <w:rPr/>
      </w:pPr>
      <w:bookmarkStart w:id="21" w:name="theoretical-implications"/>
      <w:r>
        <w:rPr/>
        <w:t>Theoretical implications</w:t>
      </w:r>
    </w:p>
    <w:p>
      <w:pPr>
        <w:pStyle w:val="FirstParagraph"/>
        <w:rPr/>
      </w:pPr>
      <w:r>
        <w:rPr/>
        <w:t>Research on biases in LLMs commonly attributes heuristic-like behavior to patterns inherited from human-generated training data and treats such behavior as a stable property of the LLM (Binz and Schulz 2023; Echterhoff et al. 2024; Filandrianos et al. 2025; Hermann and Puntoni 2025; Knipper et al. 2025; Malberg et al. 2025). Our findings challenge this assumption by showing that the susceptibility of AI agents to marketing cues depends also on the information state in which they choose.  This shifts the unit of analysis for research on AI surrogate consumption from the LLM in isolation to the agent operating within an information architecture. Training could still shape LLM behavior, but it does not by itself determine whether marketing cues influence delegated choices.</w:t>
      </w:r>
    </w:p>
    <w:p>
      <w:pPr>
        <w:pStyle w:val="BodyText"/>
        <w:rPr/>
      </w:pPr>
      <w:r>
        <w:rPr/>
        <w:t>Research on pricing cues explains their effectiveness through the cognitive limitations of the consumer who encounters them (Inman et al. 1990; Thomas and Morwitz 2005). In surrogate consumption, however, the consumer transfers decision authority to an agent (Solomon 1986) and never encounters the cue. Our findings show that when acquisition is costly, the specificity of the principal’s instruction determines whether marketing cues influence the AI agent’s choice. In AI-delegated purchasing, cue effectiveness is therefore jointly determined by the retailer, through the information architecture, and by the consumer, through the delegation instruction. This extends pricing cue research on AI shopping assistants by showing that cue effectiveness can arise from the delegation instruction and the information architecture, not just from the limitations of the agent that encounters the cue.</w:t>
      </w:r>
    </w:p>
    <w:p>
      <w:pPr>
        <w:pStyle w:val="BodyText"/>
        <w:rPr/>
      </w:pPr>
      <w:r>
        <w:rPr/>
        <w:t>Behavioral research on LLMs mainly evaluates their final outputs (Joerling 2025; Sarstedt et al. 2024; Wadi et al. 2026), which cannot attribute suboptimal choices to failure in information acquisition or utilization (Johnson et al. 2008). By extending information-board process tracing (Johnson et al. 1989; Payne et al. 1993) to AI agents, Tool-Lab showed that most suboptimal choices in our studies arose from incomplete acquisition rather than from flawed use of information. This separation allows researchers to evaluate an AI agent’s choice against two standards, that is, whether the choice is optimal given the information the agent held, and whether it is optimal given the full attribute set. Heuristic-like choices can therefore be assessed without being equated with utilization failures, and AI agent search can be benchmarked against a normative policy. Tool-Lab observes the information acquisition and choice, but not the internal mechanisms of the neural network. Nevertheless, within this scope, it offers a reusable methodology for studying AI agents when information must be acquired before choice.</w:t>
      </w:r>
      <w:bookmarkEnd w:id="21"/>
    </w:p>
    <w:p>
      <w:pPr>
        <w:pStyle w:val="Heading1"/>
        <w:rPr/>
      </w:pPr>
      <w:bookmarkStart w:id="22" w:name="managerial-implications"/>
      <w:r>
        <w:rPr/>
        <w:t>Managerial implications</w:t>
      </w:r>
    </w:p>
    <w:p>
      <w:pPr>
        <w:pStyle w:val="FirstParagraph"/>
        <w:rPr/>
      </w:pPr>
      <w:r>
        <w:rPr>
          <w:b/>
          <w:bCs/>
        </w:rPr>
        <w:t>Retailers.</w:t>
      </w:r>
      <w:r>
        <w:rPr/>
        <w:t xml:space="preserve"> Pricing cues designed for human shoppers showed little influence on AI agents when they acquired the complete product information, so retailers should not rely on such cues when the buyer is an AI agent. Instead, retailers should make the diagnostic attributes readily available to AI agents, because obscuring these attributes could steer agents toward suboptimal choices.</w:t>
      </w:r>
    </w:p>
    <w:p>
      <w:pPr>
        <w:pStyle w:val="BodyText"/>
        <w:rPr/>
      </w:pPr>
      <w:r>
        <w:rPr>
          <w:b/>
          <w:bCs/>
        </w:rPr>
        <w:t>Consumers.</w:t>
      </w:r>
      <w:r>
        <w:rPr/>
        <w:t xml:space="preserve"> Lack of specificity in the delegation prompt can lead to suboptimal choices, particularly, if consumers assume that AI agents have the common-sense to understand vague prompts (e.g., “find the best deal”). Vague prompts allow AI agents to adopt simpler objectives under constraints and can lead to suboptimal purchases. Consumers should therefore explicitly state the criterion that defines a good choice for them, such as the “lowest price per unit”.</w:t>
      </w:r>
    </w:p>
    <w:p>
      <w:pPr>
        <w:pStyle w:val="BodyText"/>
        <w:rPr/>
      </w:pPr>
      <w:r>
        <w:rPr>
          <w:b/>
          <w:bCs/>
        </w:rPr>
        <w:t>AI agent developers.</w:t>
      </w:r>
      <w:r>
        <w:rPr/>
        <w:t xml:space="preserve"> Our findings suggest two design interventions worth testing. First, shopping agents could ask consumers to clarify vague objectives before searching. Second, an independent verification step could check whether the agent has acquired sufficient information to evaluate alternatives against the consumer’s objective before committing to a purchase. We did not evaluate either intervention, and their effects on choice accuracy, acquisition costs, and completion time remain to be established. Because vulnerability varied across LLMs, developers should audit the specific LLM they deploy rather than assume that results from one LLM transfer to another.</w:t>
      </w:r>
    </w:p>
    <w:p>
      <w:pPr>
        <w:pStyle w:val="BodyText"/>
        <w:rPr/>
      </w:pPr>
      <w:r>
        <w:rPr>
          <w:b/>
          <w:bCs/>
        </w:rPr>
        <w:t>Regulators.</w:t>
      </w:r>
      <w:r>
        <w:rPr/>
        <w:t xml:space="preserve"> The evaluated AI agents often selected products with higher unit prices when diagnostic attributes were costly to acquire and delegation goals were vague. These findings suggest that disclosure policies should consider not only whether product information is visible to human shoppers, but also whether it is accessible to AI shopping agents. Information displayed to consumers may still be difficult for agents to retrieve. Regulators could therefore examine whether requiring readily accessible price, discount, and quantity information improves AI-assisted product choices and reduces information-acquisition costs.</w:t>
      </w:r>
      <w:bookmarkEnd w:id="22"/>
    </w:p>
    <w:p>
      <w:pPr>
        <w:pStyle w:val="Heading1"/>
        <w:rPr/>
      </w:pPr>
      <w:bookmarkStart w:id="23" w:name="limitations-and-future-research"/>
      <w:r>
        <w:rPr/>
        <w:t>Limitations and future research</w:t>
      </w:r>
    </w:p>
    <w:p>
      <w:pPr>
        <w:pStyle w:val="FirstParagraph"/>
        <w:rPr/>
      </w:pPr>
      <w:r>
        <w:rPr/>
        <w:t>Although the studies include robustness tests and validation experiments, several limitations qualify our findings and suggest directions for future research. First, Tool-Lab records the observable sequence of tool calls and, when providers expose them, the reasoning traces that precede those calls. Like concurrent think-aloud protocols in human decision research (Ericsson and Simon 1998; Payne et al. 1993), reasoning traces are verbal reports of how an LLM describes its task, not direct measures of the neural network activations that produce its behavior. Therefore, Tool-Lab shows what information an agent acquired and which objective it articulated, but not the internal mechanism that generated acquisitions and choice. Also, our results establish when search truncation produces heuristic-like choices, but they do not rule out rival accounts of why truncation occurs, such as statistical regularities in training data or limits on planning. In addition, reasoning traces were available only for LLMs whose providers expose them, and we classified traces only in the purchase volume study. Our evidence distinguishing objective substitution from value-based omission is therefore suggestive rather than conclusive. Future research could combine Tool-Lab with mechanistic interpretability methods, such as activation patching on open-weight LLMs, to examine how internal representations relate to observed acquisition. Future studies could distinguish these routes by varying the expected benefit of specific attributes while holding the task objective constant and assessing whether the objective articulated by the LLM remains stable. Such a design would provide a stronger basis for estimating an implicit acquisition cost, which the present purchase-volume experiment does not identify.</w:t>
      </w:r>
    </w:p>
    <w:p>
      <w:pPr>
        <w:pStyle w:val="BodyText"/>
        <w:rPr/>
      </w:pPr>
      <w:r>
        <w:rPr/>
        <w:t>Our hypotheses are tested with a sample of LLMs we tested. One result ran counter to the framework. Flash Lite selected the suboptimal alternative even with complete diagnostic information. We do not attempt to explain differences between individual LLMs, because the characteristics that distinguish commercial LLMs (e.g., training data and tool-use tuning) are undisclosed and vary together. Future research could identify LLM-level moderators of the acquisition and choice pathways.</w:t>
      </w:r>
    </w:p>
    <w:p>
      <w:pPr>
        <w:pStyle w:val="BodyText"/>
        <w:rPr/>
      </w:pPr>
      <w:r>
        <w:rPr/>
        <w:t>Tool-Lab operationalizes acquisition cost as an explicit monetary cost per inspection, charged to the delegating consumer. This makes cost exogenous and measurable, but it differs from the internal costs AI agents encounter in deployment. Future research could test whether costs in live e-commerce environments produce similar diagnostic truncation. It could also examine whether manipulating internal costs (e.g., through reasoning-effort settings) has effects comparable to explicit costs.</w:t>
      </w:r>
    </w:p>
    <w:p>
      <w:pPr>
        <w:pStyle w:val="BodyText"/>
        <w:rPr/>
      </w:pPr>
      <w:r>
        <w:rPr/>
        <w:t>Our primary outcome, choice optimality, evaluates whether the AI agent selected the alternative with the lowest unit price. It does not account for the search costs incurred. Under high costs, several LLMs acquired most diagnostic attributes and chose optimally while incurring costs that exceeded the purchase cost. Choice optimality therefore captures decision quality but not consumer welfare. Future research could evaluate AI agent performance on welfare-inclusive measures that combine product value, search costs, and time. Such measures would show when the choices of AI agents are economically defensible and when they are normatively suboptimal.</w:t>
      </w:r>
    </w:p>
    <w:p>
      <w:pPr>
        <w:pStyle w:val="BodyText"/>
        <w:rPr/>
      </w:pPr>
      <w:r>
        <w:rPr/>
        <w:t>We studied a single product category in which the normative objective of unit-price minimization is unambiguous. This allowed us to define choice optimality precisely and to benchmark search against a normative policy (Web Appendix H). Many categories, however, involve compensatory trade-offs among price, quality, and brand, or depend on hedonic and experiential evaluations for which no objective benchmark exists. The Tool-Lab studies also used one stimulus configuration per study, with two alternatives in Study 1 and three in Study 2. Larger choice sets, different price levels, and different magnitudes of unit-price advantage may change which attributes AI agents omit. Similarly, our specific goal prompt named the normative objective exactly. Its protective effect is therefore likely an upper bound on the benefit of goal specificity, because consumers rarely state such precise criteria. Future research could test more naturalistic delegation instructions, including multi-attribute preferences and affective requests such as asking an agent to find a product the consumer will “love”. Such requests would extend the study of AI agents from analytical to more intuitive and emotional modes of decision making (Huang and Rust 2021). Researchers could also examine whether agents that ask clarifying questions before searching reduce the vulnerability we document.</w:t>
      </w:r>
    </w:p>
    <w:p>
      <w:pPr>
        <w:pStyle w:val="BodyText"/>
        <w:rPr/>
      </w:pPr>
      <w:r>
        <w:rPr/>
        <w:t>Finally, our studies placed a single AI shopping agent in a static environment. In agentic commerce, seller-side agents may adapt product information in response to how buyer agents search, creating strategic interactions that our design does not capture (Calvano et al. 2020). Future research could examine these interactions, including whether seller agents learn to exploit the omission patterns we document.</w:t>
      </w:r>
      <w:bookmarkStart w:id="24" w:name="statements-and-declarations"/>
      <w:bookmarkEnd w:id="23"/>
    </w:p>
    <w:p>
      <w:pPr>
        <w:pStyle w:val="BodyText"/>
        <w:rPr/>
      </w:pPr>
      <w:r>
        <w:rPr>
          <w:b/>
          <w:bCs/>
        </w:rPr>
        <w:t>Data availability.</w:t>
      </w:r>
      <w:r>
        <w:rPr/>
        <w:t xml:space="preserve"> The raw session data for all experiments and the code to reproduce every analysis, table, and figure in the article and web appendix are available in an anonymized repository for peer review: https://osf.io/qs5uz/?view_only=4231ad6a60d2402d8bc554080700c080.</w:t>
      </w:r>
      <w:bookmarkEnd w:id="24"/>
    </w:p>
    <w:p>
      <w:pPr>
        <w:pStyle w:val="Heading1"/>
        <w:jc w:val="left"/>
        <w:rPr/>
      </w:pPr>
      <w:bookmarkStart w:id="25" w:name="references"/>
      <w:r>
        <w:rPr/>
        <w:t>References</w:t>
      </w:r>
    </w:p>
    <w:p>
      <w:pPr>
        <w:pStyle w:val="Bibliography"/>
        <w:rPr/>
      </w:pPr>
      <w:bookmarkStart w:id="26" w:name="refs"/>
      <w:bookmarkStart w:id="27" w:name="ref-allouah2026your"/>
      <w:r>
        <w:rPr/>
        <w:t xml:space="preserve">Allouah, A., Besbes, O., Figueroa, J. D., Kanoria, Y., &amp; Kumar, A. (2026). What is your AI agent buying? Evaluation, biases, model dependence, &amp; emerging implications of agentic e-commerce. In </w:t>
      </w:r>
      <w:r>
        <w:rPr>
          <w:i/>
          <w:iCs/>
        </w:rPr>
        <w:t>Proceedings of the ACM web conference 2026</w:t>
      </w:r>
      <w:r>
        <w:rPr/>
        <w:t xml:space="preserve"> (pp. 8697–8700).</w:t>
      </w:r>
      <w:bookmarkEnd w:id="27"/>
    </w:p>
    <w:p>
      <w:pPr>
        <w:pStyle w:val="Bibliography"/>
        <w:rPr/>
      </w:pPr>
      <w:bookmarkStart w:id="28" w:name="ref-amazon2025buyforme"/>
      <w:r>
        <w:rPr/>
        <w:t xml:space="preserve">Amazon Staff. (2025, April 3). Amazon’s new “buy for me” feature helps customers find and buy products from other brands’ sites. About Amazon. </w:t>
      </w:r>
      <w:hyperlink r:id="rId2">
        <w:r>
          <w:rPr>
            <w:rStyle w:val="Hyperlink"/>
          </w:rPr>
          <w:t>https://www.aboutamazon.com/news/retail/amazon-shopping-app-buy-for-me-brands</w:t>
        </w:r>
      </w:hyperlink>
      <w:bookmarkEnd w:id="28"/>
    </w:p>
    <w:p>
      <w:pPr>
        <w:pStyle w:val="Bibliography"/>
        <w:rPr/>
      </w:pPr>
      <w:bookmarkStart w:id="29" w:name="ref-anthropic2026sampling"/>
      <w:r>
        <w:rPr/>
        <w:t xml:space="preserve">Anthropic. (2026). Model deprecations: API parameter deprecations. Claude Documentation. </w:t>
      </w:r>
      <w:r>
        <w:fldChar w:fldCharType="begin"/>
      </w:r>
      <w:r>
        <w:rPr>
          <w:rStyle w:val="Hyperlink"/>
        </w:rPr>
        <w:instrText xml:space="preserve"> HYPERLINK "https://platform.claude.com/docs/en/about-claude/model-deprecations" \l "api-parameter-deprecations"</w:instrText>
      </w:r>
      <w:r>
        <w:rPr>
          <w:rStyle w:val="Hyperlink"/>
        </w:rPr>
        <w:fldChar w:fldCharType="separate"/>
      </w:r>
      <w:r>
        <w:rPr>
          <w:rStyle w:val="Hyperlink"/>
        </w:rPr>
        <w:t>https://platform.claude.com/docs/en/about-claude/model-deprecations#api-parameter-deprecations</w:t>
      </w:r>
      <w:r>
        <w:rPr>
          <w:rStyle w:val="Hyperlink"/>
        </w:rPr>
        <w:fldChar w:fldCharType="end"/>
      </w:r>
      <w:r>
        <w:rPr/>
        <w:t>. Accessed 17 July 2026</w:t>
      </w:r>
      <w:bookmarkEnd w:id="29"/>
    </w:p>
    <w:p>
      <w:pPr>
        <w:pStyle w:val="Bibliography"/>
        <w:rPr/>
      </w:pPr>
      <w:bookmarkStart w:id="30" w:name="ref-arora2025ai"/>
      <w:r>
        <w:rPr/>
        <w:t xml:space="preserve">Arora, N., Chakraborty, I., &amp; Nishimura, Y. (2025). AI–human hybrids for marketing research: Leveraging large language models (LLMs) as collaborators. </w:t>
      </w:r>
      <w:r>
        <w:rPr>
          <w:i/>
          <w:iCs/>
        </w:rPr>
        <w:t>Journal of Marketing</w:t>
      </w:r>
      <w:r>
        <w:rPr/>
        <w:t xml:space="preserve">, </w:t>
      </w:r>
      <w:r>
        <w:rPr>
          <w:i/>
          <w:iCs/>
        </w:rPr>
        <w:t>89</w:t>
      </w:r>
      <w:r>
        <w:rPr/>
        <w:t>(2), 43–70.</w:t>
      </w:r>
      <w:bookmarkEnd w:id="30"/>
    </w:p>
    <w:p>
      <w:pPr>
        <w:pStyle w:val="Bibliography"/>
        <w:rPr/>
      </w:pPr>
      <w:bookmarkStart w:id="31" w:name="ref-aw2025future"/>
      <w:r>
        <w:rPr/>
        <w:t xml:space="preserve">Aw, E. C.-X., Anjomshoae, A., Blome, C., Cham, T.-H., Chan, H. K., Eastman, J., et al. (2025). Future research directions of generative AI in marketing and logistics. </w:t>
      </w:r>
      <w:r>
        <w:rPr>
          <w:i/>
          <w:iCs/>
        </w:rPr>
        <w:t>Asia Pacific Journal of Marketing and Logistics</w:t>
      </w:r>
      <w:r>
        <w:rPr/>
        <w:t>, 1–15.</w:t>
      </w:r>
      <w:bookmarkEnd w:id="31"/>
    </w:p>
    <w:p>
      <w:pPr>
        <w:pStyle w:val="Bibliography"/>
        <w:rPr/>
      </w:pPr>
      <w:bookmarkStart w:id="32" w:name="ref-binz2023using"/>
      <w:r>
        <w:rPr/>
        <w:t xml:space="preserve">Binz, M., &amp; Schulz, E. (2023). Using cognitive psychology to understand GPT-3. </w:t>
      </w:r>
      <w:r>
        <w:rPr>
          <w:i/>
          <w:iCs/>
        </w:rPr>
        <w:t>Proceedings of the National Academy of Sciences</w:t>
      </w:r>
      <w:r>
        <w:rPr/>
        <w:t xml:space="preserve">, </w:t>
      </w:r>
      <w:r>
        <w:rPr>
          <w:i/>
          <w:iCs/>
        </w:rPr>
        <w:t>120</w:t>
      </w:r>
      <w:r>
        <w:rPr/>
        <w:t>(6), e2218523120.</w:t>
      </w:r>
      <w:bookmarkEnd w:id="32"/>
    </w:p>
    <w:p>
      <w:pPr>
        <w:pStyle w:val="Bibliography"/>
        <w:rPr/>
      </w:pPr>
      <w:bookmarkStart w:id="33" w:name="ref-bizer2005direct"/>
      <w:r>
        <w:rPr/>
        <w:t xml:space="preserve">Bizer, G. Y., &amp; Schindler, R. M. (2005). Direct evidence of ending-digit drop-off in price information processing. </w:t>
      </w:r>
      <w:r>
        <w:rPr>
          <w:i/>
          <w:iCs/>
        </w:rPr>
        <w:t>Psychology &amp; Marketing</w:t>
      </w:r>
      <w:r>
        <w:rPr/>
        <w:t xml:space="preserve">, </w:t>
      </w:r>
      <w:r>
        <w:rPr>
          <w:i/>
          <w:iCs/>
        </w:rPr>
        <w:t>22</w:t>
      </w:r>
      <w:r>
        <w:rPr/>
        <w:t>(10), 771–783.</w:t>
      </w:r>
      <w:bookmarkEnd w:id="33"/>
    </w:p>
    <w:p>
      <w:pPr>
        <w:pStyle w:val="Bibliography"/>
        <w:rPr/>
      </w:pPr>
      <w:bookmarkStart w:id="34" w:name="ref-brand2023using"/>
      <w:r>
        <w:rPr/>
        <w:t xml:space="preserve">Brand, J., Israeli, A., &amp; Ngwe, D. (2023). Using LLMs for market research. </w:t>
      </w:r>
      <w:r>
        <w:rPr>
          <w:i/>
          <w:iCs/>
        </w:rPr>
        <w:t>Harvard business school marketing unit working paper</w:t>
      </w:r>
      <w:r>
        <w:rPr/>
        <w:t>, (23-062).</w:t>
      </w:r>
      <w:bookmarkEnd w:id="34"/>
    </w:p>
    <w:p>
      <w:pPr>
        <w:pStyle w:val="Bibliography"/>
        <w:rPr/>
      </w:pPr>
      <w:bookmarkStart w:id="35" w:name="ref-breen2014correlations"/>
      <w:r>
        <w:rPr/>
        <w:t xml:space="preserve">Breen, R., Holm, A., &amp; Karlson, K. B. (2014). Correlations and nonlinear probability models. </w:t>
      </w:r>
      <w:r>
        <w:rPr>
          <w:i/>
          <w:iCs/>
        </w:rPr>
        <w:t>Sociological Methods &amp; Research</w:t>
      </w:r>
      <w:r>
        <w:rPr/>
        <w:t xml:space="preserve">, </w:t>
      </w:r>
      <w:r>
        <w:rPr>
          <w:i/>
          <w:iCs/>
        </w:rPr>
        <w:t>43</w:t>
      </w:r>
      <w:r>
        <w:rPr/>
        <w:t>(4), 571–605.</w:t>
      </w:r>
      <w:bookmarkEnd w:id="35"/>
    </w:p>
    <w:p>
      <w:pPr>
        <w:pStyle w:val="Bibliography"/>
        <w:rPr/>
      </w:pPr>
      <w:bookmarkStart w:id="36" w:name="ref-breen2013total"/>
      <w:r>
        <w:rPr/>
        <w:t xml:space="preserve">Breen, R., Karlson, K. B., &amp; Holm, A. (2013). Total, direct, and indirect effects in logit and probit models. </w:t>
      </w:r>
      <w:r>
        <w:rPr>
          <w:i/>
          <w:iCs/>
        </w:rPr>
        <w:t>Sociological methods &amp; research</w:t>
      </w:r>
      <w:r>
        <w:rPr/>
        <w:t xml:space="preserve">, </w:t>
      </w:r>
      <w:r>
        <w:rPr>
          <w:i/>
          <w:iCs/>
        </w:rPr>
        <w:t>42</w:t>
      </w:r>
      <w:r>
        <w:rPr/>
        <w:t>(2), 164–191.</w:t>
      </w:r>
      <w:bookmarkEnd w:id="36"/>
    </w:p>
    <w:p>
      <w:pPr>
        <w:pStyle w:val="Bibliography"/>
        <w:rPr/>
      </w:pPr>
      <w:bookmarkStart w:id="37" w:name="ref-burkner2017brms"/>
      <w:r>
        <w:rPr/>
        <w:t xml:space="preserve">Bürkner, P.-C. (2017). brms: An R package for Bayesian multilevel models using Stan. </w:t>
      </w:r>
      <w:r>
        <w:rPr>
          <w:i/>
          <w:iCs/>
        </w:rPr>
        <w:t>Journal of Statistical Software</w:t>
      </w:r>
      <w:r>
        <w:rPr/>
        <w:t xml:space="preserve">, </w:t>
      </w:r>
      <w:r>
        <w:rPr>
          <w:i/>
          <w:iCs/>
        </w:rPr>
        <w:t>80</w:t>
      </w:r>
      <w:r>
        <w:rPr/>
        <w:t xml:space="preserve">(1), 1–28. </w:t>
      </w:r>
      <w:hyperlink r:id="rId3">
        <w:r>
          <w:rPr>
            <w:rStyle w:val="Hyperlink"/>
          </w:rPr>
          <w:t>https://doi.org/10.18637/jss.v080.i01</w:t>
        </w:r>
      </w:hyperlink>
      <w:bookmarkEnd w:id="37"/>
    </w:p>
    <w:p>
      <w:pPr>
        <w:pStyle w:val="Bibliography"/>
        <w:rPr/>
      </w:pPr>
      <w:bookmarkStart w:id="38" w:name="ref-calvano2020artificial"/>
      <w:r>
        <w:rPr/>
        <w:t xml:space="preserve">Calvano, E., Calzolari, G., Denicolo, V., &amp; Pastorello, S. (2020). Artificial intelligence, algorithmic pricing, and collusion. </w:t>
      </w:r>
      <w:r>
        <w:rPr>
          <w:i/>
          <w:iCs/>
        </w:rPr>
        <w:t>American Economic Review</w:t>
      </w:r>
      <w:r>
        <w:rPr/>
        <w:t xml:space="preserve">, </w:t>
      </w:r>
      <w:r>
        <w:rPr>
          <w:i/>
          <w:iCs/>
        </w:rPr>
        <w:t>110</w:t>
      </w:r>
      <w:r>
        <w:rPr/>
        <w:t>(10), 3267–3297.</w:t>
      </w:r>
      <w:bookmarkEnd w:id="38"/>
    </w:p>
    <w:p>
      <w:pPr>
        <w:pStyle w:val="Bibliography"/>
        <w:rPr/>
      </w:pPr>
      <w:bookmarkStart w:id="39" w:name="ref-cillo2025generative"/>
      <w:r>
        <w:rPr/>
        <w:t xml:space="preserve">Cillo, P., &amp; Rubera, G. (2025). Generative AI in innovation and marketing processes: A roadmap of research opportunities. </w:t>
      </w:r>
      <w:r>
        <w:rPr>
          <w:i/>
          <w:iCs/>
        </w:rPr>
        <w:t>Journal of the Academy of Marketing Science</w:t>
      </w:r>
      <w:r>
        <w:rPr/>
        <w:t xml:space="preserve">, </w:t>
      </w:r>
      <w:r>
        <w:rPr>
          <w:i/>
          <w:iCs/>
        </w:rPr>
        <w:t>53</w:t>
      </w:r>
      <w:r>
        <w:rPr/>
        <w:t>(3), 684–701.</w:t>
      </w:r>
      <w:bookmarkEnd w:id="39"/>
    </w:p>
    <w:p>
      <w:pPr>
        <w:pStyle w:val="Bibliography"/>
        <w:rPr/>
      </w:pPr>
      <w:bookmarkStart w:id="40" w:name="ref-cooper2026visa"/>
      <w:r>
        <w:rPr/>
        <w:t xml:space="preserve">Cooper III, F. (2026, April 22). Visa CMO: AI agents are your new customers—here’s how to sell to them. Fortune. </w:t>
      </w:r>
      <w:hyperlink r:id="rId4">
        <w:r>
          <w:rPr>
            <w:rStyle w:val="Hyperlink"/>
          </w:rPr>
          <w:t>https://fortune.com/2026/04/22/section-technology-visa-cmo-frank-cooper-b2ai-business-to-ai-agents-commerce-strategy/</w:t>
        </w:r>
      </w:hyperlink>
      <w:bookmarkEnd w:id="40"/>
    </w:p>
    <w:p>
      <w:pPr>
        <w:pStyle w:val="Bibliography"/>
        <w:rPr/>
      </w:pPr>
      <w:bookmarkStart w:id="41" w:name="ref-dholakia2025artificial"/>
      <w:r>
        <w:rPr/>
        <w:t xml:space="preserve">Dholakia, N., Repo, P., Fırat, A. F., Campos, I., &amp; Timonen, P. (2025). Artificial intelligence, structure of knowledge, and the future directions for macromarketing. </w:t>
      </w:r>
      <w:r>
        <w:rPr>
          <w:i/>
          <w:iCs/>
        </w:rPr>
        <w:t>Journal of Macromarketing</w:t>
      </w:r>
      <w:r>
        <w:rPr/>
        <w:t xml:space="preserve">, </w:t>
      </w:r>
      <w:r>
        <w:rPr>
          <w:i/>
          <w:iCs/>
        </w:rPr>
        <w:t>45</w:t>
      </w:r>
      <w:r>
        <w:rPr/>
        <w:t>(2), 337–344.</w:t>
      </w:r>
      <w:bookmarkEnd w:id="41"/>
    </w:p>
    <w:p>
      <w:pPr>
        <w:pStyle w:val="Bibliography"/>
        <w:rPr/>
      </w:pPr>
      <w:bookmarkStart w:id="42" w:name="ref-echterhoff2024cognitive"/>
      <w:r>
        <w:rPr/>
        <w:t xml:space="preserve">Echterhoff, J. M., Liu, Y., Alessa, A., McAuley, J., &amp; He, Z. (2024). Cognitive bias in decision-making with LLMs. In </w:t>
      </w:r>
      <w:r>
        <w:rPr>
          <w:i/>
          <w:iCs/>
        </w:rPr>
        <w:t>Findings of the association for computational linguistics: EMNLP 2024</w:t>
      </w:r>
      <w:r>
        <w:rPr/>
        <w:t xml:space="preserve"> (pp. 12640–12653).</w:t>
      </w:r>
      <w:bookmarkEnd w:id="42"/>
    </w:p>
    <w:p>
      <w:pPr>
        <w:pStyle w:val="Bibliography"/>
        <w:rPr/>
      </w:pPr>
      <w:bookmarkStart w:id="43" w:name="ref-ericsson1998study"/>
      <w:r>
        <w:rPr/>
        <w:t xml:space="preserve">Ericsson, K. A., &amp; Simon, H. A. (1998). How to study thinking in everyday life: Contrasting think-aloud protocols with descriptions and explanations of thinking. </w:t>
      </w:r>
      <w:r>
        <w:rPr>
          <w:i/>
          <w:iCs/>
        </w:rPr>
        <w:t>Mind, Culture, and Activity</w:t>
      </w:r>
      <w:r>
        <w:rPr/>
        <w:t xml:space="preserve">, </w:t>
      </w:r>
      <w:r>
        <w:rPr>
          <w:i/>
          <w:iCs/>
        </w:rPr>
        <w:t>5</w:t>
      </w:r>
      <w:r>
        <w:rPr/>
        <w:t>(3), 178–186.</w:t>
      </w:r>
      <w:bookmarkEnd w:id="43"/>
    </w:p>
    <w:p>
      <w:pPr>
        <w:pStyle w:val="Bibliography"/>
        <w:rPr/>
      </w:pPr>
      <w:bookmarkStart w:id="44" w:name="ref-fieller1954some"/>
      <w:r>
        <w:rPr/>
        <w:t xml:space="preserve">Fieller, E. C. (1954). Some problems in interval estimation. </w:t>
      </w:r>
      <w:r>
        <w:rPr>
          <w:i/>
          <w:iCs/>
        </w:rPr>
        <w:t>Journal of the Royal Statistical Society Series B: Statistical Methodology</w:t>
      </w:r>
      <w:r>
        <w:rPr/>
        <w:t xml:space="preserve">, </w:t>
      </w:r>
      <w:r>
        <w:rPr>
          <w:i/>
          <w:iCs/>
        </w:rPr>
        <w:t>16</w:t>
      </w:r>
      <w:r>
        <w:rPr/>
        <w:t>(2), 175–185.</w:t>
      </w:r>
      <w:bookmarkEnd w:id="44"/>
    </w:p>
    <w:p>
      <w:pPr>
        <w:pStyle w:val="Bibliography"/>
        <w:rPr/>
      </w:pPr>
      <w:bookmarkStart w:id="45" w:name="ref-filandrianos2025bias"/>
      <w:r>
        <w:rPr/>
        <w:t xml:space="preserve">Filandrianos, G., Dimitriou, A., Lymperaiou, M., Thomas, K., &amp; Stamou, G. (2025). Bias beware: The impact of cognitive biases on LLM-driven product recommendations. In </w:t>
      </w:r>
      <w:r>
        <w:rPr>
          <w:i/>
          <w:iCs/>
        </w:rPr>
        <w:t>Proceedings of the 2025 conference on empirical methods in natural language processing</w:t>
      </w:r>
      <w:r>
        <w:rPr/>
        <w:t xml:space="preserve"> (pp. 22408–22437).</w:t>
      </w:r>
      <w:bookmarkEnd w:id="45"/>
    </w:p>
    <w:p>
      <w:pPr>
        <w:pStyle w:val="Bibliography"/>
        <w:rPr/>
      </w:pPr>
      <w:bookmarkStart w:id="46" w:name="ref-gigerenzer2011heuristic"/>
      <w:r>
        <w:rPr/>
        <w:t xml:space="preserve">Gigerenzer, G., &amp; Gaissmaier, W. (2011). Heuristic decision making. </w:t>
      </w:r>
      <w:r>
        <w:rPr>
          <w:i/>
          <w:iCs/>
        </w:rPr>
        <w:t>Annual review of psychology</w:t>
      </w:r>
      <w:r>
        <w:rPr/>
        <w:t xml:space="preserve">, </w:t>
      </w:r>
      <w:r>
        <w:rPr>
          <w:i/>
          <w:iCs/>
        </w:rPr>
        <w:t>62</w:t>
      </w:r>
      <w:r>
        <w:rPr/>
        <w:t>(2011), 451–482.</w:t>
      </w:r>
      <w:bookmarkEnd w:id="46"/>
    </w:p>
    <w:p>
      <w:pPr>
        <w:pStyle w:val="Bibliography"/>
        <w:rPr/>
      </w:pPr>
      <w:bookmarkStart w:id="47" w:name="ref-goli2024frontiers"/>
      <w:r>
        <w:rPr/>
        <w:t xml:space="preserve">Goli, A., &amp; Singh, A. (2024). Frontiers: Can large language models capture human preferences? </w:t>
      </w:r>
      <w:r>
        <w:rPr>
          <w:i/>
          <w:iCs/>
        </w:rPr>
        <w:t>Marketing Science</w:t>
      </w:r>
      <w:r>
        <w:rPr/>
        <w:t xml:space="preserve">, </w:t>
      </w:r>
      <w:r>
        <w:rPr>
          <w:i/>
          <w:iCs/>
        </w:rPr>
        <w:t>43</w:t>
      </w:r>
      <w:r>
        <w:rPr/>
        <w:t>(4), 709–722.</w:t>
      </w:r>
      <w:bookmarkEnd w:id="47"/>
    </w:p>
    <w:p>
      <w:pPr>
        <w:pStyle w:val="Bibliography"/>
        <w:rPr/>
      </w:pPr>
      <w:bookmarkStart w:id="48" w:name="ref-google2026sampling"/>
      <w:r>
        <w:rPr/>
        <w:t xml:space="preserve">Google. (2026). Gemini models: Sampling parameter deprecation. Google AI for Developers. </w:t>
      </w:r>
      <w:r>
        <w:fldChar w:fldCharType="begin"/>
      </w:r>
      <w:r>
        <w:rPr>
          <w:rStyle w:val="Hyperlink"/>
        </w:rPr>
        <w:instrText xml:space="preserve"> HYPERLINK "https://ai.google.dev/gemini-api/docs/latest-model" \l "sampling-parameter-deprecation"</w:instrText>
      </w:r>
      <w:r>
        <w:rPr>
          <w:rStyle w:val="Hyperlink"/>
        </w:rPr>
        <w:fldChar w:fldCharType="separate"/>
      </w:r>
      <w:r>
        <w:rPr>
          <w:rStyle w:val="Hyperlink"/>
        </w:rPr>
        <w:t>https://ai.google.dev/gemini-api/docs/latest-model#sampling-parameter-deprecation</w:t>
      </w:r>
      <w:r>
        <w:rPr>
          <w:rStyle w:val="Hyperlink"/>
        </w:rPr>
        <w:fldChar w:fldCharType="end"/>
      </w:r>
      <w:r>
        <w:rPr/>
        <w:t>. Accessed 17 July 2026</w:t>
      </w:r>
      <w:bookmarkEnd w:id="48"/>
    </w:p>
    <w:p>
      <w:pPr>
        <w:pStyle w:val="Bibliography"/>
        <w:rPr/>
      </w:pPr>
      <w:bookmarkStart w:id="49" w:name="ref-deepmind_mariner"/>
      <w:r>
        <w:rPr/>
        <w:t xml:space="preserve">Google DeepMind. (2026). Project mariner. </w:t>
      </w:r>
      <w:hyperlink r:id="rId5">
        <w:r>
          <w:rPr>
            <w:rStyle w:val="Hyperlink"/>
          </w:rPr>
          <w:t>https://deepmind.google/models/project-mariner/</w:t>
        </w:r>
      </w:hyperlink>
      <w:r>
        <w:rPr/>
        <w:t>. Accessed 23 March 2026</w:t>
      </w:r>
      <w:bookmarkEnd w:id="49"/>
    </w:p>
    <w:p>
      <w:pPr>
        <w:pStyle w:val="Bibliography"/>
        <w:rPr/>
      </w:pPr>
      <w:bookmarkStart w:id="50" w:name="ref-grewal2025generative"/>
      <w:r>
        <w:rPr/>
        <w:t xml:space="preserve">Grewal, D., Satornino, C. B., Davenport, T., &amp; Guha, A. (2025). How generative AI is shaping the future of marketing. </w:t>
      </w:r>
      <w:r>
        <w:rPr>
          <w:i/>
          <w:iCs/>
        </w:rPr>
        <w:t>Journal of the Academy of Marketing Science</w:t>
      </w:r>
      <w:r>
        <w:rPr/>
        <w:t xml:space="preserve">, </w:t>
      </w:r>
      <w:r>
        <w:rPr>
          <w:i/>
          <w:iCs/>
        </w:rPr>
        <w:t>53</w:t>
      </w:r>
      <w:r>
        <w:rPr/>
        <w:t>(3), 702–722.</w:t>
      </w:r>
      <w:bookmarkEnd w:id="50"/>
    </w:p>
    <w:p>
      <w:pPr>
        <w:pStyle w:val="Bibliography"/>
        <w:rPr/>
      </w:pPr>
      <w:bookmarkStart w:id="51" w:name="ref-hasselwander2026toward"/>
      <w:r>
        <w:rPr/>
        <w:t xml:space="preserve">Hasselwander, M., Sunio, V., Lah, O., &amp; Mogaji, E. (2026). Toward agentic AI: User acceptance of a deeply personalized AI super assistant (AISA). </w:t>
      </w:r>
      <w:r>
        <w:rPr>
          <w:i/>
          <w:iCs/>
        </w:rPr>
        <w:t>Journal of Retailing and Consumer Services</w:t>
      </w:r>
      <w:r>
        <w:rPr/>
        <w:t xml:space="preserve">, </w:t>
      </w:r>
      <w:r>
        <w:rPr>
          <w:i/>
          <w:iCs/>
        </w:rPr>
        <w:t>89</w:t>
      </w:r>
      <w:r>
        <w:rPr/>
        <w:t>, 104620.</w:t>
      </w:r>
      <w:bookmarkEnd w:id="51"/>
    </w:p>
    <w:p>
      <w:pPr>
        <w:pStyle w:val="Bibliography"/>
        <w:rPr/>
      </w:pPr>
      <w:bookmarkStart w:id="52" w:name="ref-hermann2025generative"/>
      <w:r>
        <w:rPr/>
        <w:t xml:space="preserve">Hermann, E., &amp; Puntoni, S. (2025). Generative AI in marketing and principles for ethical design and deployment. </w:t>
      </w:r>
      <w:r>
        <w:rPr>
          <w:i/>
          <w:iCs/>
        </w:rPr>
        <w:t>Journal of Public Policy &amp; Marketing</w:t>
      </w:r>
      <w:r>
        <w:rPr/>
        <w:t xml:space="preserve">, </w:t>
      </w:r>
      <w:r>
        <w:rPr>
          <w:i/>
          <w:iCs/>
        </w:rPr>
        <w:t>44</w:t>
      </w:r>
      <w:r>
        <w:rPr/>
        <w:t>(3), 332–349.</w:t>
      </w:r>
      <w:bookmarkEnd w:id="52"/>
    </w:p>
    <w:p>
      <w:pPr>
        <w:pStyle w:val="Bibliography"/>
        <w:rPr/>
      </w:pPr>
      <w:bookmarkStart w:id="53" w:name="ref-holtzman2019curious"/>
      <w:r>
        <w:rPr/>
        <w:t xml:space="preserve">Holtzman, A., Buys, J., Du, L., Forbes, M., &amp; Choi, Y. (2019). The curious case of neural text degeneration. </w:t>
      </w:r>
      <w:r>
        <w:rPr>
          <w:i/>
          <w:iCs/>
        </w:rPr>
        <w:t>arXiv preprint arXiv:1904.09751</w:t>
      </w:r>
      <w:r>
        <w:rPr/>
        <w:t>.</w:t>
      </w:r>
      <w:bookmarkEnd w:id="53"/>
    </w:p>
    <w:p>
      <w:pPr>
        <w:pStyle w:val="Bibliography"/>
        <w:rPr/>
      </w:pPr>
      <w:bookmarkStart w:id="54" w:name="ref-horton2023large"/>
      <w:r>
        <w:rPr/>
        <w:t xml:space="preserve">Horton, J. J., Filippas, A., &amp; Manning, B. S. (2023). </w:t>
      </w:r>
      <w:r>
        <w:rPr>
          <w:i/>
          <w:iCs/>
        </w:rPr>
        <w:t>Large language models as simulated economic agents: What can we learn from homo silicus?</w:t>
      </w:r>
      <w:r>
        <w:rPr/>
        <w:t xml:space="preserve"> National Bureau of Economic Research.</w:t>
      </w:r>
      <w:bookmarkEnd w:id="54"/>
    </w:p>
    <w:p>
      <w:pPr>
        <w:pStyle w:val="Bibliography"/>
        <w:rPr/>
      </w:pPr>
      <w:bookmarkStart w:id="55" w:name="ref-huang2021strategic"/>
      <w:r>
        <w:rPr/>
        <w:t xml:space="preserve">Huang, M.-H., &amp; Rust, R. T. (2021). A strategic framework for artificial intelligence in marketing. </w:t>
      </w:r>
      <w:r>
        <w:rPr>
          <w:i/>
          <w:iCs/>
        </w:rPr>
        <w:t>Journal of the academy of marketing science</w:t>
      </w:r>
      <w:r>
        <w:rPr/>
        <w:t xml:space="preserve">, </w:t>
      </w:r>
      <w:r>
        <w:rPr>
          <w:i/>
          <w:iCs/>
        </w:rPr>
        <w:t>49</w:t>
      </w:r>
      <w:r>
        <w:rPr/>
        <w:t>(1), 30–50.</w:t>
      </w:r>
      <w:bookmarkEnd w:id="55"/>
    </w:p>
    <w:p>
      <w:pPr>
        <w:pStyle w:val="Bibliography"/>
        <w:rPr/>
      </w:pPr>
      <w:bookmarkStart w:id="56" w:name="ref-inman1990promotion"/>
      <w:r>
        <w:rPr/>
        <w:t xml:space="preserve">Inman, J. J., McAlister, L., &amp; Hoyer, W. D. (1990). Promotion signal: Proxy for a price cut? </w:t>
      </w:r>
      <w:r>
        <w:rPr>
          <w:i/>
          <w:iCs/>
        </w:rPr>
        <w:t>Journal of consumer research</w:t>
      </w:r>
      <w:r>
        <w:rPr/>
        <w:t>, 74–81.</w:t>
      </w:r>
      <w:bookmarkEnd w:id="56"/>
    </w:p>
    <w:p>
      <w:pPr>
        <w:pStyle w:val="Bibliography"/>
        <w:rPr/>
      </w:pPr>
      <w:bookmarkStart w:id="57" w:name="ref-joerling2025integrating"/>
      <w:r>
        <w:rPr/>
        <w:t xml:space="preserve">Joerling, M. (2025). Integrating GenAI interactions in marketing studies: A methodological guide. </w:t>
      </w:r>
      <w:r>
        <w:rPr>
          <w:i/>
          <w:iCs/>
        </w:rPr>
        <w:t>International journal of research in marketing</w:t>
      </w:r>
      <w:r>
        <w:rPr/>
        <w:t>.</w:t>
      </w:r>
      <w:bookmarkEnd w:id="57"/>
    </w:p>
    <w:p>
      <w:pPr>
        <w:pStyle w:val="Bibliography"/>
        <w:rPr/>
      </w:pPr>
      <w:bookmarkStart w:id="58" w:name="ref-johnson1989monitoring"/>
      <w:r>
        <w:rPr/>
        <w:t xml:space="preserve">Johnson, E. J., Payne, J. W., Bettman, J. R., &amp; Schkade, D. A. (1989). </w:t>
      </w:r>
      <w:r>
        <w:rPr>
          <w:i/>
          <w:iCs/>
        </w:rPr>
        <w:t>Monitoring information processing and decisions: The mouselab system</w:t>
      </w:r>
      <w:r>
        <w:rPr/>
        <w:t>.</w:t>
      </w:r>
      <w:bookmarkEnd w:id="58"/>
    </w:p>
    <w:p>
      <w:pPr>
        <w:pStyle w:val="Bibliography"/>
        <w:rPr/>
      </w:pPr>
      <w:bookmarkStart w:id="59" w:name="ref-johnson2008process"/>
      <w:r>
        <w:rPr/>
        <w:t>Johnson, E. J., Schulte-Mecklenbeck, M., &amp; Willemsen, M. C. (2008). Process models deserve process data: Comment on brandstätter, gigerenzer, and hertwig (2006).</w:t>
      </w:r>
      <w:bookmarkEnd w:id="59"/>
    </w:p>
    <w:p>
      <w:pPr>
        <w:pStyle w:val="Bibliography"/>
        <w:rPr/>
      </w:pPr>
      <w:bookmarkStart w:id="60" w:name="ref-kahn2026shopping"/>
      <w:r>
        <w:rPr/>
        <w:t xml:space="preserve">Kahn, J. (2026, June 12). AI shopping agents are coming. No one is ready for them. Fortune. </w:t>
      </w:r>
      <w:hyperlink r:id="rId6">
        <w:r>
          <w:rPr>
            <w:rStyle w:val="Hyperlink"/>
          </w:rPr>
          <w:t>https://fortune.com/2026/06/12/ai-shopping-agents-are-coming-no-one-is-ready-for-them/</w:t>
        </w:r>
      </w:hyperlink>
      <w:bookmarkEnd w:id="60"/>
    </w:p>
    <w:p>
      <w:pPr>
        <w:pStyle w:val="Bibliography"/>
        <w:rPr/>
      </w:pPr>
      <w:bookmarkStart w:id="61" w:name="ref-Kahneman2003MapsOB"/>
      <w:r>
        <w:rPr/>
        <w:t xml:space="preserve">Kahneman, D. (2003). Maps of bounded rationality: Psychology for behavioral economics. </w:t>
      </w:r>
      <w:r>
        <w:rPr>
          <w:i/>
          <w:iCs/>
        </w:rPr>
        <w:t>The American Economic Review</w:t>
      </w:r>
      <w:r>
        <w:rPr/>
        <w:t xml:space="preserve">, </w:t>
      </w:r>
      <w:r>
        <w:rPr>
          <w:i/>
          <w:iCs/>
        </w:rPr>
        <w:t>93</w:t>
      </w:r>
      <w:r>
        <w:rPr/>
        <w:t xml:space="preserve">, 1449–1475. </w:t>
      </w:r>
      <w:hyperlink r:id="rId7">
        <w:r>
          <w:rPr>
            <w:rStyle w:val="Hyperlink"/>
          </w:rPr>
          <w:t>https://api.semanticscholar.org/CorpusID:15131441</w:t>
        </w:r>
      </w:hyperlink>
      <w:bookmarkEnd w:id="61"/>
    </w:p>
    <w:p>
      <w:pPr>
        <w:pStyle w:val="Bibliography"/>
        <w:rPr/>
      </w:pPr>
      <w:bookmarkStart w:id="62" w:name="ref-kim2023decisions"/>
      <w:r>
        <w:rPr/>
        <w:t xml:space="preserve">Kim, J., Kim, J. H., Kim, C., &amp; Park, J. (2023). Decisions with ChatGPT: Reexamining choice overload in ChatGPT recommendations. </w:t>
      </w:r>
      <w:r>
        <w:rPr>
          <w:i/>
          <w:iCs/>
        </w:rPr>
        <w:t>Journal of Retailing and Consumer Services</w:t>
      </w:r>
      <w:r>
        <w:rPr/>
        <w:t xml:space="preserve">, </w:t>
      </w:r>
      <w:r>
        <w:rPr>
          <w:i/>
          <w:iCs/>
        </w:rPr>
        <w:t>75</w:t>
      </w:r>
      <w:r>
        <w:rPr/>
        <w:t>, 103494.</w:t>
      </w:r>
      <w:bookmarkEnd w:id="62"/>
    </w:p>
    <w:p>
      <w:pPr>
        <w:pStyle w:val="Bibliography"/>
        <w:rPr/>
      </w:pPr>
      <w:bookmarkStart w:id="63" w:name="ref-kleingeld2011effect"/>
      <w:r>
        <w:rPr/>
        <w:t xml:space="preserve">Kleingeld, A., Van Mierlo, H., &amp; Arends, L. (2011). The effect of goal setting on group performance: A meta-analysis. </w:t>
      </w:r>
      <w:r>
        <w:rPr>
          <w:i/>
          <w:iCs/>
        </w:rPr>
        <w:t>Journal of applied psychology</w:t>
      </w:r>
      <w:r>
        <w:rPr/>
        <w:t xml:space="preserve">, </w:t>
      </w:r>
      <w:r>
        <w:rPr>
          <w:i/>
          <w:iCs/>
        </w:rPr>
        <w:t>96</w:t>
      </w:r>
      <w:r>
        <w:rPr/>
        <w:t>(6), 1289.</w:t>
      </w:r>
      <w:bookmarkEnd w:id="63"/>
    </w:p>
    <w:p>
      <w:pPr>
        <w:pStyle w:val="Bibliography"/>
        <w:rPr/>
      </w:pPr>
      <w:bookmarkStart w:id="64" w:name="ref-knipper2025bias"/>
      <w:r>
        <w:rPr/>
        <w:t xml:space="preserve">Knipper, R. A., Knipper, C. S., Zhang, K., Sims, V., Bowers, C., &amp; Karmaker, S. (2025). The bias is in the details: An assessment of cognitive bias in llms. </w:t>
      </w:r>
      <w:r>
        <w:rPr>
          <w:i/>
          <w:iCs/>
        </w:rPr>
        <w:t>arXiv preprint arXiv:2509.22856</w:t>
      </w:r>
      <w:r>
        <w:rPr/>
        <w:t>.</w:t>
      </w:r>
      <w:bookmarkEnd w:id="64"/>
    </w:p>
    <w:p>
      <w:pPr>
        <w:pStyle w:val="Bibliography"/>
        <w:rPr/>
      </w:pPr>
      <w:bookmarkStart w:id="65" w:name="ref-kraft2026market"/>
      <w:r>
        <w:rPr/>
        <w:t xml:space="preserve">Kraft, A., &amp; Rao, R. S. (2026). Market effects of inattention: Theory and evidence from left-digit bias. </w:t>
      </w:r>
      <w:r>
        <w:rPr>
          <w:i/>
          <w:iCs/>
        </w:rPr>
        <w:t>Journal of Marketing Research</w:t>
      </w:r>
      <w:r>
        <w:rPr/>
        <w:t>, 00222437261427475.</w:t>
      </w:r>
      <w:bookmarkEnd w:id="65"/>
    </w:p>
    <w:p>
      <w:pPr>
        <w:pStyle w:val="Bibliography"/>
        <w:rPr/>
      </w:pPr>
      <w:bookmarkStart w:id="66" w:name="ref-kumar2026transformative"/>
      <w:r>
        <w:rPr/>
        <w:t xml:space="preserve">Kumar, V., Kotler, P., &amp; Kumar, A. (2026). Transformative marketing strategies in the era of new-age technologies: Principles, plan, purpose, and practice. </w:t>
      </w:r>
      <w:r>
        <w:rPr>
          <w:i/>
          <w:iCs/>
        </w:rPr>
        <w:t>Journal of the Academy of Marketing Science</w:t>
      </w:r>
      <w:r>
        <w:rPr/>
        <w:t xml:space="preserve">, </w:t>
      </w:r>
      <w:r>
        <w:rPr>
          <w:i/>
          <w:iCs/>
        </w:rPr>
        <w:t>54</w:t>
      </w:r>
      <w:r>
        <w:rPr/>
        <w:t>(1), 1–27.</w:t>
      </w:r>
      <w:bookmarkEnd w:id="66"/>
    </w:p>
    <w:p>
      <w:pPr>
        <w:pStyle w:val="Bibliography"/>
        <w:rPr/>
      </w:pPr>
      <w:bookmarkStart w:id="67" w:name="ref-lacetera2012heuristic"/>
      <w:r>
        <w:rPr/>
        <w:t xml:space="preserve">Lacetera, N., Pope, D. G., &amp; Sydnor, J. R. (2012). Heuristic thinking and limited attention in the car market. </w:t>
      </w:r>
      <w:r>
        <w:rPr>
          <w:i/>
          <w:iCs/>
        </w:rPr>
        <w:t>American Economic Review</w:t>
      </w:r>
      <w:r>
        <w:rPr/>
        <w:t xml:space="preserve">, </w:t>
      </w:r>
      <w:r>
        <w:rPr>
          <w:i/>
          <w:iCs/>
        </w:rPr>
        <w:t>102</w:t>
      </w:r>
      <w:r>
        <w:rPr/>
        <w:t>(5), 2206–2236.</w:t>
      </w:r>
      <w:bookmarkEnd w:id="67"/>
    </w:p>
    <w:p>
      <w:pPr>
        <w:pStyle w:val="Bibliography"/>
        <w:rPr/>
      </w:pPr>
      <w:bookmarkStart w:id="68" w:name="ref-latham2023motivate"/>
      <w:r>
        <w:rPr/>
        <w:t xml:space="preserve">Latham, G. P. (2023). Motivate employee performance through goal setting. </w:t>
      </w:r>
      <w:r>
        <w:rPr>
          <w:i/>
          <w:iCs/>
        </w:rPr>
        <w:t>Principles of organizational behavior: the handbook of evidence-based management 3rd Edition</w:t>
      </w:r>
      <w:r>
        <w:rPr/>
        <w:t>, 83–111.</w:t>
      </w:r>
      <w:bookmarkEnd w:id="68"/>
    </w:p>
    <w:p>
      <w:pPr>
        <w:pStyle w:val="Bibliography"/>
        <w:rPr/>
      </w:pPr>
      <w:bookmarkStart w:id="69" w:name="ref-lee2026semantic"/>
      <w:r>
        <w:rPr/>
        <w:t xml:space="preserve">Lee, W.-C., Lee, J.-S., &amp; Suh, J. (2026). Semantic divergence in AI-generated and human influencer product recommendations: A computational analysis of dual-agent communication in social commerce. </w:t>
      </w:r>
      <w:r>
        <w:rPr>
          <w:i/>
          <w:iCs/>
        </w:rPr>
        <w:t>Applied Sciences</w:t>
      </w:r>
      <w:r>
        <w:rPr/>
        <w:t xml:space="preserve">, </w:t>
      </w:r>
      <w:r>
        <w:rPr>
          <w:i/>
          <w:iCs/>
        </w:rPr>
        <w:t>16</w:t>
      </w:r>
      <w:r>
        <w:rPr/>
        <w:t>(6), 2816.</w:t>
      </w:r>
      <w:bookmarkEnd w:id="69"/>
    </w:p>
    <w:p>
      <w:pPr>
        <w:pStyle w:val="Bibliography"/>
        <w:rPr/>
      </w:pPr>
      <w:bookmarkStart w:id="70" w:name="ref-li2025consumer"/>
      <w:r>
        <w:rPr/>
        <w:t xml:space="preserve">Li, Y., Liu, Y., &amp; Yu, M. (2025). Consumer segmentation with large language models. </w:t>
      </w:r>
      <w:r>
        <w:rPr>
          <w:i/>
          <w:iCs/>
        </w:rPr>
        <w:t>Journal of Retailing and Consumer Services</w:t>
      </w:r>
      <w:r>
        <w:rPr/>
        <w:t xml:space="preserve">, </w:t>
      </w:r>
      <w:r>
        <w:rPr>
          <w:i/>
          <w:iCs/>
        </w:rPr>
        <w:t>82</w:t>
      </w:r>
      <w:r>
        <w:rPr/>
        <w:t>, 104078.</w:t>
      </w:r>
      <w:bookmarkEnd w:id="70"/>
    </w:p>
    <w:p>
      <w:pPr>
        <w:pStyle w:val="Bibliography"/>
        <w:rPr/>
      </w:pPr>
      <w:bookmarkStart w:id="71" w:name="ref-liu2024lost"/>
      <w:r>
        <w:rPr/>
        <w:t xml:space="preserve">Liu, N. F., Lin, K., Hewitt, J., Paranjape, A., Bevilacqua, M., Petroni, F., &amp; Liang, P. (2024). Lost in the middle: How language models use long contexts. </w:t>
      </w:r>
      <w:r>
        <w:rPr>
          <w:i/>
          <w:iCs/>
        </w:rPr>
        <w:t>Transactions of the association for computational linguistics</w:t>
      </w:r>
      <w:r>
        <w:rPr/>
        <w:t xml:space="preserve">, </w:t>
      </w:r>
      <w:r>
        <w:rPr>
          <w:i/>
          <w:iCs/>
        </w:rPr>
        <w:t>12</w:t>
      </w:r>
      <w:r>
        <w:rPr/>
        <w:t>, 157–173.</w:t>
      </w:r>
      <w:bookmarkEnd w:id="71"/>
    </w:p>
    <w:p>
      <w:pPr>
        <w:pStyle w:val="Bibliography"/>
        <w:rPr/>
      </w:pPr>
      <w:bookmarkStart w:id="72" w:name="ref-Liu2026WhoDT"/>
      <w:r>
        <w:rPr/>
        <w:t xml:space="preserve">Liu, X., &amp; Chen, X. (2026). Who decides: The consumer or the retailer? An LLM-assisted bayesian framework for modeling purchase decisions with retailer influence. </w:t>
      </w:r>
      <w:r>
        <w:rPr>
          <w:i/>
          <w:iCs/>
        </w:rPr>
        <w:t>Journal of Retailing and Consumer Services</w:t>
      </w:r>
      <w:r>
        <w:rPr/>
        <w:t xml:space="preserve">. </w:t>
      </w:r>
      <w:hyperlink r:id="rId8">
        <w:r>
          <w:rPr>
            <w:rStyle w:val="Hyperlink"/>
          </w:rPr>
          <w:t>https://api.semanticscholar.org/CorpusID:283443221</w:t>
        </w:r>
      </w:hyperlink>
      <w:bookmarkEnd w:id="72"/>
    </w:p>
    <w:p>
      <w:pPr>
        <w:pStyle w:val="Bibliography"/>
        <w:rPr/>
      </w:pPr>
      <w:bookmarkStart w:id="73" w:name="ref-locke2002building"/>
      <w:r>
        <w:rPr/>
        <w:t xml:space="preserve">Locke, E. A., &amp; Latham, G. P. (2002). Building a practically useful theory of goal setting and task motivation: A 35-year odyssey. </w:t>
      </w:r>
      <w:r>
        <w:rPr>
          <w:i/>
          <w:iCs/>
        </w:rPr>
        <w:t>American psychologist</w:t>
      </w:r>
      <w:r>
        <w:rPr/>
        <w:t xml:space="preserve">, </w:t>
      </w:r>
      <w:r>
        <w:rPr>
          <w:i/>
          <w:iCs/>
        </w:rPr>
        <w:t>57</w:t>
      </w:r>
      <w:r>
        <w:rPr/>
        <w:t>(9), 705.</w:t>
      </w:r>
      <w:bookmarkEnd w:id="73"/>
    </w:p>
    <w:p>
      <w:pPr>
        <w:pStyle w:val="Bibliography"/>
        <w:rPr/>
      </w:pPr>
      <w:bookmarkStart w:id="74" w:name="ref-malberg2025comprehensive"/>
      <w:r>
        <w:rPr/>
        <w:t xml:space="preserve">Malberg, S., Poletukhin, R., Schuster, C. M., &amp; Groh, G. (2025). A comprehensive evaluation of cognitive biases in llms. In </w:t>
      </w:r>
      <w:r>
        <w:rPr>
          <w:i/>
          <w:iCs/>
        </w:rPr>
        <w:t>Proceedings of the 5th international conference on natural language processing for digital humanities</w:t>
      </w:r>
      <w:r>
        <w:rPr/>
        <w:t xml:space="preserve"> (pp. 578–613).</w:t>
      </w:r>
      <w:bookmarkEnd w:id="74"/>
    </w:p>
    <w:p>
      <w:pPr>
        <w:pStyle w:val="Bibliography"/>
        <w:rPr/>
      </w:pPr>
      <w:bookmarkStart w:id="75" w:name="ref-mcfadden1972conditional"/>
      <w:r>
        <w:rPr/>
        <w:t>McFadden, D. (1972). Conditional logit analysis of qualitative choice behavior.</w:t>
      </w:r>
      <w:bookmarkEnd w:id="75"/>
    </w:p>
    <w:p>
      <w:pPr>
        <w:pStyle w:val="Bibliography"/>
        <w:rPr/>
      </w:pPr>
      <w:bookmarkStart w:id="76" w:name="ref-meta2026muse"/>
      <w:r>
        <w:rPr/>
        <w:t xml:space="preserve">Meta. (2026, September 8). Introducing Muse: The world’s first personal AI agent built for everyone. Meta Newsroom. </w:t>
      </w:r>
      <w:hyperlink r:id="rId9">
        <w:r>
          <w:rPr>
            <w:rStyle w:val="Hyperlink"/>
          </w:rPr>
          <w:t>https://about.fb.com/news/2026/09/introducing-muse-personal-ai-agent/</w:t>
        </w:r>
      </w:hyperlink>
      <w:bookmarkEnd w:id="76"/>
    </w:p>
    <w:p>
      <w:pPr>
        <w:pStyle w:val="Bibliography"/>
        <w:rPr/>
      </w:pPr>
      <w:bookmarkStart w:id="77" w:name="ref-miyazaki2000unit"/>
      <w:r>
        <w:rPr/>
        <w:t xml:space="preserve">Miyazaki, A. D., Sprott, D. E., &amp; Manning, K. C. (2000). Unit prices on retail shelf labels: An assessment of information prominence. </w:t>
      </w:r>
      <w:r>
        <w:rPr>
          <w:i/>
          <w:iCs/>
        </w:rPr>
        <w:t>Journal of retailing</w:t>
      </w:r>
      <w:r>
        <w:rPr/>
        <w:t xml:space="preserve">, </w:t>
      </w:r>
      <w:r>
        <w:rPr>
          <w:i/>
          <w:iCs/>
        </w:rPr>
        <w:t>76</w:t>
      </w:r>
      <w:r>
        <w:rPr/>
        <w:t>(1), 93–112.</w:t>
      </w:r>
      <w:bookmarkEnd w:id="77"/>
    </w:p>
    <w:p>
      <w:pPr>
        <w:pStyle w:val="Bibliography"/>
        <w:rPr/>
      </w:pPr>
      <w:bookmarkStart w:id="78" w:name="ref-morganstanley2025agentic"/>
      <w:r>
        <w:rPr/>
        <w:t xml:space="preserve">Morgan Stanley. (2025, December). Agentic commerce impact could reach $385 billion by 2030. Morgan Stanley Insights. </w:t>
      </w:r>
      <w:hyperlink r:id="rId10">
        <w:r>
          <w:rPr>
            <w:rStyle w:val="Hyperlink"/>
          </w:rPr>
          <w:t>https://www.morganstanley.com/insights/articles/agentic-commerce-market-impact-outlook</w:t>
        </w:r>
      </w:hyperlink>
      <w:bookmarkEnd w:id="78"/>
    </w:p>
    <w:p>
      <w:pPr>
        <w:pStyle w:val="Bibliography"/>
        <w:rPr/>
      </w:pPr>
      <w:bookmarkStart w:id="79" w:name="ref-pandey2025generating"/>
      <w:r>
        <w:rPr/>
        <w:t xml:space="preserve">Pandey, P., &amp; Singh, J. P. (2025). Generating product reviews from aspect-based ratings using large language models. </w:t>
      </w:r>
      <w:r>
        <w:rPr>
          <w:i/>
          <w:iCs/>
        </w:rPr>
        <w:t>Journal of Retailing and Consumer Services</w:t>
      </w:r>
      <w:r>
        <w:rPr/>
        <w:t xml:space="preserve">, </w:t>
      </w:r>
      <w:r>
        <w:rPr>
          <w:i/>
          <w:iCs/>
        </w:rPr>
        <w:t>84</w:t>
      </w:r>
      <w:r>
        <w:rPr/>
        <w:t>, 104244.</w:t>
      </w:r>
      <w:bookmarkEnd w:id="79"/>
    </w:p>
    <w:p>
      <w:pPr>
        <w:pStyle w:val="Bibliography"/>
        <w:rPr/>
      </w:pPr>
      <w:bookmarkStart w:id="80" w:name="ref-adobe2025genai"/>
      <w:r>
        <w:rPr/>
        <w:t xml:space="preserve">Pandya, V. (2025, August 21). Generative AI-powered shopping rises with traffic to U.S. Retail sites up 4,700%. Adobe Blog. </w:t>
      </w:r>
      <w:hyperlink r:id="rId11">
        <w:r>
          <w:rPr>
            <w:rStyle w:val="Hyperlink"/>
          </w:rPr>
          <w:t>https://business.adobe.com/blog/generative-ai-powered-shopping-rises-with-traffic-to-retail-sites</w:t>
        </w:r>
      </w:hyperlink>
      <w:bookmarkEnd w:id="80"/>
    </w:p>
    <w:p>
      <w:pPr>
        <w:pStyle w:val="Bibliography"/>
        <w:rPr/>
      </w:pPr>
      <w:bookmarkStart w:id="81" w:name="ref-payne1993adaptive"/>
      <w:r>
        <w:rPr/>
        <w:t xml:space="preserve">Payne, J. W., Bettman, J. R., &amp; Johnson, E. J. (1993). </w:t>
      </w:r>
      <w:r>
        <w:rPr>
          <w:i/>
          <w:iCs/>
        </w:rPr>
        <w:t>The adaptive decision maker</w:t>
      </w:r>
      <w:r>
        <w:rPr/>
        <w:t>. Cambridge university press.</w:t>
      </w:r>
      <w:bookmarkEnd w:id="81"/>
    </w:p>
    <w:p>
      <w:pPr>
        <w:pStyle w:val="Bibliography"/>
        <w:rPr/>
      </w:pPr>
      <w:bookmarkStart w:id="82" w:name="ref-pescher2026decision"/>
      <w:r>
        <w:rPr/>
        <w:t xml:space="preserve">Pescher, A. (2026). Decision gatekeepers: How hedonic vs. Utilitarian products shape differential persuasion effects in LLM-mediated recommendations. </w:t>
      </w:r>
      <w:r>
        <w:rPr>
          <w:i/>
          <w:iCs/>
        </w:rPr>
        <w:t>Journal of Decision Systems</w:t>
      </w:r>
      <w:r>
        <w:rPr/>
        <w:t xml:space="preserve">, </w:t>
      </w:r>
      <w:r>
        <w:rPr>
          <w:i/>
          <w:iCs/>
        </w:rPr>
        <w:t>35</w:t>
      </w:r>
      <w:r>
        <w:rPr/>
        <w:t>(1), 2649245.</w:t>
      </w:r>
      <w:bookmarkEnd w:id="82"/>
    </w:p>
    <w:p>
      <w:pPr>
        <w:pStyle w:val="Bibliography"/>
        <w:rPr/>
      </w:pPr>
      <w:bookmarkStart w:id="83" w:name="ref-pezeshkpour2024large"/>
      <w:r>
        <w:rPr/>
        <w:t xml:space="preserve">Pezeshkpour, P., &amp; Hruschka, E. (2024). Large language models sensitivity to the order of options in multiple-choice questions. In </w:t>
      </w:r>
      <w:r>
        <w:rPr>
          <w:i/>
          <w:iCs/>
        </w:rPr>
        <w:t>Findings of the association for computational linguistics: NAACL 2024</w:t>
      </w:r>
      <w:r>
        <w:rPr/>
        <w:t xml:space="preserve"> (pp. 2006–2017).</w:t>
      </w:r>
      <w:bookmarkEnd w:id="83"/>
    </w:p>
    <w:p>
      <w:pPr>
        <w:pStyle w:val="Bibliography"/>
        <w:rPr/>
      </w:pPr>
      <w:bookmarkStart w:id="84" w:name="ref-prasanna2025generative"/>
      <w:r>
        <w:rPr/>
        <w:t xml:space="preserve">Prasanna, A., &amp; Kushwaha, B. P. (2025). Generative AI in marketing: Foundations, trends, and future research propositions. </w:t>
      </w:r>
      <w:r>
        <w:rPr>
          <w:i/>
          <w:iCs/>
        </w:rPr>
        <w:t>Human Behavior and Emerging Technologies</w:t>
      </w:r>
      <w:r>
        <w:rPr/>
        <w:t xml:space="preserve">, </w:t>
      </w:r>
      <w:r>
        <w:rPr>
          <w:i/>
          <w:iCs/>
        </w:rPr>
        <w:t>2025</w:t>
      </w:r>
      <w:r>
        <w:rPr/>
        <w:t>(1), 5542513.</w:t>
      </w:r>
      <w:bookmarkEnd w:id="84"/>
    </w:p>
    <w:p>
      <w:pPr>
        <w:pStyle w:val="Bibliography"/>
        <w:rPr/>
      </w:pPr>
      <w:bookmarkStart w:id="85" w:name="ref-puntoni2024being"/>
      <w:r>
        <w:rPr/>
        <w:t xml:space="preserve">Puntoni, S., &amp; Wertenbroch, K. (2024). Being human in the age of AI. </w:t>
      </w:r>
      <w:r>
        <w:rPr>
          <w:i/>
          <w:iCs/>
        </w:rPr>
        <w:t>Journal of the Association for Consumer Research</w:t>
      </w:r>
      <w:r>
        <w:rPr/>
        <w:t xml:space="preserve">, </w:t>
      </w:r>
      <w:r>
        <w:rPr>
          <w:i/>
          <w:iCs/>
        </w:rPr>
        <w:t>9</w:t>
      </w:r>
      <w:r>
        <w:rPr/>
        <w:t>(3), 235–240.</w:t>
      </w:r>
      <w:bookmarkEnd w:id="85"/>
    </w:p>
    <w:p>
      <w:pPr>
        <w:pStyle w:val="Bibliography"/>
        <w:rPr/>
      </w:pPr>
      <w:bookmarkStart w:id="86" w:name="ref-reisenbichler2026applying"/>
      <w:r>
        <w:rPr/>
        <w:t xml:space="preserve">Reisenbichler, M., Reutterer, T., &amp; Schweidel, D. A. (2026). Applying large language models to sponsored search advertising. </w:t>
      </w:r>
      <w:r>
        <w:rPr>
          <w:i/>
          <w:iCs/>
        </w:rPr>
        <w:t>Marketing Science</w:t>
      </w:r>
      <w:r>
        <w:rPr/>
        <w:t xml:space="preserve">, </w:t>
      </w:r>
      <w:r>
        <w:rPr>
          <w:i/>
          <w:iCs/>
        </w:rPr>
        <w:t>45</w:t>
      </w:r>
      <w:r>
        <w:rPr/>
        <w:t>(1), 123–141.</w:t>
      </w:r>
      <w:bookmarkEnd w:id="86"/>
    </w:p>
    <w:p>
      <w:pPr>
        <w:pStyle w:val="Bibliography"/>
        <w:rPr/>
      </w:pPr>
      <w:bookmarkStart w:id="87" w:name="ref-riandhi2025ai"/>
      <w:r>
        <w:rPr/>
        <w:t xml:space="preserve">Riandhi, A. N., Arviansyah, M. R., &amp; Sondari, M. C. (2025). AI and consumer behavior: Trends, technologies, and future directions from a scopus-based systematic review. </w:t>
      </w:r>
      <w:r>
        <w:rPr>
          <w:i/>
          <w:iCs/>
        </w:rPr>
        <w:t>Cogent Business &amp; Management</w:t>
      </w:r>
      <w:r>
        <w:rPr/>
        <w:t xml:space="preserve">, </w:t>
      </w:r>
      <w:r>
        <w:rPr>
          <w:i/>
          <w:iCs/>
        </w:rPr>
        <w:t>12</w:t>
      </w:r>
      <w:r>
        <w:rPr/>
        <w:t>(1), 2544984.</w:t>
      </w:r>
      <w:bookmarkEnd w:id="87"/>
    </w:p>
    <w:p>
      <w:pPr>
        <w:pStyle w:val="Bibliography"/>
        <w:rPr/>
      </w:pPr>
      <w:bookmarkStart w:id="88" w:name="ref-robert1999monte"/>
      <w:r>
        <w:rPr/>
        <w:t xml:space="preserve">Robert, C. P., Casella, G., &amp; Casella, G. (1999). </w:t>
      </w:r>
      <w:r>
        <w:rPr>
          <w:i/>
          <w:iCs/>
        </w:rPr>
        <w:t>Monte carlo statistical methods</w:t>
      </w:r>
      <w:r>
        <w:rPr/>
        <w:t xml:space="preserve"> (Vol. 2). Springer.</w:t>
      </w:r>
      <w:bookmarkEnd w:id="88"/>
    </w:p>
    <w:p>
      <w:pPr>
        <w:pStyle w:val="Bibliography"/>
        <w:rPr/>
      </w:pPr>
      <w:bookmarkStart w:id="89" w:name="ref-russell2010artificial"/>
      <w:r>
        <w:rPr/>
        <w:t xml:space="preserve">Russell, S. J. (2010). </w:t>
      </w:r>
      <w:r>
        <w:rPr>
          <w:i/>
          <w:iCs/>
        </w:rPr>
        <w:t>Artificial intelligence a modern approach</w:t>
      </w:r>
      <w:r>
        <w:rPr/>
        <w:t>. Pearson Education, Inc.</w:t>
      </w:r>
      <w:bookmarkEnd w:id="89"/>
    </w:p>
    <w:p>
      <w:pPr>
        <w:pStyle w:val="Bibliography"/>
        <w:rPr/>
      </w:pPr>
      <w:bookmarkStart w:id="90" w:name="ref-russo1977value"/>
      <w:r>
        <w:rPr/>
        <w:t xml:space="preserve">Russo, J. E. (1977). The value of unit price information. </w:t>
      </w:r>
      <w:r>
        <w:rPr>
          <w:i/>
          <w:iCs/>
        </w:rPr>
        <w:t>Journal of Marketing Research</w:t>
      </w:r>
      <w:r>
        <w:rPr/>
        <w:t xml:space="preserve">, </w:t>
      </w:r>
      <w:r>
        <w:rPr>
          <w:i/>
          <w:iCs/>
        </w:rPr>
        <w:t>14</w:t>
      </w:r>
      <w:r>
        <w:rPr/>
        <w:t>(2), 193–201.</w:t>
      </w:r>
      <w:bookmarkEnd w:id="90"/>
    </w:p>
    <w:p>
      <w:pPr>
        <w:pStyle w:val="Bibliography"/>
        <w:rPr/>
      </w:pPr>
      <w:bookmarkStart w:id="91" w:name="ref-sarstedt2024using"/>
      <w:r>
        <w:rPr/>
        <w:t xml:space="preserve">Sarstedt, M., Adler, S. J., Rau, L., &amp; Schmitt, B. (2024). Using large language models to generate silicon samples in consumer and marketing research: Challenges, opportunities, and guidelines. </w:t>
      </w:r>
      <w:r>
        <w:rPr>
          <w:i/>
          <w:iCs/>
        </w:rPr>
        <w:t>Psychology &amp; Marketing</w:t>
      </w:r>
      <w:r>
        <w:rPr/>
        <w:t xml:space="preserve">, </w:t>
      </w:r>
      <w:r>
        <w:rPr>
          <w:i/>
          <w:iCs/>
        </w:rPr>
        <w:t>41</w:t>
      </w:r>
      <w:r>
        <w:rPr/>
        <w:t>(6), 1254–1270.</w:t>
      </w:r>
      <w:bookmarkEnd w:id="91"/>
    </w:p>
    <w:p>
      <w:pPr>
        <w:pStyle w:val="Bibliography"/>
        <w:rPr/>
      </w:pPr>
      <w:bookmarkStart w:id="92" w:name="ref-sataua2026meta"/>
      <w:r>
        <w:rPr/>
        <w:t xml:space="preserve">Sataua, T. (2026, September 11). Meta built an AI that can shop for you. The problem is that most people don’t want AI spending their money. Fortune. </w:t>
      </w:r>
      <w:hyperlink r:id="rId12">
        <w:r>
          <w:rPr>
            <w:rStyle w:val="Hyperlink"/>
          </w:rPr>
          <w:t>https://fortune.com/2026/09/11/meta-muse-ai-shopping-agent-consumer-trust/</w:t>
        </w:r>
      </w:hyperlink>
      <w:bookmarkEnd w:id="92"/>
    </w:p>
    <w:p>
      <w:pPr>
        <w:pStyle w:val="Bibliography"/>
        <w:rPr/>
      </w:pPr>
      <w:bookmarkStart w:id="93" w:name="ref-schick2023toolformer"/>
      <w:r>
        <w:rPr/>
        <w:t xml:space="preserve">Schick, T., Dwivedi-Yu, J., Dessı̀, R., Raileanu, R., Lomeli, M., Hambro, E., et al. (2023). Toolformer: Language models can teach themselves to use tools. </w:t>
      </w:r>
      <w:r>
        <w:rPr>
          <w:i/>
          <w:iCs/>
        </w:rPr>
        <w:t>Advances in neural information processing systems</w:t>
      </w:r>
      <w:r>
        <w:rPr/>
        <w:t xml:space="preserve">, </w:t>
      </w:r>
      <w:r>
        <w:rPr>
          <w:i/>
          <w:iCs/>
        </w:rPr>
        <w:t>36</w:t>
      </w:r>
      <w:r>
        <w:rPr/>
        <w:t>, 68539–68551.</w:t>
      </w:r>
      <w:bookmarkEnd w:id="93"/>
    </w:p>
    <w:p>
      <w:pPr>
        <w:pStyle w:val="Bibliography"/>
        <w:rPr/>
      </w:pPr>
      <w:bookmarkStart w:id="94" w:name="ref-shah2008heuristics"/>
      <w:r>
        <w:rPr/>
        <w:t xml:space="preserve">Shah, A. K., &amp; Oppenheimer, D. M. (2008). Heuristics made easy: An effort-reduction framework. </w:t>
      </w:r>
      <w:r>
        <w:rPr>
          <w:i/>
          <w:iCs/>
        </w:rPr>
        <w:t>Psychological bulletin</w:t>
      </w:r>
      <w:r>
        <w:rPr/>
        <w:t xml:space="preserve">, </w:t>
      </w:r>
      <w:r>
        <w:rPr>
          <w:i/>
          <w:iCs/>
        </w:rPr>
        <w:t>134</w:t>
      </w:r>
      <w:r>
        <w:rPr/>
        <w:t>(2), 207.</w:t>
      </w:r>
      <w:bookmarkEnd w:id="94"/>
    </w:p>
    <w:p>
      <w:pPr>
        <w:pStyle w:val="Bibliography"/>
        <w:rPr/>
      </w:pPr>
      <w:bookmarkStart w:id="95" w:name="ref-shugan1980cost"/>
      <w:r>
        <w:rPr/>
        <w:t xml:space="preserve">Shugan, S. M. (1980). The cost of thinking. </w:t>
      </w:r>
      <w:r>
        <w:rPr>
          <w:i/>
          <w:iCs/>
        </w:rPr>
        <w:t>Journal of consumer Research</w:t>
      </w:r>
      <w:r>
        <w:rPr/>
        <w:t xml:space="preserve">, </w:t>
      </w:r>
      <w:r>
        <w:rPr>
          <w:i/>
          <w:iCs/>
        </w:rPr>
        <w:t>7</w:t>
      </w:r>
      <w:r>
        <w:rPr/>
        <w:t>(2), 99–111.</w:t>
      </w:r>
      <w:bookmarkEnd w:id="95"/>
    </w:p>
    <w:p>
      <w:pPr>
        <w:pStyle w:val="Bibliography"/>
        <w:rPr/>
      </w:pPr>
      <w:bookmarkStart w:id="96" w:name="ref-solomon1986missing"/>
      <w:r>
        <w:rPr/>
        <w:t xml:space="preserve">Solomon, M. R. (1986). The missing link: Surrogate consumers in the marketing chain. </w:t>
      </w:r>
      <w:r>
        <w:rPr>
          <w:i/>
          <w:iCs/>
        </w:rPr>
        <w:t>Journal of Marketing</w:t>
      </w:r>
      <w:r>
        <w:rPr/>
        <w:t xml:space="preserve">, </w:t>
      </w:r>
      <w:r>
        <w:rPr>
          <w:i/>
          <w:iCs/>
        </w:rPr>
        <w:t>50</w:t>
      </w:r>
      <w:r>
        <w:rPr/>
        <w:t>(4), 208–218.</w:t>
      </w:r>
      <w:bookmarkEnd w:id="96"/>
    </w:p>
    <w:p>
      <w:pPr>
        <w:pStyle w:val="Bibliography"/>
        <w:rPr/>
      </w:pPr>
      <w:bookmarkStart w:id="97" w:name="ref-srinivasan2026google"/>
      <w:r>
        <w:rPr/>
        <w:t xml:space="preserve">Srinivasan, V. (2026, January 11). New tech and tools for retailers to succeed in an agentic shopping era. Google Blog. </w:t>
      </w:r>
      <w:hyperlink r:id="rId13">
        <w:r>
          <w:rPr>
            <w:rStyle w:val="Hyperlink"/>
          </w:rPr>
          <w:t>https://blog.google/products/ads-commerce/agentic-commerce-ai-tools-protocol-retailers-platforms/</w:t>
        </w:r>
      </w:hyperlink>
      <w:bookmarkEnd w:id="97"/>
    </w:p>
    <w:p>
      <w:pPr>
        <w:pStyle w:val="Bibliography"/>
        <w:rPr/>
      </w:pPr>
      <w:bookmarkStart w:id="98" w:name="ref-stiving1997empirical"/>
      <w:r>
        <w:rPr/>
        <w:t xml:space="preserve">Stiving, M., &amp; Winer, R. S. (1997). An empirical analysis of price endings with scanner data. </w:t>
      </w:r>
      <w:r>
        <w:rPr>
          <w:i/>
          <w:iCs/>
        </w:rPr>
        <w:t>Journal of Consumer Research</w:t>
      </w:r>
      <w:r>
        <w:rPr/>
        <w:t xml:space="preserve">, </w:t>
      </w:r>
      <w:r>
        <w:rPr>
          <w:i/>
          <w:iCs/>
        </w:rPr>
        <w:t>24</w:t>
      </w:r>
      <w:r>
        <w:rPr/>
        <w:t>(1), 57–67.</w:t>
      </w:r>
      <w:bookmarkEnd w:id="98"/>
    </w:p>
    <w:p>
      <w:pPr>
        <w:pStyle w:val="Bibliography"/>
        <w:rPr/>
      </w:pPr>
      <w:bookmarkStart w:id="99" w:name="ref-thaler1985mental"/>
      <w:r>
        <w:rPr/>
        <w:t xml:space="preserve">Thaler, R. (1985). Mental accounting and consumer choice. </w:t>
      </w:r>
      <w:r>
        <w:rPr>
          <w:i/>
          <w:iCs/>
        </w:rPr>
        <w:t>Marketing science</w:t>
      </w:r>
      <w:r>
        <w:rPr/>
        <w:t xml:space="preserve">, </w:t>
      </w:r>
      <w:r>
        <w:rPr>
          <w:i/>
          <w:iCs/>
        </w:rPr>
        <w:t>4</w:t>
      </w:r>
      <w:r>
        <w:rPr/>
        <w:t>(3), 199–214.</w:t>
      </w:r>
      <w:bookmarkEnd w:id="99"/>
    </w:p>
    <w:p>
      <w:pPr>
        <w:pStyle w:val="Bibliography"/>
        <w:rPr/>
      </w:pPr>
      <w:bookmarkStart w:id="100" w:name="ref-thaler2000homoeconomicus"/>
      <w:r>
        <w:rPr/>
        <w:t xml:space="preserve">Thaler, R. H. (2000). From homo economicus to homo sapiens. </w:t>
      </w:r>
      <w:r>
        <w:rPr>
          <w:i/>
          <w:iCs/>
        </w:rPr>
        <w:t>Journal of Economic Perspectives</w:t>
      </w:r>
      <w:r>
        <w:rPr/>
        <w:t xml:space="preserve">, </w:t>
      </w:r>
      <w:r>
        <w:rPr>
          <w:i/>
          <w:iCs/>
        </w:rPr>
        <w:t>14</w:t>
      </w:r>
      <w:r>
        <w:rPr/>
        <w:t xml:space="preserve">(1), 133–141. </w:t>
      </w:r>
      <w:hyperlink r:id="rId14">
        <w:r>
          <w:rPr>
            <w:rStyle w:val="Hyperlink"/>
          </w:rPr>
          <w:t>https://doi.org/10.1257/jep.14.1.133</w:t>
        </w:r>
      </w:hyperlink>
      <w:bookmarkEnd w:id="100"/>
    </w:p>
    <w:p>
      <w:pPr>
        <w:pStyle w:val="Bibliography"/>
        <w:rPr/>
      </w:pPr>
      <w:bookmarkStart w:id="101" w:name="ref-thomas2005penny"/>
      <w:r>
        <w:rPr/>
        <w:t xml:space="preserve">Thomas, M., &amp; Morwitz, V. (2005). Penny wise and pound foolish: The left-digit effect in price cognition. </w:t>
      </w:r>
      <w:r>
        <w:rPr>
          <w:i/>
          <w:iCs/>
        </w:rPr>
        <w:t>Journal of consumer Research</w:t>
      </w:r>
      <w:r>
        <w:rPr/>
        <w:t xml:space="preserve">, </w:t>
      </w:r>
      <w:r>
        <w:rPr>
          <w:i/>
          <w:iCs/>
        </w:rPr>
        <w:t>32</w:t>
      </w:r>
      <w:r>
        <w:rPr/>
        <w:t>(1), 54–64.</w:t>
      </w:r>
      <w:bookmarkEnd w:id="101"/>
    </w:p>
    <w:p>
      <w:pPr>
        <w:pStyle w:val="Bibliography"/>
        <w:rPr/>
      </w:pPr>
      <w:bookmarkStart w:id="102" w:name="ref-train2009discrete"/>
      <w:r>
        <w:rPr/>
        <w:t xml:space="preserve">Train, K. E. (2009). </w:t>
      </w:r>
      <w:r>
        <w:rPr>
          <w:i/>
          <w:iCs/>
        </w:rPr>
        <w:t>Discrete choice methods with simulation</w:t>
      </w:r>
      <w:r>
        <w:rPr/>
        <w:t>. Cambridge university press.</w:t>
      </w:r>
      <w:bookmarkEnd w:id="102"/>
    </w:p>
    <w:p>
      <w:pPr>
        <w:pStyle w:val="Bibliography"/>
        <w:rPr/>
      </w:pPr>
      <w:bookmarkStart w:id="103" w:name="ref-vanderweele2015explanation"/>
      <w:r>
        <w:rPr/>
        <w:t xml:space="preserve">VanderWeele, T. (2015). </w:t>
      </w:r>
      <w:r>
        <w:rPr>
          <w:i/>
          <w:iCs/>
        </w:rPr>
        <w:t>Explanation in causal inference: Methods for mediation and interaction</w:t>
      </w:r>
      <w:r>
        <w:rPr/>
        <w:t>. Oxford University Press.</w:t>
      </w:r>
      <w:bookmarkEnd w:id="103"/>
    </w:p>
    <w:p>
      <w:pPr>
        <w:pStyle w:val="Bibliography"/>
        <w:rPr/>
      </w:pPr>
      <w:bookmarkStart w:id="104" w:name="ref-verdon2026retailers"/>
      <w:r>
        <w:rPr/>
        <w:t xml:space="preserve">Verdon, J. (2026, January 11). This is the year AI agents will reinvent how retailers do business. Forbes. </w:t>
      </w:r>
      <w:hyperlink r:id="rId15">
        <w:r>
          <w:rPr>
            <w:rStyle w:val="Hyperlink"/>
          </w:rPr>
          <w:t>https://www.forbes.com/sites/joanverdon/2026/01/11/this-is-the-year-ai-agents-will-reinvent-how-retailers-do-business/</w:t>
        </w:r>
      </w:hyperlink>
      <w:bookmarkEnd w:id="104"/>
    </w:p>
    <w:p>
      <w:pPr>
        <w:pStyle w:val="Bibliography"/>
        <w:rPr/>
      </w:pPr>
      <w:bookmarkStart w:id="105" w:name="ref-wadi2025monte"/>
      <w:r>
        <w:rPr/>
        <w:t xml:space="preserve">Wadi, D., &amp; Fredette, M. (2025). A monte-carlo sampling framework for reliable evaluation of large language models using behavioral analysis. </w:t>
      </w:r>
      <w:r>
        <w:rPr>
          <w:i/>
          <w:iCs/>
        </w:rPr>
        <w:t>Findings of the Association for Computational Linguistics: EMNLP 2025</w:t>
      </w:r>
      <w:r>
        <w:rPr/>
        <w:t>, 9414–9432.</w:t>
      </w:r>
      <w:bookmarkEnd w:id="105"/>
    </w:p>
    <w:p>
      <w:pPr>
        <w:pStyle w:val="Bibliography"/>
        <w:rPr/>
      </w:pPr>
      <w:bookmarkStart w:id="106" w:name="ref-wadi2026every"/>
      <w:r>
        <w:rPr/>
        <w:t xml:space="preserve">Wadi, D., Ghodrat, M., &amp; Philp, M. (2026). Every token counts: Exact likert-scale distributions for measuring LLM attitudes and biases. </w:t>
      </w:r>
      <w:r>
        <w:rPr>
          <w:i/>
          <w:iCs/>
        </w:rPr>
        <w:t>arXiv preprint arXiv:2608.10503</w:t>
      </w:r>
      <w:r>
        <w:rPr/>
        <w:t>.</w:t>
      </w:r>
      <w:bookmarkEnd w:id="106"/>
    </w:p>
    <w:p>
      <w:pPr>
        <w:pStyle w:val="Bibliography"/>
        <w:rPr/>
      </w:pPr>
      <w:bookmarkStart w:id="107" w:name="ref-wadi2026does"/>
      <w:r>
        <w:rPr/>
        <w:t xml:space="preserve">Wadi, D., &amp; Ma, Y. (2026b). Does rank still matter? Position bias when AI agents shop on our behalf. </w:t>
      </w:r>
      <w:r>
        <w:rPr>
          <w:i/>
          <w:iCs/>
        </w:rPr>
        <w:t>arXiv preprint arXiv:2608.22697</w:t>
      </w:r>
      <w:r>
        <w:rPr/>
        <w:t>.</w:t>
      </w:r>
      <w:bookmarkEnd w:id="107"/>
    </w:p>
    <w:p>
      <w:pPr>
        <w:pStyle w:val="Bibliography"/>
        <w:rPr/>
      </w:pPr>
      <w:bookmarkStart w:id="108" w:name="ref-wadi2026whom"/>
      <w:r>
        <w:rPr/>
        <w:t xml:space="preserve">Wadi, D., &amp; Ma, Y. (2026a). Whom do AI agents work for? Role assignment induces sponsorship bias in LLM recommenders. </w:t>
      </w:r>
      <w:r>
        <w:rPr>
          <w:i/>
          <w:iCs/>
        </w:rPr>
        <w:t>arXiv preprint arXiv:2609.17989</w:t>
      </w:r>
      <w:r>
        <w:rPr/>
        <w:t>.</w:t>
      </w:r>
      <w:bookmarkEnd w:id="108"/>
    </w:p>
    <w:p>
      <w:pPr>
        <w:pStyle w:val="Bibliography"/>
        <w:rPr/>
      </w:pPr>
      <w:bookmarkStart w:id="109" w:name="ref-wang2024survey"/>
      <w:r>
        <w:rPr/>
        <w:t xml:space="preserve">Wang, L., Ma, C., Feng, X., Zhang, Z., Yang, H., Zhang, J., et al. (2024). A survey on large language model based autonomous agents. </w:t>
      </w:r>
      <w:r>
        <w:rPr>
          <w:i/>
          <w:iCs/>
        </w:rPr>
        <w:t>Frontiers of Computer Science</w:t>
      </w:r>
      <w:r>
        <w:rPr/>
        <w:t xml:space="preserve">, </w:t>
      </w:r>
      <w:r>
        <w:rPr>
          <w:i/>
          <w:iCs/>
        </w:rPr>
        <w:t>18</w:t>
      </w:r>
      <w:r>
        <w:rPr/>
        <w:t>(6), 186345.</w:t>
      </w:r>
      <w:bookmarkEnd w:id="109"/>
    </w:p>
    <w:p>
      <w:pPr>
        <w:pStyle w:val="Bibliography"/>
        <w:rPr/>
      </w:pPr>
      <w:bookmarkStart w:id="110" w:name="ref-wang2026large"/>
      <w:r>
        <w:rPr/>
        <w:t xml:space="preserve">Wang, M., Zhang, D. J., &amp; Zhang, H. (2026). Large language models for market research: A data-augmentation approach. </w:t>
      </w:r>
      <w:r>
        <w:rPr>
          <w:i/>
          <w:iCs/>
        </w:rPr>
        <w:t>Marketing Science</w:t>
      </w:r>
      <w:r>
        <w:rPr/>
        <w:t>.</w:t>
      </w:r>
      <w:bookmarkEnd w:id="110"/>
    </w:p>
    <w:p>
      <w:pPr>
        <w:pStyle w:val="Bibliography"/>
        <w:rPr/>
      </w:pPr>
      <w:bookmarkStart w:id="111" w:name="ref-willemsen2011visiting"/>
      <w:r>
        <w:rPr/>
        <w:t xml:space="preserve">Willemsen, M. C., &amp; Johnson, E. J. (2011). Visiting the decision factory: Observing cognition with MouselabWEB and other information acquisition methods. </w:t>
      </w:r>
      <w:r>
        <w:rPr>
          <w:i/>
          <w:iCs/>
        </w:rPr>
        <w:t>A handbook of process tracing methods for decision research: A critical review and user’s guide</w:t>
      </w:r>
      <w:r>
        <w:rPr/>
        <w:t>, 21–42.</w:t>
      </w:r>
      <w:bookmarkEnd w:id="111"/>
    </w:p>
    <w:p>
      <w:pPr>
        <w:pStyle w:val="Bibliography"/>
        <w:rPr/>
      </w:pPr>
      <w:bookmarkStart w:id="112" w:name="ref-xie2026impact"/>
      <w:r>
        <w:rPr/>
        <w:t xml:space="preserve">Xie, G. (2026). The impact of generative AI shopping assistants on e-commerce consumer motivation and behavior: Consumer-AI interaction design. </w:t>
      </w:r>
      <w:r>
        <w:rPr>
          <w:i/>
          <w:iCs/>
        </w:rPr>
        <w:t>International Journal of Information Management</w:t>
      </w:r>
      <w:r>
        <w:rPr/>
        <w:t xml:space="preserve">, </w:t>
      </w:r>
      <w:r>
        <w:rPr>
          <w:i/>
          <w:iCs/>
        </w:rPr>
        <w:t>86</w:t>
      </w:r>
      <w:r>
        <w:rPr/>
        <w:t>, 102983.</w:t>
      </w:r>
      <w:bookmarkEnd w:id="112"/>
    </w:p>
    <w:p>
      <w:pPr>
        <w:pStyle w:val="Bibliography"/>
        <w:rPr/>
      </w:pPr>
      <w:bookmarkStart w:id="113" w:name="ref-yao2022react"/>
      <w:r>
        <w:rPr/>
        <w:t xml:space="preserve">Yao, S., Zhao, J., Yu, D., Du, N., Shafran, I., Narasimhan, K. R., &amp; Cao, Y. (2022). React: Synergizing reasoning and acting in language models. In </w:t>
      </w:r>
      <w:r>
        <w:rPr>
          <w:i/>
          <w:iCs/>
        </w:rPr>
        <w:t>The eleventh international conference on learning representations</w:t>
      </w:r>
      <w:r>
        <w:rPr/>
        <w:t>.</w:t>
      </w:r>
      <w:bookmarkEnd w:id="113"/>
    </w:p>
    <w:p>
      <w:pPr>
        <w:pStyle w:val="Bibliography"/>
        <w:rPr/>
      </w:pPr>
      <w:bookmarkStart w:id="114" w:name="ref-yin2026fragile"/>
      <w:r>
        <w:rPr/>
        <w:t xml:space="preserve">Yin, H., Vardi, S., &amp; Choudhary, V. (2026). Fragile preferences: A deep dive into order effects in large language models. </w:t>
      </w:r>
      <w:r>
        <w:rPr>
          <w:i/>
          <w:iCs/>
        </w:rPr>
        <w:t>PNAS nexus</w:t>
      </w:r>
      <w:r>
        <w:rPr/>
        <w:t xml:space="preserve">, </w:t>
      </w:r>
      <w:r>
        <w:rPr>
          <w:i/>
          <w:iCs/>
        </w:rPr>
        <w:t>5</w:t>
      </w:r>
      <w:r>
        <w:rPr/>
        <w:t>(8), pgag246.</w:t>
      </w:r>
      <w:bookmarkEnd w:id="114"/>
    </w:p>
    <w:p>
      <w:pPr>
        <w:pStyle w:val="Bibliography"/>
        <w:rPr/>
      </w:pPr>
      <w:bookmarkStart w:id="115" w:name="ref-zhou2026large"/>
      <w:r>
        <w:rPr/>
        <w:t xml:space="preserve">Zhou, L., Li, L., Wang, X., Ou, H., Hu, Q., Li, A., &amp; Gu, C. (2026). Large language models capable of distinguishing between single and repeated gambles: Understanding and intervening in risky choice. </w:t>
      </w:r>
      <w:r>
        <w:rPr>
          <w:i/>
          <w:iCs/>
        </w:rPr>
        <w:t>Acta Psychologica Sinica</w:t>
      </w:r>
      <w:r>
        <w:rPr/>
        <w:t xml:space="preserve">, </w:t>
      </w:r>
      <w:r>
        <w:rPr>
          <w:i/>
          <w:iCs/>
        </w:rPr>
        <w:t>58</w:t>
      </w:r>
      <w:r>
        <w:rPr/>
        <w:t>(3), 416.</w:t>
      </w:r>
      <w:bookmarkEnd w:id="25"/>
      <w:bookmarkEnd w:id="26"/>
      <w:bookmarkEnd w:id="115"/>
    </w:p>
    <w:p>
      <w:pPr>
        <w:pStyle w:val="Heading1"/>
        <w:rPr/>
      </w:pPr>
      <w:bookmarkStart w:id="116" w:name="tables-and-figures"/>
      <w:r>
        <w:rPr/>
        <w:t>Tables and figures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17" w:name="fig-framework"/>
            <w:r>
              <w:rPr/>
              <w:drawing>
                <wp:inline distT="0" distB="0" distL="0" distR="0">
                  <wp:extent cx="4214495" cy="143891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6"/>
                          <a:stretch>
                            <a:fillRect/>
                          </a:stretch>
                        </pic:blipFill>
                        <pic:spPr bwMode="auto">
                          <a:xfrm>
                            <a:off x="0" y="0"/>
                            <a:ext cx="4214495" cy="1438910"/>
                          </a:xfrm>
                          <a:prstGeom prst="rect">
                            <a:avLst/>
                          </a:prstGeom>
                          <a:noFill/>
                        </pic:spPr>
                      </pic:pic>
                    </a:graphicData>
                  </a:graphic>
                </wp:inline>
              </w:drawing>
            </w:r>
          </w:p>
          <w:p>
            <w:pPr>
              <w:pStyle w:val="ImageCaption"/>
              <w:spacing w:before="200" w:after="120"/>
              <w:jc w:val="left"/>
              <w:rPr/>
            </w:pPr>
            <w:r>
              <w:rPr/>
              <w:t>Figure 1: The conceptual framework</w:t>
            </w:r>
            <w:bookmarkEnd w:id="117"/>
          </w:p>
        </w:tc>
      </w:tr>
    </w:tbl>
    <w:p>
      <w:pPr>
        <w:pStyle w:val="TableNote"/>
        <w:rPr/>
      </w:pPr>
      <w:r>
        <w:rPr>
          <w:i/>
          <w:iCs/>
        </w:rPr>
        <w:t>Note.</w:t>
      </w:r>
      <w:r>
        <w:rPr/>
        <w:t xml:space="preserve"> H3: The indirect effect of acquisition cost on choice optimality via diagnostic acquisition is moderated by prompt specificity.</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18" w:name="fig-tool-lab-setup"/>
            <w:r>
              <w:rPr/>
              <w:drawing>
                <wp:inline distT="0" distB="0" distL="0" distR="0">
                  <wp:extent cx="4138295" cy="36506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7"/>
                          <a:stretch>
                            <a:fillRect/>
                          </a:stretch>
                        </pic:blipFill>
                        <pic:spPr bwMode="auto">
                          <a:xfrm>
                            <a:off x="0" y="0"/>
                            <a:ext cx="4138295" cy="3650615"/>
                          </a:xfrm>
                          <a:prstGeom prst="rect">
                            <a:avLst/>
                          </a:prstGeom>
                          <a:noFill/>
                        </pic:spPr>
                      </pic:pic>
                    </a:graphicData>
                  </a:graphic>
                </wp:inline>
              </w:drawing>
            </w:r>
          </w:p>
          <w:p>
            <w:pPr>
              <w:pStyle w:val="ImageCaption"/>
              <w:spacing w:before="200" w:after="120"/>
              <w:jc w:val="left"/>
              <w:rPr/>
            </w:pPr>
            <w:r>
              <w:rPr/>
              <w:t xml:space="preserve">Figure 2: Tool-Lab setup for $10 cost per </w:t>
            </w:r>
            <w:r>
              <w:rPr>
                <w:i/>
                <w:iCs/>
              </w:rPr>
              <w:t>inspect_cell</w:t>
            </w:r>
            <w:r>
              <w:rPr/>
              <w:t xml:space="preserve"> tool call (Study 1)</w:t>
            </w:r>
            <w:bookmarkEnd w:id="118"/>
          </w:p>
        </w:tc>
      </w:tr>
    </w:tbl>
    <w:p>
      <w:pPr>
        <w:pStyle w:val="BodyText"/>
        <w:ind w:hanging="0" w:left="0"/>
        <w:rPr/>
      </w:pPr>
      <w:r>
        <w:rPr/>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keepNext/>
              <w:spacing w:before="240" w:after="120"/>
              <w:ind w:left="0" w:firstLine="0"/>
              <w:jc w:val="left"/>
            </w:pPr>
            <w:r>
              <w:rPr>
                <w:b/>
                <w:bCs/>
                <w:i w:val="false"/>
                <w:iCs w:val="false"/>
              </w:rPr>
              <w:t xml:space="preserve">Table 1</w:t>
            </w:r>
            <w:r>
              <w:rPr>
                <w:i w:val="false"/>
                <w:iCs w:val="false"/>
              </w:rPr>
              <w:t xml:space="preserve">  Aggregate diagnostic information acquisition and choice optimality across LLMs (Study 1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411"/>
              <w:gridCol w:w="756"/>
              <w:gridCol w:w="1226"/>
              <w:gridCol w:w="1223"/>
              <w:gridCol w:w="1226"/>
              <w:gridCol w:w="1322"/>
              <w:gridCol w:w="1980"/>
            </w:tblGrid>
            <w:tr>
              <w:trPr>
                <w:tblHeader w:val="true"/>
              </w:trPr>
              <w:tc>
                <w:tcPr>
                  <w:tcW w:w="1411" w:type="dxa"/>
                  <w:tcBorders>
                    <w:top w:val="single" w:sz="12" w:space="0" w:color="000000"/>
                    <w:bottom w:val="single" w:sz="12" w:space="0" w:color="000000"/>
                  </w:tcBorders>
                  <w:vAlign w:val="center"/>
                </w:tcPr>
                <w:p>
                  <w:pPr>
                    <w:pStyle w:val="Compact"/>
                    <w:spacing w:before="36" w:after="36"/>
                    <w:jc w:val="left"/>
                    <w:rPr>
                      <w:b w:val="false"/>
                    </w:rPr>
                  </w:pPr>
                  <w:r>
                    <w:rPr>
                      <w:b w:val="false"/>
                    </w:rPr>
                    <w:t>Goal Prompt</w:t>
                  </w:r>
                </w:p>
              </w:tc>
              <w:tc>
                <w:tcPr>
                  <w:tcW w:w="756" w:type="dxa"/>
                  <w:tcBorders>
                    <w:top w:val="single" w:sz="12" w:space="0" w:color="000000"/>
                    <w:bottom w:val="single" w:sz="12" w:space="0" w:color="000000"/>
                  </w:tcBorders>
                  <w:vAlign w:val="center"/>
                </w:tcPr>
                <w:p>
                  <w:pPr>
                    <w:pStyle w:val="Compact"/>
                    <w:spacing w:before="36" w:after="36"/>
                    <w:jc w:val="center"/>
                    <w:rPr>
                      <w:b w:val="false"/>
                    </w:rPr>
                  </w:pPr>
                  <w:r>
                    <w:rPr>
                      <w:b w:val="false"/>
                    </w:rPr>
                    <w:t>Cost</w:t>
                  </w:r>
                </w:p>
              </w:tc>
              <w:tc>
                <w:tcPr>
                  <w:tcW w:w="1226" w:type="dxa"/>
                  <w:tcBorders>
                    <w:top w:val="single" w:sz="12" w:space="0" w:color="000000"/>
                    <w:bottom w:val="single" w:sz="12" w:space="0" w:color="000000"/>
                  </w:tcBorders>
                  <w:vAlign w:val="center"/>
                </w:tcPr>
                <w:p>
                  <w:pPr>
                    <w:pStyle w:val="Compact"/>
                    <w:spacing w:before="36" w:after="36"/>
                    <w:jc w:val="center"/>
                    <w:rPr>
                      <w:b w:val="false"/>
                    </w:rPr>
                  </w:pPr>
                  <w:r>
                    <w:rPr>
                      <w:b w:val="false"/>
                    </w:rPr>
                    <w:t>Cents</w:t>
                  </w:r>
                </w:p>
              </w:tc>
              <w:tc>
                <w:tcPr>
                  <w:tcW w:w="1223" w:type="dxa"/>
                  <w:tcBorders>
                    <w:top w:val="single" w:sz="12" w:space="0" w:color="000000"/>
                    <w:bottom w:val="single" w:sz="12" w:space="0" w:color="000000"/>
                  </w:tcBorders>
                  <w:vAlign w:val="center"/>
                </w:tcPr>
                <w:p>
                  <w:pPr>
                    <w:pStyle w:val="Compact"/>
                    <w:spacing w:before="36" w:after="36"/>
                    <w:jc w:val="center"/>
                    <w:rPr>
                      <w:b w:val="false"/>
                    </w:rPr>
                  </w:pPr>
                  <w:r>
                    <w:rPr>
                      <w:b w:val="false"/>
                    </w:rPr>
                    <w:t>Weight</w:t>
                  </w:r>
                </w:p>
              </w:tc>
              <w:tc>
                <w:tcPr>
                  <w:tcW w:w="1226" w:type="dxa"/>
                  <w:tcBorders>
                    <w:top w:val="single" w:sz="12" w:space="0" w:color="000000"/>
                    <w:bottom w:val="single" w:sz="12" w:space="0" w:color="000000"/>
                  </w:tcBorders>
                  <w:vAlign w:val="center"/>
                </w:tcPr>
                <w:p>
                  <w:pPr>
                    <w:pStyle w:val="Compact"/>
                    <w:spacing w:before="36" w:after="36"/>
                    <w:jc w:val="center"/>
                    <w:rPr>
                      <w:b w:val="false"/>
                    </w:rPr>
                  </w:pPr>
                  <w:r>
                    <w:rPr>
                      <w:b w:val="false"/>
                    </w:rPr>
                    <w:t>Dollars</w:t>
                  </w:r>
                </w:p>
              </w:tc>
              <w:tc>
                <w:tcPr>
                  <w:tcW w:w="1322" w:type="dxa"/>
                  <w:tcBorders>
                    <w:top w:val="single" w:sz="12" w:space="0" w:color="000000"/>
                    <w:bottom w:val="single" w:sz="12" w:space="0" w:color="000000"/>
                  </w:tcBorders>
                  <w:vAlign w:val="center"/>
                </w:tcPr>
                <w:p>
                  <w:pPr>
                    <w:pStyle w:val="Compact"/>
                    <w:spacing w:before="36" w:after="36"/>
                    <w:jc w:val="center"/>
                    <w:rPr>
                      <w:b w:val="false"/>
                    </w:rPr>
                  </w:pPr>
                  <w:r>
                    <w:rPr>
                      <w:b w:val="false"/>
                    </w:rPr>
                    <w:t>Diagnostic</w:t>
                  </w:r>
                </w:p>
              </w:tc>
              <w:tc>
                <w:tcPr>
                  <w:tcW w:w="1980" w:type="dxa"/>
                  <w:tcBorders>
                    <w:top w:val="single" w:sz="12" w:space="0" w:color="000000"/>
                    <w:bottom w:val="single" w:sz="12" w:space="0" w:color="000000"/>
                  </w:tcBorders>
                  <w:vAlign w:val="center"/>
                </w:tcPr>
                <w:p>
                  <w:pPr>
                    <w:pStyle w:val="Compact"/>
                    <w:spacing w:before="36" w:after="36"/>
                    <w:jc w:val="center"/>
                    <w:rPr>
                      <w:b w:val="false"/>
                    </w:rPr>
                  </w:pPr>
                  <w:r>
                    <w:rPr>
                      <w:b w:val="false"/>
                    </w:rPr>
                    <w:t>Choice Optimality</w:t>
                  </w:r>
                </w:p>
              </w:tc>
            </w:tr>
            <w:tr>
              <w:trPr/>
              <w:tc>
                <w:tcPr>
                  <w:tcW w:w="1411" w:type="dxa"/>
                  <w:tcBorders>
                    <w:top w:val="nil"/>
                    <w:bottom w:val="nil"/>
                  </w:tcBorders>
                  <w:vAlign w:val="center"/>
                </w:tcPr>
                <w:p>
                  <w:pPr>
                    <w:pStyle w:val="Compact"/>
                    <w:spacing w:before="36" w:after="36"/>
                    <w:jc w:val="left"/>
                    <w:rPr/>
                  </w:pPr>
                  <w:r>
                    <w:rPr/>
                    <w:t>Specific</w:t>
                  </w:r>
                </w:p>
              </w:tc>
              <w:tc>
                <w:tcPr>
                  <w:tcW w:w="756" w:type="dxa"/>
                  <w:tcBorders>
                    <w:top w:val="nil"/>
                    <w:bottom w:val="nil"/>
                  </w:tcBorders>
                  <w:vAlign w:val="center"/>
                </w:tcPr>
                <w:p>
                  <w:pPr>
                    <w:pStyle w:val="Compact"/>
                    <w:spacing w:before="36" w:after="36"/>
                    <w:jc w:val="center"/>
                    <w:rPr/>
                  </w:pPr>
                  <w:r>
                    <w:rPr/>
                    <w:t>$0</w:t>
                  </w:r>
                </w:p>
              </w:tc>
              <w:tc>
                <w:tcPr>
                  <w:tcW w:w="1226" w:type="dxa"/>
                  <w:tcBorders>
                    <w:top w:val="nil"/>
                    <w:bottom w:val="nil"/>
                  </w:tcBorders>
                  <w:vAlign w:val="center"/>
                </w:tcPr>
                <w:p>
                  <w:pPr>
                    <w:pStyle w:val="Compact"/>
                    <w:spacing w:before="36" w:after="36"/>
                    <w:jc w:val="center"/>
                    <w:rPr/>
                  </w:pPr>
                  <w:r>
                    <w:rPr/>
                    <w:t>2.00 (0.00)</w:t>
                  </w:r>
                </w:p>
              </w:tc>
              <w:tc>
                <w:tcPr>
                  <w:tcW w:w="1223" w:type="dxa"/>
                  <w:tcBorders>
                    <w:top w:val="nil"/>
                    <w:bottom w:val="nil"/>
                  </w:tcBorders>
                  <w:vAlign w:val="center"/>
                </w:tcPr>
                <w:p>
                  <w:pPr>
                    <w:pStyle w:val="Compact"/>
                    <w:spacing w:before="36" w:after="36"/>
                    <w:jc w:val="center"/>
                    <w:rPr/>
                  </w:pPr>
                  <w:r>
                    <w:rPr/>
                    <w:t>2.00 (0.00)</w:t>
                  </w:r>
                </w:p>
              </w:tc>
              <w:tc>
                <w:tcPr>
                  <w:tcW w:w="1226" w:type="dxa"/>
                  <w:tcBorders>
                    <w:top w:val="nil"/>
                    <w:bottom w:val="nil"/>
                  </w:tcBorders>
                  <w:vAlign w:val="center"/>
                </w:tcPr>
                <w:p>
                  <w:pPr>
                    <w:pStyle w:val="Compact"/>
                    <w:spacing w:before="36" w:after="36"/>
                    <w:jc w:val="center"/>
                    <w:rPr/>
                  </w:pPr>
                  <w:r>
                    <w:rPr/>
                    <w:t>2.00 (0.00)</w:t>
                  </w:r>
                </w:p>
              </w:tc>
              <w:tc>
                <w:tcPr>
                  <w:tcW w:w="1322" w:type="dxa"/>
                  <w:tcBorders>
                    <w:top w:val="nil"/>
                    <w:bottom w:val="nil"/>
                  </w:tcBorders>
                  <w:vAlign w:val="center"/>
                </w:tcPr>
                <w:p>
                  <w:pPr>
                    <w:pStyle w:val="Compact"/>
                    <w:spacing w:before="36" w:after="36"/>
                    <w:jc w:val="center"/>
                    <w:rPr/>
                  </w:pPr>
                  <w:r>
                    <w:rPr/>
                    <w:t>6.00 (0.00)</w:t>
                  </w:r>
                </w:p>
              </w:tc>
              <w:tc>
                <w:tcPr>
                  <w:tcW w:w="1980" w:type="dxa"/>
                  <w:tcBorders>
                    <w:top w:val="nil"/>
                    <w:bottom w:val="nil"/>
                  </w:tcBorders>
                  <w:vAlign w:val="center"/>
                </w:tcPr>
                <w:p>
                  <w:pPr>
                    <w:pStyle w:val="Compact"/>
                    <w:spacing w:before="36" w:after="36"/>
                    <w:jc w:val="center"/>
                    <w:rPr/>
                  </w:pPr>
                  <w:r>
                    <w:rPr/>
                    <w:t>0.94 (0.16)</w:t>
                  </w:r>
                </w:p>
              </w:tc>
            </w:tr>
            <w:tr>
              <w:trPr/>
              <w:tc>
                <w:tcPr>
                  <w:tcW w:w="1411" w:type="dxa"/>
                  <w:tcBorders>
                    <w:top w:val="nil"/>
                    <w:bottom w:val="nil"/>
                  </w:tcBorders>
                  <w:vAlign w:val="center"/>
                </w:tcPr>
                <w:p>
                  <w:pPr>
                    <w:pStyle w:val="Compact"/>
                    <w:spacing w:before="36" w:after="36"/>
                    <w:jc w:val="left"/>
                    <w:rPr/>
                  </w:pPr>
                  <w:r>
                    <w:rPr/>
                    <w:t>Specific</w:t>
                  </w:r>
                </w:p>
              </w:tc>
              <w:tc>
                <w:tcPr>
                  <w:tcW w:w="756" w:type="dxa"/>
                  <w:tcBorders>
                    <w:top w:val="nil"/>
                    <w:bottom w:val="nil"/>
                  </w:tcBorders>
                  <w:vAlign w:val="center"/>
                </w:tcPr>
                <w:p>
                  <w:pPr>
                    <w:pStyle w:val="Compact"/>
                    <w:spacing w:before="36" w:after="36"/>
                    <w:jc w:val="center"/>
                    <w:rPr/>
                  </w:pPr>
                  <w:r>
                    <w:rPr/>
                    <w:t>$10</w:t>
                  </w:r>
                </w:p>
              </w:tc>
              <w:tc>
                <w:tcPr>
                  <w:tcW w:w="1226" w:type="dxa"/>
                  <w:tcBorders>
                    <w:top w:val="nil"/>
                    <w:bottom w:val="nil"/>
                  </w:tcBorders>
                  <w:vAlign w:val="center"/>
                </w:tcPr>
                <w:p>
                  <w:pPr>
                    <w:pStyle w:val="Compact"/>
                    <w:spacing w:before="36" w:after="36"/>
                    <w:jc w:val="center"/>
                    <w:rPr/>
                  </w:pPr>
                  <w:r>
                    <w:rPr/>
                    <w:t>1.72 (0.59)</w:t>
                  </w:r>
                </w:p>
              </w:tc>
              <w:tc>
                <w:tcPr>
                  <w:tcW w:w="1223" w:type="dxa"/>
                  <w:tcBorders>
                    <w:top w:val="nil"/>
                    <w:bottom w:val="nil"/>
                  </w:tcBorders>
                  <w:vAlign w:val="center"/>
                </w:tcPr>
                <w:p>
                  <w:pPr>
                    <w:pStyle w:val="Compact"/>
                    <w:spacing w:before="36" w:after="36"/>
                    <w:jc w:val="center"/>
                    <w:rPr/>
                  </w:pPr>
                  <w:r>
                    <w:rPr/>
                    <w:t>2.00 (0.00)</w:t>
                  </w:r>
                </w:p>
              </w:tc>
              <w:tc>
                <w:tcPr>
                  <w:tcW w:w="1226" w:type="dxa"/>
                  <w:tcBorders>
                    <w:top w:val="nil"/>
                    <w:bottom w:val="nil"/>
                  </w:tcBorders>
                  <w:vAlign w:val="center"/>
                </w:tcPr>
                <w:p>
                  <w:pPr>
                    <w:pStyle w:val="Compact"/>
                    <w:spacing w:before="36" w:after="36"/>
                    <w:jc w:val="center"/>
                    <w:rPr/>
                  </w:pPr>
                  <w:r>
                    <w:rPr/>
                    <w:t>2.00 (0.00)</w:t>
                  </w:r>
                </w:p>
              </w:tc>
              <w:tc>
                <w:tcPr>
                  <w:tcW w:w="1322" w:type="dxa"/>
                  <w:tcBorders>
                    <w:top w:val="nil"/>
                    <w:bottom w:val="nil"/>
                  </w:tcBorders>
                  <w:vAlign w:val="center"/>
                </w:tcPr>
                <w:p>
                  <w:pPr>
                    <w:pStyle w:val="Compact"/>
                    <w:spacing w:before="36" w:after="36"/>
                    <w:jc w:val="center"/>
                    <w:rPr/>
                  </w:pPr>
                  <w:r>
                    <w:rPr/>
                    <w:t>5.72 (0.59)</w:t>
                  </w:r>
                </w:p>
              </w:tc>
              <w:tc>
                <w:tcPr>
                  <w:tcW w:w="1980" w:type="dxa"/>
                  <w:tcBorders>
                    <w:top w:val="nil"/>
                    <w:bottom w:val="nil"/>
                  </w:tcBorders>
                  <w:vAlign w:val="center"/>
                </w:tcPr>
                <w:p>
                  <w:pPr>
                    <w:pStyle w:val="Compact"/>
                    <w:spacing w:before="36" w:after="36"/>
                    <w:jc w:val="center"/>
                    <w:rPr/>
                  </w:pPr>
                  <w:r>
                    <w:rPr/>
                    <w:t>0.83 (0.30)</w:t>
                  </w:r>
                </w:p>
              </w:tc>
            </w:tr>
            <w:tr>
              <w:trPr/>
              <w:tc>
                <w:tcPr>
                  <w:tcW w:w="1411" w:type="dxa"/>
                  <w:tcBorders>
                    <w:top w:val="nil"/>
                    <w:bottom w:val="nil"/>
                  </w:tcBorders>
                  <w:vAlign w:val="center"/>
                </w:tcPr>
                <w:p>
                  <w:pPr>
                    <w:pStyle w:val="Compact"/>
                    <w:spacing w:before="36" w:after="36"/>
                    <w:jc w:val="left"/>
                    <w:rPr/>
                  </w:pPr>
                  <w:r>
                    <w:rPr/>
                    <w:t>Vague</w:t>
                  </w:r>
                </w:p>
              </w:tc>
              <w:tc>
                <w:tcPr>
                  <w:tcW w:w="756" w:type="dxa"/>
                  <w:tcBorders>
                    <w:top w:val="nil"/>
                    <w:bottom w:val="nil"/>
                  </w:tcBorders>
                  <w:vAlign w:val="center"/>
                </w:tcPr>
                <w:p>
                  <w:pPr>
                    <w:pStyle w:val="Compact"/>
                    <w:spacing w:before="36" w:after="36"/>
                    <w:jc w:val="center"/>
                    <w:rPr/>
                  </w:pPr>
                  <w:r>
                    <w:rPr/>
                    <w:t>$0</w:t>
                  </w:r>
                </w:p>
              </w:tc>
              <w:tc>
                <w:tcPr>
                  <w:tcW w:w="1226" w:type="dxa"/>
                  <w:tcBorders>
                    <w:top w:val="nil"/>
                    <w:bottom w:val="nil"/>
                  </w:tcBorders>
                  <w:vAlign w:val="center"/>
                </w:tcPr>
                <w:p>
                  <w:pPr>
                    <w:pStyle w:val="Compact"/>
                    <w:spacing w:before="36" w:after="36"/>
                    <w:jc w:val="center"/>
                    <w:rPr/>
                  </w:pPr>
                  <w:r>
                    <w:rPr/>
                    <w:t>1.97 (0.09)</w:t>
                  </w:r>
                </w:p>
              </w:tc>
              <w:tc>
                <w:tcPr>
                  <w:tcW w:w="1223" w:type="dxa"/>
                  <w:tcBorders>
                    <w:top w:val="nil"/>
                    <w:bottom w:val="nil"/>
                  </w:tcBorders>
                  <w:vAlign w:val="center"/>
                </w:tcPr>
                <w:p>
                  <w:pPr>
                    <w:pStyle w:val="Compact"/>
                    <w:spacing w:before="36" w:after="36"/>
                    <w:jc w:val="center"/>
                    <w:rPr/>
                  </w:pPr>
                  <w:r>
                    <w:rPr/>
                    <w:t>1.90 (0.18)</w:t>
                  </w:r>
                </w:p>
              </w:tc>
              <w:tc>
                <w:tcPr>
                  <w:tcW w:w="1226" w:type="dxa"/>
                  <w:tcBorders>
                    <w:top w:val="nil"/>
                    <w:bottom w:val="nil"/>
                  </w:tcBorders>
                  <w:vAlign w:val="center"/>
                </w:tcPr>
                <w:p>
                  <w:pPr>
                    <w:pStyle w:val="Compact"/>
                    <w:spacing w:before="36" w:after="36"/>
                    <w:jc w:val="center"/>
                    <w:rPr/>
                  </w:pPr>
                  <w:r>
                    <w:rPr/>
                    <w:t>2.00 (0.00)</w:t>
                  </w:r>
                </w:p>
              </w:tc>
              <w:tc>
                <w:tcPr>
                  <w:tcW w:w="1322" w:type="dxa"/>
                  <w:tcBorders>
                    <w:top w:val="nil"/>
                    <w:bottom w:val="nil"/>
                  </w:tcBorders>
                  <w:vAlign w:val="center"/>
                </w:tcPr>
                <w:p>
                  <w:pPr>
                    <w:pStyle w:val="Compact"/>
                    <w:spacing w:before="36" w:after="36"/>
                    <w:jc w:val="center"/>
                    <w:rPr/>
                  </w:pPr>
                  <w:r>
                    <w:rPr/>
                    <w:t>5.86 (0.24)</w:t>
                  </w:r>
                </w:p>
              </w:tc>
              <w:tc>
                <w:tcPr>
                  <w:tcW w:w="1980" w:type="dxa"/>
                  <w:tcBorders>
                    <w:top w:val="nil"/>
                    <w:bottom w:val="nil"/>
                  </w:tcBorders>
                  <w:vAlign w:val="center"/>
                </w:tcPr>
                <w:p>
                  <w:pPr>
                    <w:pStyle w:val="Compact"/>
                    <w:spacing w:before="36" w:after="36"/>
                    <w:jc w:val="center"/>
                    <w:rPr/>
                  </w:pPr>
                  <w:r>
                    <w:rPr/>
                    <w:t>0.89 (0.19)</w:t>
                  </w:r>
                </w:p>
              </w:tc>
            </w:tr>
            <w:tr>
              <w:trPr/>
              <w:tc>
                <w:tcPr>
                  <w:tcW w:w="1411" w:type="dxa"/>
                  <w:tcBorders>
                    <w:top w:val="nil"/>
                    <w:bottom w:val="single" w:sz="12" w:space="0" w:color="000000"/>
                  </w:tcBorders>
                  <w:vAlign w:val="center"/>
                </w:tcPr>
                <w:p>
                  <w:pPr>
                    <w:pStyle w:val="Compact"/>
                    <w:spacing w:before="36" w:after="36"/>
                    <w:jc w:val="left"/>
                    <w:rPr/>
                  </w:pPr>
                  <w:r>
                    <w:rPr/>
                    <w:t>Vague</w:t>
                  </w:r>
                </w:p>
              </w:tc>
              <w:tc>
                <w:tcPr>
                  <w:tcW w:w="756" w:type="dxa"/>
                  <w:tcBorders>
                    <w:top w:val="nil"/>
                    <w:bottom w:val="single" w:sz="12" w:space="0" w:color="000000"/>
                  </w:tcBorders>
                  <w:vAlign w:val="center"/>
                </w:tcPr>
                <w:p>
                  <w:pPr>
                    <w:pStyle w:val="Compact"/>
                    <w:spacing w:before="36" w:after="36"/>
                    <w:jc w:val="center"/>
                    <w:rPr/>
                  </w:pPr>
                  <w:r>
                    <w:rPr/>
                    <w:t>$10</w:t>
                  </w:r>
                </w:p>
              </w:tc>
              <w:tc>
                <w:tcPr>
                  <w:tcW w:w="1226" w:type="dxa"/>
                  <w:tcBorders>
                    <w:top w:val="nil"/>
                    <w:bottom w:val="single" w:sz="12" w:space="0" w:color="000000"/>
                  </w:tcBorders>
                  <w:vAlign w:val="center"/>
                </w:tcPr>
                <w:p>
                  <w:pPr>
                    <w:pStyle w:val="Compact"/>
                    <w:spacing w:before="36" w:after="36"/>
                    <w:jc w:val="center"/>
                    <w:rPr/>
                  </w:pPr>
                  <w:r>
                    <w:rPr/>
                    <w:t>0.77 (0.78)</w:t>
                  </w:r>
                </w:p>
              </w:tc>
              <w:tc>
                <w:tcPr>
                  <w:tcW w:w="1223" w:type="dxa"/>
                  <w:tcBorders>
                    <w:top w:val="nil"/>
                    <w:bottom w:val="single" w:sz="12" w:space="0" w:color="000000"/>
                  </w:tcBorders>
                  <w:vAlign w:val="center"/>
                </w:tcPr>
                <w:p>
                  <w:pPr>
                    <w:pStyle w:val="Compact"/>
                    <w:spacing w:before="36" w:after="36"/>
                    <w:jc w:val="center"/>
                    <w:rPr/>
                  </w:pPr>
                  <w:r>
                    <w:rPr/>
                    <w:t>1.10 (0.64)</w:t>
                  </w:r>
                </w:p>
              </w:tc>
              <w:tc>
                <w:tcPr>
                  <w:tcW w:w="1226" w:type="dxa"/>
                  <w:tcBorders>
                    <w:top w:val="nil"/>
                    <w:bottom w:val="single" w:sz="12" w:space="0" w:color="000000"/>
                  </w:tcBorders>
                  <w:vAlign w:val="center"/>
                </w:tcPr>
                <w:p>
                  <w:pPr>
                    <w:pStyle w:val="Compact"/>
                    <w:spacing w:before="36" w:after="36"/>
                    <w:jc w:val="center"/>
                    <w:rPr/>
                  </w:pPr>
                  <w:r>
                    <w:rPr/>
                    <w:t>1.94 (0.09)</w:t>
                  </w:r>
                </w:p>
              </w:tc>
              <w:tc>
                <w:tcPr>
                  <w:tcW w:w="1322" w:type="dxa"/>
                  <w:tcBorders>
                    <w:top w:val="nil"/>
                    <w:bottom w:val="single" w:sz="12" w:space="0" w:color="000000"/>
                  </w:tcBorders>
                  <w:vAlign w:val="center"/>
                </w:tcPr>
                <w:p>
                  <w:pPr>
                    <w:pStyle w:val="Compact"/>
                    <w:spacing w:before="36" w:after="36"/>
                    <w:jc w:val="center"/>
                    <w:rPr/>
                  </w:pPr>
                  <w:r>
                    <w:rPr/>
                    <w:t>3.81 (1.30)</w:t>
                  </w:r>
                </w:p>
              </w:tc>
              <w:tc>
                <w:tcPr>
                  <w:tcW w:w="1980" w:type="dxa"/>
                  <w:tcBorders>
                    <w:top w:val="nil"/>
                    <w:bottom w:val="single" w:sz="12" w:space="0" w:color="000000"/>
                  </w:tcBorders>
                  <w:vAlign w:val="center"/>
                </w:tcPr>
                <w:p>
                  <w:pPr>
                    <w:pStyle w:val="Compact"/>
                    <w:spacing w:before="36" w:after="36"/>
                    <w:jc w:val="center"/>
                    <w:rPr/>
                  </w:pPr>
                  <w:r>
                    <w:rPr/>
                    <w:t>0.29 (0.28)</w:t>
                  </w:r>
                  <w:bookmarkStart w:id="119" w:name="tbl-s1b-aggregate"/>
                  <w:bookmarkEnd w:id="119"/>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LLMs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independent Monte Carlo sessions per cell). Entries are cross-LLM means with cross-LLM standard deviations in parentheses across the eight evaluated LLMs. Diagnostic acquisitions are the combined count of </w:t>
      </w:r>
      <w:r>
        <w:rPr>
          <w:i/>
          <w:iCs/>
        </w:rPr>
        <w:t>price_dollars</w:t>
      </w:r>
      <w:r>
        <w:rPr/>
        <w:t xml:space="preserve">, </w:t>
      </w:r>
      <w:r>
        <w:rPr>
          <w:i/>
          <w:iCs/>
        </w:rPr>
        <w:t>price_cents</w:t>
      </w:r>
      <w:r>
        <w:rPr/>
        <w:t xml:space="preserve">, and </w:t>
      </w:r>
      <w:r>
        <w:rPr>
          <w:i/>
          <w:iCs/>
        </w:rPr>
        <w:t>weight</w:t>
      </w:r>
      <w:r>
        <w:rPr/>
        <w:t xml:space="preserve"> across all alternatives (maximum = 6). Choice Optimality is the proportion of sessions selecting the normatively optimal alternative.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keepNext/>
              <w:spacing w:before="240" w:after="120"/>
              <w:ind w:left="0" w:firstLine="0"/>
              <w:jc w:val="left"/>
            </w:pPr>
            <w:r>
              <w:rPr>
                <w:b/>
                <w:bCs/>
                <w:i w:val="false"/>
                <w:iCs w:val="false"/>
              </w:rPr>
              <w:t xml:space="preserve">Table 2</w:t>
            </w:r>
            <w:r>
              <w:rPr>
                <w:i w:val="false"/>
                <w:iCs w:val="false"/>
              </w:rPr>
              <w:t xml:space="preserve">  Multilevel moderated mediation of acquisition cost and prompt specificity on choice optimality (Studies 1 and 2 Tool-Lab)</w:t>
            </w:r>
          </w:p>
          <w:tbl>
            <w:tblPr>
              <w:tblStyle w:val="APATable"/>
              <w:tblW w:w="48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2788"/>
              <w:gridCol w:w="884"/>
              <w:gridCol w:w="680"/>
              <w:gridCol w:w="1429"/>
              <w:gridCol w:w="885"/>
              <w:gridCol w:w="682"/>
              <w:gridCol w:w="1430"/>
            </w:tblGrid>
            <w:tr>
              <w:trPr>
                <w:tblHeader w:val="true"/>
              </w:trPr>
              <w:tc>
                <w:tcPr>
                  <w:tcW w:w="2788" w:type="dxa"/>
                  <w:vMerge w:val="restart"/>
                  <w:tcBorders>
                    <w:top w:val="single" w:sz="12" w:space="0" w:color="000000"/>
                    <w:bottom w:val="single" w:sz="12" w:space="0" w:color="000000"/>
                  </w:tcBorders>
                  <w:vAlign w:val="center"/>
                </w:tcPr>
                <w:p>
                  <w:pPr>
                    <w:pStyle w:val="Compact"/>
                    <w:spacing w:before="36" w:after="36"/>
                    <w:jc w:val="left"/>
                    <w:rPr>
                      <w:b w:val="false"/>
                    </w:rPr>
                  </w:pPr>
                  <w:r>
                    <w:rPr>
                      <w:b w:val="false"/>
                    </w:rPr>
                  </w:r>
                </w:p>
              </w:tc>
              <w:tc>
                <w:tcPr>
                  <w:tcW w:w="2993" w:type="dxa"/>
                  <w:gridSpan w:val="3"/>
                  <w:tcBorders>
                    <w:top w:val="single" w:sz="12" w:space="0" w:color="000000"/>
                  </w:tcBorders>
                  <w:vAlign w:val="center"/>
                </w:tcPr>
                <w:p>
                  <w:pPr>
                    <w:pStyle w:val="Compact"/>
                    <w:spacing w:before="36" w:after="36"/>
                    <w:jc w:val="center"/>
                    <w:rPr>
                      <w:b w:val="false"/>
                    </w:rPr>
                  </w:pPr>
                  <w:r>
                    <w:rPr>
                      <w:b w:val="false"/>
                    </w:rPr>
                    <w:t>Study 1</w:t>
                  </w:r>
                </w:p>
              </w:tc>
              <w:tc>
                <w:tcPr>
                  <w:tcW w:w="2997" w:type="dxa"/>
                  <w:gridSpan w:val="3"/>
                  <w:tcBorders>
                    <w:top w:val="single" w:sz="12" w:space="0" w:color="000000"/>
                  </w:tcBorders>
                  <w:vAlign w:val="center"/>
                </w:tcPr>
                <w:p>
                  <w:pPr>
                    <w:pStyle w:val="Compact"/>
                    <w:spacing w:before="36" w:after="36"/>
                    <w:jc w:val="center"/>
                    <w:rPr>
                      <w:b w:val="false"/>
                    </w:rPr>
                  </w:pPr>
                  <w:r>
                    <w:rPr>
                      <w:b w:val="false"/>
                    </w:rPr>
                    <w:t>Study 2</w:t>
                  </w:r>
                </w:p>
              </w:tc>
            </w:tr>
            <w:tr>
              <w:trPr>
                <w:tblHeader w:val="true"/>
              </w:trPr>
              <w:tc>
                <w:tcPr>
                  <w:tcW w:w="2788" w:type="dxa"/>
                  <w:vMerge w:val="continue"/>
                  <w:tcBorders>
                    <w:bottom w:val="single" w:sz="12" w:space="0" w:color="000000"/>
                  </w:tcBorders>
                  <w:vAlign w:val="center"/>
                </w:tcPr>
                <w:p>
                  <w:pPr>
                    <w:pStyle w:val="Normal"/>
                    <w:spacing w:before="0" w:after="200"/>
                    <w:jc w:val="left"/>
                    <w:rPr>
                      <w:b w:val="false"/>
                      <w:sz w:val="24"/>
                    </w:rPr>
                  </w:pPr>
                  <w:r>
                    <w:rPr>
                      <w:b w:val="false"/>
                      <w:sz w:val="24"/>
                    </w:rPr>
                  </w:r>
                </w:p>
              </w:tc>
              <w:tc>
                <w:tcPr>
                  <w:tcW w:w="884" w:type="dxa"/>
                  <w:tcBorders>
                    <w:bottom w:val="single" w:sz="12" w:space="0" w:color="000000"/>
                  </w:tcBorders>
                  <w:vAlign w:val="center"/>
                </w:tcPr>
                <w:p>
                  <w:pPr>
                    <w:pStyle w:val="Compact"/>
                    <w:spacing w:before="36" w:after="36"/>
                    <w:jc w:val="center"/>
                    <w:rPr>
                      <w:b w:val="false"/>
                    </w:rPr>
                  </w:pPr>
                  <w:r>
                    <w:rPr>
                      <w:b w:val="false"/>
                    </w:rPr>
                    <w:t>Estimate</w:t>
                  </w:r>
                </w:p>
              </w:tc>
              <w:tc>
                <w:tcPr>
                  <w:tcW w:w="680" w:type="dxa"/>
                  <w:tcBorders>
                    <w:bottom w:val="single" w:sz="12" w:space="0" w:color="000000"/>
                  </w:tcBorders>
                  <w:vAlign w:val="center"/>
                </w:tcPr>
                <w:p>
                  <w:pPr>
                    <w:pStyle w:val="Compact"/>
                    <w:spacing w:before="36" w:after="36"/>
                    <w:jc w:val="center"/>
                    <w:rPr>
                      <w:b w:val="false"/>
                    </w:rPr>
                  </w:pPr>
                  <w:r>
                    <w:rPr>
                      <w:b w:val="false"/>
                      <w:i/>
                      <w:iCs/>
                    </w:rPr>
                    <w:t>SD</w:t>
                  </w:r>
                </w:p>
              </w:tc>
              <w:tc>
                <w:tcPr>
                  <w:tcW w:w="1429" w:type="dxa"/>
                  <w:tcBorders>
                    <w:bottom w:val="single" w:sz="12" w:space="0" w:color="000000"/>
                  </w:tcBorders>
                  <w:vAlign w:val="center"/>
                </w:tcPr>
                <w:p>
                  <w:pPr>
                    <w:pStyle w:val="Compact"/>
                    <w:spacing w:before="36" w:after="36"/>
                    <w:jc w:val="center"/>
                    <w:rPr>
                      <w:b w:val="false"/>
                    </w:rPr>
                  </w:pPr>
                  <w:r>
                    <w:rPr>
                      <w:b w:val="false"/>
                    </w:rPr>
                    <w:t>95% CI</w:t>
                  </w:r>
                </w:p>
              </w:tc>
              <w:tc>
                <w:tcPr>
                  <w:tcW w:w="885" w:type="dxa"/>
                  <w:tcBorders>
                    <w:bottom w:val="single" w:sz="12" w:space="0" w:color="000000"/>
                  </w:tcBorders>
                  <w:vAlign w:val="center"/>
                </w:tcPr>
                <w:p>
                  <w:pPr>
                    <w:pStyle w:val="Compact"/>
                    <w:spacing w:before="36" w:after="36"/>
                    <w:jc w:val="center"/>
                    <w:rPr>
                      <w:b w:val="false"/>
                    </w:rPr>
                  </w:pPr>
                  <w:r>
                    <w:rPr>
                      <w:b w:val="false"/>
                    </w:rPr>
                    <w:t>Estimate</w:t>
                  </w:r>
                </w:p>
              </w:tc>
              <w:tc>
                <w:tcPr>
                  <w:tcW w:w="682" w:type="dxa"/>
                  <w:tcBorders>
                    <w:bottom w:val="single" w:sz="12" w:space="0" w:color="000000"/>
                  </w:tcBorders>
                  <w:vAlign w:val="center"/>
                </w:tcPr>
                <w:p>
                  <w:pPr>
                    <w:pStyle w:val="Compact"/>
                    <w:spacing w:before="36" w:after="36"/>
                    <w:jc w:val="center"/>
                    <w:rPr>
                      <w:b w:val="false"/>
                    </w:rPr>
                  </w:pPr>
                  <w:r>
                    <w:rPr>
                      <w:b w:val="false"/>
                      <w:i/>
                      <w:iCs/>
                    </w:rPr>
                    <w:t>SD</w:t>
                  </w:r>
                </w:p>
              </w:tc>
              <w:tc>
                <w:tcPr>
                  <w:tcW w:w="1430" w:type="dxa"/>
                  <w:tcBorders>
                    <w:bottom w:val="single" w:sz="12" w:space="0" w:color="000000"/>
                  </w:tcBorders>
                  <w:vAlign w:val="center"/>
                </w:tcPr>
                <w:p>
                  <w:pPr>
                    <w:pStyle w:val="Compact"/>
                    <w:spacing w:before="36" w:after="36"/>
                    <w:jc w:val="center"/>
                    <w:rPr>
                      <w:b w:val="false"/>
                    </w:rPr>
                  </w:pPr>
                  <w:r>
                    <w:rPr>
                      <w:b w:val="false"/>
                    </w:rPr>
                    <w:t>95% CI</w:t>
                  </w:r>
                </w:p>
              </w:tc>
            </w:tr>
            <w:tr>
              <w:trPr/>
              <w:tc>
                <w:tcPr>
                  <w:tcW w:w="8778" w:type="dxa"/>
                  <w:gridSpan w:val="7"/>
                  <w:tcBorders>
                    <w:top w:val="nil"/>
                    <w:bottom w:val="nil"/>
                  </w:tcBorders>
                  <w:vAlign w:val="center"/>
                </w:tcPr>
                <w:p>
                  <w:pPr>
                    <w:pStyle w:val="Compact"/>
                    <w:spacing w:before="36" w:after="36"/>
                    <w:jc w:val="center"/>
                    <w:rPr/>
                  </w:pPr>
                  <w:r>
                    <w:rPr>
                      <w:b/>
                      <w:bCs/>
                    </w:rPr>
                    <w:t>Stage 1: Diagnostic acquisition</w:t>
                  </w:r>
                </w:p>
              </w:tc>
            </w:tr>
            <w:tr>
              <w:trPr/>
              <w:tc>
                <w:tcPr>
                  <w:tcW w:w="2788" w:type="dxa"/>
                  <w:tcBorders>
                    <w:top w:val="nil"/>
                    <w:bottom w:val="nil"/>
                  </w:tcBorders>
                  <w:vAlign w:val="center"/>
                </w:tcPr>
                <w:p>
                  <w:pPr>
                    <w:pStyle w:val="Compact"/>
                    <w:spacing w:before="36" w:after="36"/>
                    <w:jc w:val="left"/>
                    <w:rPr/>
                  </w:pPr>
                  <w:r>
                    <w:rPr/>
                    <w:t>Acquisition cost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t>)</w:t>
                  </w:r>
                </w:p>
              </w:tc>
              <w:tc>
                <w:tcPr>
                  <w:tcW w:w="884" w:type="dxa"/>
                  <w:tcBorders>
                    <w:top w:val="nil"/>
                    <w:bottom w:val="nil"/>
                  </w:tcBorders>
                  <w:vAlign w:val="center"/>
                </w:tcPr>
                <w:p>
                  <w:pPr>
                    <w:pStyle w:val="Compact"/>
                    <w:spacing w:before="36" w:after="36"/>
                    <w:jc w:val="center"/>
                    <w:rPr/>
                  </w:pPr>
                  <w:r>
                    <w:rPr/>
                    <w:t>-0.270</w:t>
                  </w:r>
                </w:p>
              </w:tc>
              <w:tc>
                <w:tcPr>
                  <w:tcW w:w="680" w:type="dxa"/>
                  <w:tcBorders>
                    <w:top w:val="nil"/>
                    <w:bottom w:val="nil"/>
                  </w:tcBorders>
                  <w:vAlign w:val="center"/>
                </w:tcPr>
                <w:p>
                  <w:pPr>
                    <w:pStyle w:val="Compact"/>
                    <w:spacing w:before="36" w:after="36"/>
                    <w:jc w:val="center"/>
                    <w:rPr/>
                  </w:pPr>
                  <w:r>
                    <w:rPr/>
                    <w:t>0.217</w:t>
                  </w:r>
                </w:p>
              </w:tc>
              <w:tc>
                <w:tcPr>
                  <w:tcW w:w="1429" w:type="dxa"/>
                  <w:tcBorders>
                    <w:top w:val="nil"/>
                    <w:bottom w:val="nil"/>
                  </w:tcBorders>
                  <w:vAlign w:val="center"/>
                </w:tcPr>
                <w:p>
                  <w:pPr>
                    <w:pStyle w:val="Compact"/>
                    <w:spacing w:before="36" w:after="36"/>
                    <w:jc w:val="center"/>
                    <w:rPr/>
                  </w:pPr>
                  <w:r>
                    <w:rPr/>
                    <w:t>[-0.698, 0.161]</w:t>
                  </w:r>
                </w:p>
              </w:tc>
              <w:tc>
                <w:tcPr>
                  <w:tcW w:w="885" w:type="dxa"/>
                  <w:tcBorders>
                    <w:top w:val="nil"/>
                    <w:bottom w:val="nil"/>
                  </w:tcBorders>
                  <w:vAlign w:val="center"/>
                </w:tcPr>
                <w:p>
                  <w:pPr>
                    <w:pStyle w:val="Compact"/>
                    <w:spacing w:before="36" w:after="36"/>
                    <w:jc w:val="center"/>
                    <w:rPr/>
                  </w:pPr>
                  <w:r>
                    <w:rPr/>
                    <w:t>-0.674</w:t>
                  </w:r>
                </w:p>
              </w:tc>
              <w:tc>
                <w:tcPr>
                  <w:tcW w:w="682" w:type="dxa"/>
                  <w:tcBorders>
                    <w:top w:val="nil"/>
                    <w:bottom w:val="nil"/>
                  </w:tcBorders>
                  <w:vAlign w:val="center"/>
                </w:tcPr>
                <w:p>
                  <w:pPr>
                    <w:pStyle w:val="Compact"/>
                    <w:spacing w:before="36" w:after="36"/>
                    <w:jc w:val="center"/>
                    <w:rPr/>
                  </w:pPr>
                  <w:r>
                    <w:rPr/>
                    <w:t>0.462</w:t>
                  </w:r>
                </w:p>
              </w:tc>
              <w:tc>
                <w:tcPr>
                  <w:tcW w:w="1430" w:type="dxa"/>
                  <w:tcBorders>
                    <w:top w:val="nil"/>
                    <w:bottom w:val="nil"/>
                  </w:tcBorders>
                  <w:vAlign w:val="center"/>
                </w:tcPr>
                <w:p>
                  <w:pPr>
                    <w:pStyle w:val="Compact"/>
                    <w:spacing w:before="36" w:after="36"/>
                    <w:jc w:val="center"/>
                    <w:rPr/>
                  </w:pPr>
                  <w:r>
                    <w:rPr/>
                    <w:t>[-1.582, 0.260]</w:t>
                  </w:r>
                </w:p>
              </w:tc>
            </w:tr>
            <w:tr>
              <w:trPr/>
              <w:tc>
                <w:tcPr>
                  <w:tcW w:w="2788" w:type="dxa"/>
                  <w:tcBorders>
                    <w:top w:val="nil"/>
                    <w:bottom w:val="nil"/>
                  </w:tcBorders>
                  <w:vAlign w:val="center"/>
                </w:tcPr>
                <w:p>
                  <w:pPr>
                    <w:pStyle w:val="Compact"/>
                    <w:spacing w:before="36" w:after="36"/>
                    <w:jc w:val="left"/>
                    <w:rPr/>
                  </w:pPr>
                  <w:r>
                    <w:rPr/>
                    <w:t>Vague goal prompt (</w:t>
                  </w:r>
                  <w:r>
                    <w:rPr/>
                  </w:r>
                  <m:oMath xmlns:m="http://schemas.openxmlformats.org/officeDocument/2006/math">
                    <m:sSub>
                      <m:e>
                        <m:r>
                          <w:rPr>
                            <w:rFonts w:ascii="Cambria Math" w:hAnsi="Cambria Math"/>
                          </w:rPr>
                          <m:t xml:space="preserve">a</m:t>
                        </m:r>
                      </m:e>
                      <m:sub>
                        <m:r>
                          <w:rPr>
                            <w:rFonts w:ascii="Cambria Math" w:hAnsi="Cambria Math"/>
                          </w:rPr>
                          <m:t xml:space="preserve">2</m:t>
                        </m:r>
                      </m:sub>
                    </m:sSub>
                  </m:oMath>
                  <w:r>
                    <w:rPr/>
                    <w:t>)</w:t>
                  </w:r>
                </w:p>
              </w:tc>
              <w:tc>
                <w:tcPr>
                  <w:tcW w:w="884" w:type="dxa"/>
                  <w:tcBorders>
                    <w:top w:val="nil"/>
                    <w:bottom w:val="nil"/>
                  </w:tcBorders>
                  <w:vAlign w:val="center"/>
                </w:tcPr>
                <w:p>
                  <w:pPr>
                    <w:pStyle w:val="Compact"/>
                    <w:spacing w:before="36" w:after="36"/>
                    <w:jc w:val="center"/>
                    <w:rPr/>
                  </w:pPr>
                  <w:r>
                    <w:rPr/>
                    <w:t>-0.135</w:t>
                  </w:r>
                </w:p>
              </w:tc>
              <w:tc>
                <w:tcPr>
                  <w:tcW w:w="680" w:type="dxa"/>
                  <w:tcBorders>
                    <w:top w:val="nil"/>
                    <w:bottom w:val="nil"/>
                  </w:tcBorders>
                  <w:vAlign w:val="center"/>
                </w:tcPr>
                <w:p>
                  <w:pPr>
                    <w:pStyle w:val="Compact"/>
                    <w:spacing w:before="36" w:after="36"/>
                    <w:jc w:val="center"/>
                    <w:rPr/>
                  </w:pPr>
                  <w:r>
                    <w:rPr/>
                    <w:t>0.117</w:t>
                  </w:r>
                </w:p>
              </w:tc>
              <w:tc>
                <w:tcPr>
                  <w:tcW w:w="1429" w:type="dxa"/>
                  <w:tcBorders>
                    <w:top w:val="nil"/>
                    <w:bottom w:val="nil"/>
                  </w:tcBorders>
                  <w:vAlign w:val="center"/>
                </w:tcPr>
                <w:p>
                  <w:pPr>
                    <w:pStyle w:val="Compact"/>
                    <w:spacing w:before="36" w:after="36"/>
                    <w:jc w:val="center"/>
                    <w:rPr/>
                  </w:pPr>
                  <w:r>
                    <w:rPr/>
                    <w:t>[-0.371, 0.095]</w:t>
                  </w:r>
                </w:p>
              </w:tc>
              <w:tc>
                <w:tcPr>
                  <w:tcW w:w="885" w:type="dxa"/>
                  <w:tcBorders>
                    <w:top w:val="nil"/>
                    <w:bottom w:val="nil"/>
                  </w:tcBorders>
                  <w:vAlign w:val="center"/>
                </w:tcPr>
                <w:p>
                  <w:pPr>
                    <w:pStyle w:val="Compact"/>
                    <w:spacing w:before="36" w:after="36"/>
                    <w:jc w:val="center"/>
                    <w:rPr/>
                  </w:pPr>
                  <w:r>
                    <w:rPr/>
                    <w:t>0.015</w:t>
                  </w:r>
                </w:p>
              </w:tc>
              <w:tc>
                <w:tcPr>
                  <w:tcW w:w="682" w:type="dxa"/>
                  <w:tcBorders>
                    <w:top w:val="nil"/>
                    <w:bottom w:val="nil"/>
                  </w:tcBorders>
                  <w:vAlign w:val="center"/>
                </w:tcPr>
                <w:p>
                  <w:pPr>
                    <w:pStyle w:val="Compact"/>
                    <w:spacing w:before="36" w:after="36"/>
                    <w:jc w:val="center"/>
                    <w:rPr/>
                  </w:pPr>
                  <w:r>
                    <w:rPr/>
                    <w:t>0.072</w:t>
                  </w:r>
                </w:p>
              </w:tc>
              <w:tc>
                <w:tcPr>
                  <w:tcW w:w="1430" w:type="dxa"/>
                  <w:tcBorders>
                    <w:top w:val="nil"/>
                    <w:bottom w:val="nil"/>
                  </w:tcBorders>
                  <w:vAlign w:val="center"/>
                </w:tcPr>
                <w:p>
                  <w:pPr>
                    <w:pStyle w:val="Compact"/>
                    <w:spacing w:before="36" w:after="36"/>
                    <w:jc w:val="center"/>
                    <w:rPr/>
                  </w:pPr>
                  <w:r>
                    <w:rPr/>
                    <w:t>[-0.125, 0.156]</w:t>
                  </w:r>
                </w:p>
              </w:tc>
            </w:tr>
            <w:tr>
              <w:trPr/>
              <w:tc>
                <w:tcPr>
                  <w:tcW w:w="2788" w:type="dxa"/>
                  <w:tcBorders>
                    <w:top w:val="nil"/>
                    <w:bottom w:val="nil"/>
                  </w:tcBorders>
                  <w:vAlign w:val="center"/>
                </w:tcPr>
                <w:p>
                  <w:pPr>
                    <w:pStyle w:val="Compact"/>
                    <w:spacing w:before="36" w:after="36"/>
                    <w:jc w:val="left"/>
                    <w:rPr/>
                  </w:pPr>
                  <w:r>
                    <w:rPr/>
                    <w:t xml:space="preserve">Acquisition cost </w:t>
                  </w:r>
                  <w:r>
                    <w:rPr/>
                  </w:r>
                  <m:oMath xmlns:m="http://schemas.openxmlformats.org/officeDocument/2006/math">
                    <m:r>
                      <w:rPr>
                        <w:rFonts w:ascii="Cambria Math" w:hAnsi="Cambria Math"/>
                      </w:rPr>
                      <m:t xml:space="preserve">×</m:t>
                    </m:r>
                  </m:oMath>
                  <w:r>
                    <w:rPr/>
                    <w:t xml:space="preserve"> Vague goal prompt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w:t>
                  </w:r>
                </w:p>
              </w:tc>
              <w:tc>
                <w:tcPr>
                  <w:tcW w:w="884" w:type="dxa"/>
                  <w:tcBorders>
                    <w:top w:val="nil"/>
                    <w:bottom w:val="nil"/>
                  </w:tcBorders>
                  <w:vAlign w:val="center"/>
                </w:tcPr>
                <w:p>
                  <w:pPr>
                    <w:pStyle w:val="Compact"/>
                    <w:spacing w:before="36" w:after="36"/>
                    <w:jc w:val="center"/>
                    <w:rPr/>
                  </w:pPr>
                  <w:r>
                    <w:rPr/>
                    <w:t>-1.727*</w:t>
                  </w:r>
                </w:p>
              </w:tc>
              <w:tc>
                <w:tcPr>
                  <w:tcW w:w="680" w:type="dxa"/>
                  <w:tcBorders>
                    <w:top w:val="nil"/>
                    <w:bottom w:val="nil"/>
                  </w:tcBorders>
                  <w:vAlign w:val="center"/>
                </w:tcPr>
                <w:p>
                  <w:pPr>
                    <w:pStyle w:val="Compact"/>
                    <w:spacing w:before="36" w:after="36"/>
                    <w:jc w:val="center"/>
                    <w:rPr/>
                  </w:pPr>
                  <w:r>
                    <w:rPr/>
                    <w:t>0.467</w:t>
                  </w:r>
                </w:p>
              </w:tc>
              <w:tc>
                <w:tcPr>
                  <w:tcW w:w="1429" w:type="dxa"/>
                  <w:tcBorders>
                    <w:top w:val="nil"/>
                    <w:bottom w:val="nil"/>
                  </w:tcBorders>
                  <w:vAlign w:val="center"/>
                </w:tcPr>
                <w:p>
                  <w:pPr>
                    <w:pStyle w:val="Compact"/>
                    <w:spacing w:before="36" w:after="36"/>
                    <w:jc w:val="center"/>
                    <w:rPr/>
                  </w:pPr>
                  <w:r>
                    <w:rPr/>
                    <w:t>[-2.641, -0.765]</w:t>
                  </w:r>
                </w:p>
              </w:tc>
              <w:tc>
                <w:tcPr>
                  <w:tcW w:w="885" w:type="dxa"/>
                  <w:tcBorders>
                    <w:top w:val="nil"/>
                    <w:bottom w:val="nil"/>
                  </w:tcBorders>
                  <w:vAlign w:val="center"/>
                </w:tcPr>
                <w:p>
                  <w:pPr>
                    <w:pStyle w:val="Compact"/>
                    <w:spacing w:before="36" w:after="36"/>
                    <w:jc w:val="center"/>
                    <w:rPr/>
                  </w:pPr>
                  <w:r>
                    <w:rPr/>
                    <w:t>-2.902*</w:t>
                  </w:r>
                </w:p>
              </w:tc>
              <w:tc>
                <w:tcPr>
                  <w:tcW w:w="682" w:type="dxa"/>
                  <w:tcBorders>
                    <w:top w:val="nil"/>
                    <w:bottom w:val="nil"/>
                  </w:tcBorders>
                  <w:vAlign w:val="center"/>
                </w:tcPr>
                <w:p>
                  <w:pPr>
                    <w:pStyle w:val="Compact"/>
                    <w:spacing w:before="36" w:after="36"/>
                    <w:jc w:val="center"/>
                    <w:rPr/>
                  </w:pPr>
                  <w:r>
                    <w:rPr/>
                    <w:t>1.121</w:t>
                  </w:r>
                </w:p>
              </w:tc>
              <w:tc>
                <w:tcPr>
                  <w:tcW w:w="1430" w:type="dxa"/>
                  <w:tcBorders>
                    <w:top w:val="nil"/>
                    <w:bottom w:val="nil"/>
                  </w:tcBorders>
                  <w:vAlign w:val="center"/>
                </w:tcPr>
                <w:p>
                  <w:pPr>
                    <w:pStyle w:val="Compact"/>
                    <w:spacing w:before="36" w:after="36"/>
                    <w:jc w:val="center"/>
                    <w:rPr/>
                  </w:pPr>
                  <w:r>
                    <w:rPr/>
                    <w:t>[-5.027, -0.539]</w:t>
                  </w:r>
                </w:p>
              </w:tc>
            </w:tr>
            <w:tr>
              <w:trPr/>
              <w:tc>
                <w:tcPr>
                  <w:tcW w:w="2788" w:type="dxa"/>
                  <w:tcBorders>
                    <w:top w:val="nil"/>
                    <w:bottom w:val="nil"/>
                  </w:tcBorders>
                  <w:vAlign w:val="center"/>
                </w:tcPr>
                <w:p>
                  <w:pPr>
                    <w:pStyle w:val="Compact"/>
                    <w:spacing w:before="36" w:after="36"/>
                    <w:jc w:val="left"/>
                    <w:rPr/>
                  </w:pPr>
                  <w:r>
                    <w:rPr/>
                    <w:t>Acquisition cost under 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oMath>
                  <w:r>
                    <w:rPr/>
                    <w:t>)</w:t>
                  </w:r>
                </w:p>
              </w:tc>
              <w:tc>
                <w:tcPr>
                  <w:tcW w:w="884" w:type="dxa"/>
                  <w:tcBorders>
                    <w:top w:val="nil"/>
                    <w:bottom w:val="nil"/>
                  </w:tcBorders>
                  <w:vAlign w:val="center"/>
                </w:tcPr>
                <w:p>
                  <w:pPr>
                    <w:pStyle w:val="Compact"/>
                    <w:spacing w:before="36" w:after="36"/>
                    <w:jc w:val="center"/>
                    <w:rPr/>
                  </w:pPr>
                  <w:r>
                    <w:rPr/>
                    <w:t>-1.997*</w:t>
                  </w:r>
                </w:p>
              </w:tc>
              <w:tc>
                <w:tcPr>
                  <w:tcW w:w="680" w:type="dxa"/>
                  <w:tcBorders>
                    <w:top w:val="nil"/>
                    <w:bottom w:val="nil"/>
                  </w:tcBorders>
                  <w:vAlign w:val="center"/>
                </w:tcPr>
                <w:p>
                  <w:pPr>
                    <w:pStyle w:val="Compact"/>
                    <w:spacing w:before="36" w:after="36"/>
                    <w:jc w:val="center"/>
                    <w:rPr/>
                  </w:pPr>
                  <w:r>
                    <w:rPr/>
                    <w:t>0.487</w:t>
                  </w:r>
                </w:p>
              </w:tc>
              <w:tc>
                <w:tcPr>
                  <w:tcW w:w="1429" w:type="dxa"/>
                  <w:tcBorders>
                    <w:top w:val="nil"/>
                    <w:bottom w:val="nil"/>
                  </w:tcBorders>
                  <w:vAlign w:val="center"/>
                </w:tcPr>
                <w:p>
                  <w:pPr>
                    <w:pStyle w:val="Compact"/>
                    <w:spacing w:before="36" w:after="36"/>
                    <w:jc w:val="center"/>
                    <w:rPr/>
                  </w:pPr>
                  <w:r>
                    <w:rPr/>
                    <w:t>[-2.952, -1.003]</w:t>
                  </w:r>
                </w:p>
              </w:tc>
              <w:tc>
                <w:tcPr>
                  <w:tcW w:w="885" w:type="dxa"/>
                  <w:tcBorders>
                    <w:top w:val="nil"/>
                    <w:bottom w:val="nil"/>
                  </w:tcBorders>
                  <w:vAlign w:val="center"/>
                </w:tcPr>
                <w:p>
                  <w:pPr>
                    <w:pStyle w:val="Compact"/>
                    <w:spacing w:before="36" w:after="36"/>
                    <w:jc w:val="center"/>
                    <w:rPr/>
                  </w:pPr>
                  <w:r>
                    <w:rPr/>
                    <w:t>-3.576*</w:t>
                  </w:r>
                </w:p>
              </w:tc>
              <w:tc>
                <w:tcPr>
                  <w:tcW w:w="682" w:type="dxa"/>
                  <w:tcBorders>
                    <w:top w:val="nil"/>
                    <w:bottom w:val="nil"/>
                  </w:tcBorders>
                  <w:vAlign w:val="center"/>
                </w:tcPr>
                <w:p>
                  <w:pPr>
                    <w:pStyle w:val="Compact"/>
                    <w:spacing w:before="36" w:after="36"/>
                    <w:jc w:val="center"/>
                    <w:rPr/>
                  </w:pPr>
                  <w:r>
                    <w:rPr/>
                    <w:t>1.218</w:t>
                  </w:r>
                </w:p>
              </w:tc>
              <w:tc>
                <w:tcPr>
                  <w:tcW w:w="1430" w:type="dxa"/>
                  <w:tcBorders>
                    <w:top w:val="nil"/>
                    <w:bottom w:val="nil"/>
                  </w:tcBorders>
                  <w:vAlign w:val="center"/>
                </w:tcPr>
                <w:p>
                  <w:pPr>
                    <w:pStyle w:val="Compact"/>
                    <w:spacing w:before="36" w:after="36"/>
                    <w:jc w:val="center"/>
                    <w:rPr/>
                  </w:pPr>
                  <w:r>
                    <w:rPr/>
                    <w:t>[-5.925, -1.062]</w:t>
                  </w:r>
                </w:p>
              </w:tc>
            </w:tr>
            <w:tr>
              <w:trPr/>
              <w:tc>
                <w:tcPr>
                  <w:tcW w:w="8778" w:type="dxa"/>
                  <w:gridSpan w:val="7"/>
                  <w:tcBorders>
                    <w:top w:val="nil"/>
                    <w:bottom w:val="nil"/>
                  </w:tcBorders>
                  <w:vAlign w:val="center"/>
                </w:tcPr>
                <w:p>
                  <w:pPr>
                    <w:pStyle w:val="Compact"/>
                    <w:spacing w:before="36" w:after="36"/>
                    <w:jc w:val="center"/>
                    <w:rPr/>
                  </w:pPr>
                  <w:r>
                    <w:rPr>
                      <w:b/>
                      <w:bCs/>
                    </w:rPr>
                    <w:t>Stage 2: Choice optimality</w:t>
                  </w:r>
                </w:p>
              </w:tc>
            </w:tr>
            <w:tr>
              <w:trPr/>
              <w:tc>
                <w:tcPr>
                  <w:tcW w:w="2788" w:type="dxa"/>
                  <w:tcBorders>
                    <w:top w:val="nil"/>
                    <w:bottom w:val="nil"/>
                  </w:tcBorders>
                  <w:vAlign w:val="center"/>
                </w:tcPr>
                <w:p>
                  <w:pPr>
                    <w:pStyle w:val="Compact"/>
                    <w:spacing w:before="36" w:after="36"/>
                    <w:jc w:val="left"/>
                    <w:rPr/>
                  </w:pPr>
                  <w:r>
                    <w:rPr/>
                    <w:t>Diagnostic acquisition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w:t>
                  </w:r>
                </w:p>
              </w:tc>
              <w:tc>
                <w:tcPr>
                  <w:tcW w:w="884" w:type="dxa"/>
                  <w:tcBorders>
                    <w:top w:val="nil"/>
                    <w:bottom w:val="nil"/>
                  </w:tcBorders>
                  <w:vAlign w:val="center"/>
                </w:tcPr>
                <w:p>
                  <w:pPr>
                    <w:pStyle w:val="Compact"/>
                    <w:spacing w:before="36" w:after="36"/>
                    <w:jc w:val="center"/>
                    <w:rPr/>
                  </w:pPr>
                  <w:r>
                    <w:rPr/>
                    <w:t>0.263*</w:t>
                  </w:r>
                </w:p>
              </w:tc>
              <w:tc>
                <w:tcPr>
                  <w:tcW w:w="680" w:type="dxa"/>
                  <w:tcBorders>
                    <w:top w:val="nil"/>
                    <w:bottom w:val="nil"/>
                  </w:tcBorders>
                  <w:vAlign w:val="center"/>
                </w:tcPr>
                <w:p>
                  <w:pPr>
                    <w:pStyle w:val="Compact"/>
                    <w:spacing w:before="36" w:after="36"/>
                    <w:jc w:val="center"/>
                    <w:rPr/>
                  </w:pPr>
                  <w:r>
                    <w:rPr/>
                    <w:t>0.034</w:t>
                  </w:r>
                </w:p>
              </w:tc>
              <w:tc>
                <w:tcPr>
                  <w:tcW w:w="1429" w:type="dxa"/>
                  <w:tcBorders>
                    <w:top w:val="nil"/>
                    <w:bottom w:val="nil"/>
                  </w:tcBorders>
                  <w:vAlign w:val="center"/>
                </w:tcPr>
                <w:p>
                  <w:pPr>
                    <w:pStyle w:val="Compact"/>
                    <w:spacing w:before="36" w:after="36"/>
                    <w:jc w:val="center"/>
                    <w:rPr/>
                  </w:pPr>
                  <w:r>
                    <w:rPr/>
                    <w:t>[0.196, 0.329]</w:t>
                  </w:r>
                </w:p>
              </w:tc>
              <w:tc>
                <w:tcPr>
                  <w:tcW w:w="885" w:type="dxa"/>
                  <w:tcBorders>
                    <w:top w:val="nil"/>
                    <w:bottom w:val="nil"/>
                  </w:tcBorders>
                  <w:vAlign w:val="center"/>
                </w:tcPr>
                <w:p>
                  <w:pPr>
                    <w:pStyle w:val="Compact"/>
                    <w:spacing w:before="36" w:after="36"/>
                    <w:jc w:val="center"/>
                    <w:rPr/>
                  </w:pPr>
                  <w:r>
                    <w:rPr/>
                    <w:t>0.078*</w:t>
                  </w:r>
                </w:p>
              </w:tc>
              <w:tc>
                <w:tcPr>
                  <w:tcW w:w="682" w:type="dxa"/>
                  <w:tcBorders>
                    <w:top w:val="nil"/>
                    <w:bottom w:val="nil"/>
                  </w:tcBorders>
                  <w:vAlign w:val="center"/>
                </w:tcPr>
                <w:p>
                  <w:pPr>
                    <w:pStyle w:val="Compact"/>
                    <w:spacing w:before="36" w:after="36"/>
                    <w:jc w:val="center"/>
                    <w:rPr/>
                  </w:pPr>
                  <w:r>
                    <w:rPr/>
                    <w:t>0.031</w:t>
                  </w:r>
                </w:p>
              </w:tc>
              <w:tc>
                <w:tcPr>
                  <w:tcW w:w="1430" w:type="dxa"/>
                  <w:tcBorders>
                    <w:top w:val="nil"/>
                    <w:bottom w:val="nil"/>
                  </w:tcBorders>
                  <w:vAlign w:val="center"/>
                </w:tcPr>
                <w:p>
                  <w:pPr>
                    <w:pStyle w:val="Compact"/>
                    <w:spacing w:before="36" w:after="36"/>
                    <w:jc w:val="center"/>
                    <w:rPr/>
                  </w:pPr>
                  <w:r>
                    <w:rPr/>
                    <w:t>[0.016, 0.141]</w:t>
                  </w:r>
                </w:p>
              </w:tc>
            </w:tr>
            <w:tr>
              <w:trPr/>
              <w:tc>
                <w:tcPr>
                  <w:tcW w:w="2788" w:type="dxa"/>
                  <w:tcBorders>
                    <w:top w:val="nil"/>
                    <w:bottom w:val="nil"/>
                  </w:tcBorders>
                  <w:vAlign w:val="center"/>
                </w:tcPr>
                <w:p>
                  <w:pPr>
                    <w:pStyle w:val="Compact"/>
                    <w:spacing w:before="36" w:after="36"/>
                    <w:jc w:val="left"/>
                    <w:rPr/>
                  </w:pPr>
                  <w:r>
                    <w:rPr/>
                    <w:t>Acquisition cost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oMath>
                  <w:r>
                    <w:rPr/>
                    <w:t>)</w:t>
                  </w:r>
                </w:p>
              </w:tc>
              <w:tc>
                <w:tcPr>
                  <w:tcW w:w="884" w:type="dxa"/>
                  <w:tcBorders>
                    <w:top w:val="nil"/>
                    <w:bottom w:val="nil"/>
                  </w:tcBorders>
                  <w:vAlign w:val="center"/>
                </w:tcPr>
                <w:p>
                  <w:pPr>
                    <w:pStyle w:val="Compact"/>
                    <w:spacing w:before="36" w:after="36"/>
                    <w:jc w:val="center"/>
                    <w:rPr/>
                  </w:pPr>
                  <w:r>
                    <w:rPr/>
                    <w:t>-0.100</w:t>
                  </w:r>
                </w:p>
              </w:tc>
              <w:tc>
                <w:tcPr>
                  <w:tcW w:w="680" w:type="dxa"/>
                  <w:tcBorders>
                    <w:top w:val="nil"/>
                    <w:bottom w:val="nil"/>
                  </w:tcBorders>
                  <w:vAlign w:val="center"/>
                </w:tcPr>
                <w:p>
                  <w:pPr>
                    <w:pStyle w:val="Compact"/>
                    <w:spacing w:before="36" w:after="36"/>
                    <w:jc w:val="center"/>
                    <w:rPr/>
                  </w:pPr>
                  <w:r>
                    <w:rPr/>
                    <w:t>0.076</w:t>
                  </w:r>
                </w:p>
              </w:tc>
              <w:tc>
                <w:tcPr>
                  <w:tcW w:w="1429" w:type="dxa"/>
                  <w:tcBorders>
                    <w:top w:val="nil"/>
                    <w:bottom w:val="nil"/>
                  </w:tcBorders>
                  <w:vAlign w:val="center"/>
                </w:tcPr>
                <w:p>
                  <w:pPr>
                    <w:pStyle w:val="Compact"/>
                    <w:spacing w:before="36" w:after="36"/>
                    <w:jc w:val="center"/>
                    <w:rPr/>
                  </w:pPr>
                  <w:r>
                    <w:rPr/>
                    <w:t>[-0.251, 0.051]</w:t>
                  </w:r>
                </w:p>
              </w:tc>
              <w:tc>
                <w:tcPr>
                  <w:tcW w:w="885" w:type="dxa"/>
                  <w:tcBorders>
                    <w:top w:val="nil"/>
                    <w:bottom w:val="nil"/>
                  </w:tcBorders>
                  <w:vAlign w:val="center"/>
                </w:tcPr>
                <w:p>
                  <w:pPr>
                    <w:pStyle w:val="Compact"/>
                    <w:spacing w:before="36" w:after="36"/>
                    <w:jc w:val="center"/>
                    <w:rPr/>
                  </w:pPr>
                  <w:r>
                    <w:rPr/>
                    <w:t>-0.006</w:t>
                  </w:r>
                </w:p>
              </w:tc>
              <w:tc>
                <w:tcPr>
                  <w:tcW w:w="682" w:type="dxa"/>
                  <w:tcBorders>
                    <w:top w:val="nil"/>
                    <w:bottom w:val="nil"/>
                  </w:tcBorders>
                  <w:vAlign w:val="center"/>
                </w:tcPr>
                <w:p>
                  <w:pPr>
                    <w:pStyle w:val="Compact"/>
                    <w:spacing w:before="36" w:after="36"/>
                    <w:jc w:val="center"/>
                    <w:rPr/>
                  </w:pPr>
                  <w:r>
                    <w:rPr/>
                    <w:t>0.020</w:t>
                  </w:r>
                </w:p>
              </w:tc>
              <w:tc>
                <w:tcPr>
                  <w:tcW w:w="1430" w:type="dxa"/>
                  <w:tcBorders>
                    <w:top w:val="nil"/>
                    <w:bottom w:val="nil"/>
                  </w:tcBorders>
                  <w:vAlign w:val="center"/>
                </w:tcPr>
                <w:p>
                  <w:pPr>
                    <w:pStyle w:val="Compact"/>
                    <w:spacing w:before="36" w:after="36"/>
                    <w:jc w:val="center"/>
                    <w:rPr/>
                  </w:pPr>
                  <w:r>
                    <w:rPr/>
                    <w:t>[-0.045, 0.035]</w:t>
                  </w:r>
                </w:p>
              </w:tc>
            </w:tr>
            <w:tr>
              <w:trPr/>
              <w:tc>
                <w:tcPr>
                  <w:tcW w:w="2788" w:type="dxa"/>
                  <w:tcBorders>
                    <w:top w:val="nil"/>
                    <w:bottom w:val="nil"/>
                  </w:tcBorders>
                  <w:vAlign w:val="center"/>
                </w:tcPr>
                <w:p>
                  <w:pPr>
                    <w:pStyle w:val="Compact"/>
                    <w:spacing w:before="36" w:after="36"/>
                    <w:jc w:val="left"/>
                    <w:rPr/>
                  </w:pPr>
                  <w:r>
                    <w:rPr/>
                    <w:t>Vague goal prompt (</w:t>
                  </w:r>
                  <w:r>
                    <w:rPr/>
                  </w:r>
                  <m:oMath xmlns:m="http://schemas.openxmlformats.org/officeDocument/2006/math">
                    <m:sSub>
                      <m:e>
                        <m:r>
                          <w:rPr>
                            <w:rFonts w:ascii="Cambria Math" w:hAnsi="Cambria Math"/>
                          </w:rPr>
                          <m:t xml:space="preserve">c</m:t>
                        </m:r>
                      </m:e>
                      <m:sub>
                        <m:r>
                          <w:rPr>
                            <w:rFonts w:ascii="Cambria Math" w:hAnsi="Cambria Math"/>
                          </w:rPr>
                          <m:t xml:space="preserve">2</m:t>
                        </m:r>
                      </m:sub>
                    </m:sSub>
                  </m:oMath>
                  <w:r>
                    <w:rPr/>
                    <w:t>)</w:t>
                  </w:r>
                </w:p>
              </w:tc>
              <w:tc>
                <w:tcPr>
                  <w:tcW w:w="884" w:type="dxa"/>
                  <w:tcBorders>
                    <w:top w:val="nil"/>
                    <w:bottom w:val="nil"/>
                  </w:tcBorders>
                  <w:vAlign w:val="center"/>
                </w:tcPr>
                <w:p>
                  <w:pPr>
                    <w:pStyle w:val="Compact"/>
                    <w:spacing w:before="36" w:after="36"/>
                    <w:jc w:val="center"/>
                    <w:rPr/>
                  </w:pPr>
                  <w:r>
                    <w:rPr/>
                    <w:t>-0.056*</w:t>
                  </w:r>
                </w:p>
              </w:tc>
              <w:tc>
                <w:tcPr>
                  <w:tcW w:w="680" w:type="dxa"/>
                  <w:tcBorders>
                    <w:top w:val="nil"/>
                    <w:bottom w:val="nil"/>
                  </w:tcBorders>
                  <w:vAlign w:val="center"/>
                </w:tcPr>
                <w:p>
                  <w:pPr>
                    <w:pStyle w:val="Compact"/>
                    <w:spacing w:before="36" w:after="36"/>
                    <w:jc w:val="center"/>
                    <w:rPr/>
                  </w:pPr>
                  <w:r>
                    <w:rPr/>
                    <w:t>0.019</w:t>
                  </w:r>
                </w:p>
              </w:tc>
              <w:tc>
                <w:tcPr>
                  <w:tcW w:w="1429" w:type="dxa"/>
                  <w:tcBorders>
                    <w:top w:val="nil"/>
                    <w:bottom w:val="nil"/>
                  </w:tcBorders>
                  <w:vAlign w:val="center"/>
                </w:tcPr>
                <w:p>
                  <w:pPr>
                    <w:pStyle w:val="Compact"/>
                    <w:spacing w:before="36" w:after="36"/>
                    <w:jc w:val="center"/>
                    <w:rPr/>
                  </w:pPr>
                  <w:r>
                    <w:rPr/>
                    <w:t>[-0.094, -0.018]</w:t>
                  </w:r>
                </w:p>
              </w:tc>
              <w:tc>
                <w:tcPr>
                  <w:tcW w:w="885" w:type="dxa"/>
                  <w:tcBorders>
                    <w:top w:val="nil"/>
                    <w:bottom w:val="nil"/>
                  </w:tcBorders>
                  <w:vAlign w:val="center"/>
                </w:tcPr>
                <w:p>
                  <w:pPr>
                    <w:pStyle w:val="Compact"/>
                    <w:spacing w:before="36" w:after="36"/>
                    <w:jc w:val="center"/>
                    <w:rPr/>
                  </w:pPr>
                  <w:r>
                    <w:rPr/>
                    <w:t>-0.083*</w:t>
                  </w:r>
                </w:p>
              </w:tc>
              <w:tc>
                <w:tcPr>
                  <w:tcW w:w="682" w:type="dxa"/>
                  <w:tcBorders>
                    <w:top w:val="nil"/>
                    <w:bottom w:val="nil"/>
                  </w:tcBorders>
                  <w:vAlign w:val="center"/>
                </w:tcPr>
                <w:p>
                  <w:pPr>
                    <w:pStyle w:val="Compact"/>
                    <w:spacing w:before="36" w:after="36"/>
                    <w:jc w:val="center"/>
                    <w:rPr/>
                  </w:pPr>
                  <w:r>
                    <w:rPr/>
                    <w:t>0.039</w:t>
                  </w:r>
                </w:p>
              </w:tc>
              <w:tc>
                <w:tcPr>
                  <w:tcW w:w="1430" w:type="dxa"/>
                  <w:tcBorders>
                    <w:top w:val="nil"/>
                    <w:bottom w:val="nil"/>
                  </w:tcBorders>
                  <w:vAlign w:val="center"/>
                </w:tcPr>
                <w:p>
                  <w:pPr>
                    <w:pStyle w:val="Compact"/>
                    <w:spacing w:before="36" w:after="36"/>
                    <w:jc w:val="center"/>
                    <w:rPr/>
                  </w:pPr>
                  <w:r>
                    <w:rPr/>
                    <w:t>[-0.162, -0.003]</w:t>
                  </w:r>
                </w:p>
              </w:tc>
            </w:tr>
            <w:tr>
              <w:trPr/>
              <w:tc>
                <w:tcPr>
                  <w:tcW w:w="8778" w:type="dxa"/>
                  <w:gridSpan w:val="7"/>
                  <w:tcBorders>
                    <w:top w:val="nil"/>
                    <w:bottom w:val="nil"/>
                  </w:tcBorders>
                  <w:vAlign w:val="center"/>
                </w:tcPr>
                <w:p>
                  <w:pPr>
                    <w:pStyle w:val="Compact"/>
                    <w:spacing w:before="36" w:after="36"/>
                    <w:jc w:val="center"/>
                    <w:rPr/>
                  </w:pPr>
                  <w:r>
                    <w:rPr>
                      <w:b/>
                      <w:bCs/>
                    </w:rPr>
                    <w:t>Conditional indirect effects</w:t>
                  </w:r>
                </w:p>
              </w:tc>
            </w:tr>
            <w:tr>
              <w:trPr/>
              <w:tc>
                <w:tcPr>
                  <w:tcW w:w="2788" w:type="dxa"/>
                  <w:tcBorders>
                    <w:top w:val="nil"/>
                    <w:bottom w:val="nil"/>
                  </w:tcBorders>
                  <w:vAlign w:val="center"/>
                </w:tcPr>
                <w:p>
                  <w:pPr>
                    <w:pStyle w:val="Compact"/>
                    <w:spacing w:before="36" w:after="36"/>
                    <w:jc w:val="left"/>
                    <w:rPr/>
                  </w:pPr>
                  <w:r>
                    <w:rPr/>
                    <w:t>Specific goal prompt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b</m:t>
                        </m:r>
                      </m:e>
                      <m:sub>
                        <m:r>
                          <w:rPr>
                            <w:rFonts w:ascii="Cambria Math" w:hAnsi="Cambria Math"/>
                          </w:rPr>
                          <m:t xml:space="preserve">1</m:t>
                        </m:r>
                      </m:sub>
                    </m:sSub>
                  </m:oMath>
                  <w:r>
                    <w:rPr/>
                    <w:t>)</w:t>
                  </w:r>
                </w:p>
              </w:tc>
              <w:tc>
                <w:tcPr>
                  <w:tcW w:w="884" w:type="dxa"/>
                  <w:tcBorders>
                    <w:top w:val="nil"/>
                    <w:bottom w:val="nil"/>
                  </w:tcBorders>
                  <w:vAlign w:val="center"/>
                </w:tcPr>
                <w:p>
                  <w:pPr>
                    <w:pStyle w:val="Compact"/>
                    <w:spacing w:before="36" w:after="36"/>
                    <w:jc w:val="center"/>
                    <w:rPr/>
                  </w:pPr>
                  <w:r>
                    <w:rPr/>
                    <w:t>-0.070</w:t>
                  </w:r>
                </w:p>
              </w:tc>
              <w:tc>
                <w:tcPr>
                  <w:tcW w:w="680" w:type="dxa"/>
                  <w:tcBorders>
                    <w:top w:val="nil"/>
                    <w:bottom w:val="nil"/>
                  </w:tcBorders>
                  <w:vAlign w:val="center"/>
                </w:tcPr>
                <w:p>
                  <w:pPr>
                    <w:pStyle w:val="Compact"/>
                    <w:spacing w:before="36" w:after="36"/>
                    <w:jc w:val="center"/>
                    <w:rPr/>
                  </w:pPr>
                  <w:r>
                    <w:rPr/>
                    <w:t>0.057</w:t>
                  </w:r>
                </w:p>
              </w:tc>
              <w:tc>
                <w:tcPr>
                  <w:tcW w:w="1429" w:type="dxa"/>
                  <w:tcBorders>
                    <w:top w:val="nil"/>
                    <w:bottom w:val="nil"/>
                  </w:tcBorders>
                  <w:vAlign w:val="center"/>
                </w:tcPr>
                <w:p>
                  <w:pPr>
                    <w:pStyle w:val="Compact"/>
                    <w:spacing w:before="36" w:after="36"/>
                    <w:jc w:val="center"/>
                    <w:rPr/>
                  </w:pPr>
                  <w:r>
                    <w:rPr/>
                    <w:t>[-0.184, 0.044]</w:t>
                  </w:r>
                </w:p>
              </w:tc>
              <w:tc>
                <w:tcPr>
                  <w:tcW w:w="885" w:type="dxa"/>
                  <w:tcBorders>
                    <w:top w:val="nil"/>
                    <w:bottom w:val="nil"/>
                  </w:tcBorders>
                  <w:vAlign w:val="center"/>
                </w:tcPr>
                <w:p>
                  <w:pPr>
                    <w:pStyle w:val="Compact"/>
                    <w:spacing w:before="36" w:after="36"/>
                    <w:jc w:val="center"/>
                    <w:rPr/>
                  </w:pPr>
                  <w:r>
                    <w:rPr/>
                    <w:t>-0.053</w:t>
                  </w:r>
                </w:p>
              </w:tc>
              <w:tc>
                <w:tcPr>
                  <w:tcW w:w="682" w:type="dxa"/>
                  <w:tcBorders>
                    <w:top w:val="nil"/>
                    <w:bottom w:val="nil"/>
                  </w:tcBorders>
                  <w:vAlign w:val="center"/>
                </w:tcPr>
                <w:p>
                  <w:pPr>
                    <w:pStyle w:val="Compact"/>
                    <w:spacing w:before="36" w:after="36"/>
                    <w:jc w:val="center"/>
                    <w:rPr/>
                  </w:pPr>
                  <w:r>
                    <w:rPr/>
                    <w:t>0.044</w:t>
                  </w:r>
                </w:p>
              </w:tc>
              <w:tc>
                <w:tcPr>
                  <w:tcW w:w="1430" w:type="dxa"/>
                  <w:tcBorders>
                    <w:top w:val="nil"/>
                    <w:bottom w:val="nil"/>
                  </w:tcBorders>
                  <w:vAlign w:val="center"/>
                </w:tcPr>
                <w:p>
                  <w:pPr>
                    <w:pStyle w:val="Compact"/>
                    <w:spacing w:before="36" w:after="36"/>
                    <w:jc w:val="center"/>
                    <w:rPr/>
                  </w:pPr>
                  <w:r>
                    <w:rPr/>
                    <w:t>[-0.156, 0.021]</w:t>
                  </w:r>
                </w:p>
              </w:tc>
            </w:tr>
            <w:tr>
              <w:trPr/>
              <w:tc>
                <w:tcPr>
                  <w:tcW w:w="2788" w:type="dxa"/>
                  <w:tcBorders>
                    <w:top w:val="nil"/>
                    <w:bottom w:val="nil"/>
                  </w:tcBorders>
                  <w:vAlign w:val="center"/>
                </w:tcPr>
                <w:p>
                  <w:pPr>
                    <w:pStyle w:val="Compact"/>
                    <w:spacing w:before="36" w:after="36"/>
                    <w:jc w:val="left"/>
                    <w:rPr/>
                  </w:pPr>
                  <w:r>
                    <w:rPr/>
                    <w:t>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sSub>
                      <m:e>
                        <m:r>
                          <w:rPr>
                            <w:rFonts w:ascii="Cambria Math" w:hAnsi="Cambria Math"/>
                          </w:rPr>
                          <m:t xml:space="preserve">b</m:t>
                        </m:r>
                      </m:e>
                      <m:sub>
                        <m:r>
                          <w:rPr>
                            <w:rFonts w:ascii="Cambria Math" w:hAnsi="Cambria Math"/>
                          </w:rPr>
                          <m:t xml:space="preserve">1</m:t>
                        </m:r>
                      </m:sub>
                    </m:sSub>
                  </m:oMath>
                  <w:r>
                    <w:rPr/>
                    <w:t>)</w:t>
                  </w:r>
                </w:p>
              </w:tc>
              <w:tc>
                <w:tcPr>
                  <w:tcW w:w="884" w:type="dxa"/>
                  <w:tcBorders>
                    <w:top w:val="nil"/>
                    <w:bottom w:val="nil"/>
                  </w:tcBorders>
                  <w:vAlign w:val="center"/>
                </w:tcPr>
                <w:p>
                  <w:pPr>
                    <w:pStyle w:val="Compact"/>
                    <w:spacing w:before="36" w:after="36"/>
                    <w:jc w:val="center"/>
                    <w:rPr/>
                  </w:pPr>
                  <w:r>
                    <w:rPr/>
                    <w:t>-0.522*</w:t>
                  </w:r>
                </w:p>
              </w:tc>
              <w:tc>
                <w:tcPr>
                  <w:tcW w:w="680" w:type="dxa"/>
                  <w:tcBorders>
                    <w:top w:val="nil"/>
                    <w:bottom w:val="nil"/>
                  </w:tcBorders>
                  <w:vAlign w:val="center"/>
                </w:tcPr>
                <w:p>
                  <w:pPr>
                    <w:pStyle w:val="Compact"/>
                    <w:spacing w:before="36" w:after="36"/>
                    <w:jc w:val="center"/>
                    <w:rPr/>
                  </w:pPr>
                  <w:r>
                    <w:rPr/>
                    <w:t>0.132</w:t>
                  </w:r>
                </w:p>
              </w:tc>
              <w:tc>
                <w:tcPr>
                  <w:tcW w:w="1429" w:type="dxa"/>
                  <w:tcBorders>
                    <w:top w:val="nil"/>
                    <w:bottom w:val="nil"/>
                  </w:tcBorders>
                  <w:vAlign w:val="center"/>
                </w:tcPr>
                <w:p>
                  <w:pPr>
                    <w:pStyle w:val="Compact"/>
                    <w:spacing w:before="36" w:after="36"/>
                    <w:jc w:val="center"/>
                    <w:rPr/>
                  </w:pPr>
                  <w:r>
                    <w:rPr/>
                    <w:t>[-0.783, -0.256]</w:t>
                  </w:r>
                </w:p>
              </w:tc>
              <w:tc>
                <w:tcPr>
                  <w:tcW w:w="885" w:type="dxa"/>
                  <w:tcBorders>
                    <w:top w:val="nil"/>
                    <w:bottom w:val="nil"/>
                  </w:tcBorders>
                  <w:vAlign w:val="center"/>
                </w:tcPr>
                <w:p>
                  <w:pPr>
                    <w:pStyle w:val="Compact"/>
                    <w:spacing w:before="36" w:after="36"/>
                    <w:jc w:val="center"/>
                    <w:rPr/>
                  </w:pPr>
                  <w:r>
                    <w:rPr/>
                    <w:t>-0.280*</w:t>
                  </w:r>
                </w:p>
              </w:tc>
              <w:tc>
                <w:tcPr>
                  <w:tcW w:w="682" w:type="dxa"/>
                  <w:tcBorders>
                    <w:top w:val="nil"/>
                    <w:bottom w:val="nil"/>
                  </w:tcBorders>
                  <w:vAlign w:val="center"/>
                </w:tcPr>
                <w:p>
                  <w:pPr>
                    <w:pStyle w:val="Compact"/>
                    <w:spacing w:before="36" w:after="36"/>
                    <w:jc w:val="center"/>
                    <w:rPr/>
                  </w:pPr>
                  <w:r>
                    <w:rPr/>
                    <w:t>0.154</w:t>
                  </w:r>
                </w:p>
              </w:tc>
              <w:tc>
                <w:tcPr>
                  <w:tcW w:w="1430" w:type="dxa"/>
                  <w:tcBorders>
                    <w:top w:val="nil"/>
                    <w:bottom w:val="nil"/>
                  </w:tcBorders>
                  <w:vAlign w:val="center"/>
                </w:tcPr>
                <w:p>
                  <w:pPr>
                    <w:pStyle w:val="Compact"/>
                    <w:spacing w:before="36" w:after="36"/>
                    <w:jc w:val="center"/>
                    <w:rPr/>
                  </w:pPr>
                  <w:r>
                    <w:rPr/>
                    <w:t>[-0.625, -0.026]</w:t>
                  </w:r>
                </w:p>
              </w:tc>
            </w:tr>
            <w:tr>
              <w:trPr/>
              <w:tc>
                <w:tcPr>
                  <w:tcW w:w="2788" w:type="dxa"/>
                  <w:tcBorders>
                    <w:top w:val="nil"/>
                    <w:bottom w:val="nil"/>
                  </w:tcBorders>
                  <w:vAlign w:val="center"/>
                </w:tcPr>
                <w:p>
                  <w:pPr>
                    <w:pStyle w:val="Compact"/>
                    <w:spacing w:before="36" w:after="36"/>
                    <w:jc w:val="left"/>
                    <w:rPr/>
                  </w:pPr>
                  <w:r>
                    <w:rPr/>
                    <w:t>Index of Moderated Mediation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w:t>
                  </w:r>
                </w:p>
              </w:tc>
              <w:tc>
                <w:tcPr>
                  <w:tcW w:w="884" w:type="dxa"/>
                  <w:tcBorders>
                    <w:top w:val="nil"/>
                    <w:bottom w:val="nil"/>
                  </w:tcBorders>
                  <w:vAlign w:val="center"/>
                </w:tcPr>
                <w:p>
                  <w:pPr>
                    <w:pStyle w:val="Compact"/>
                    <w:spacing w:before="36" w:after="36"/>
                    <w:jc w:val="center"/>
                    <w:rPr/>
                  </w:pPr>
                  <w:r>
                    <w:rPr/>
                    <w:t>-0.451*</w:t>
                  </w:r>
                </w:p>
              </w:tc>
              <w:tc>
                <w:tcPr>
                  <w:tcW w:w="680" w:type="dxa"/>
                  <w:tcBorders>
                    <w:top w:val="nil"/>
                    <w:bottom w:val="nil"/>
                  </w:tcBorders>
                  <w:vAlign w:val="center"/>
                </w:tcPr>
                <w:p>
                  <w:pPr>
                    <w:pStyle w:val="Compact"/>
                    <w:spacing w:before="36" w:after="36"/>
                    <w:jc w:val="center"/>
                    <w:rPr/>
                  </w:pPr>
                  <w:r>
                    <w:rPr/>
                    <w:t>0.128</w:t>
                  </w:r>
                </w:p>
              </w:tc>
              <w:tc>
                <w:tcPr>
                  <w:tcW w:w="1429" w:type="dxa"/>
                  <w:tcBorders>
                    <w:top w:val="nil"/>
                    <w:bottom w:val="nil"/>
                  </w:tcBorders>
                  <w:vAlign w:val="center"/>
                </w:tcPr>
                <w:p>
                  <w:pPr>
                    <w:pStyle w:val="Compact"/>
                    <w:spacing w:before="36" w:after="36"/>
                    <w:jc w:val="center"/>
                    <w:rPr/>
                  </w:pPr>
                  <w:r>
                    <w:rPr/>
                    <w:t>[-0.704, -0.194]</w:t>
                  </w:r>
                </w:p>
              </w:tc>
              <w:tc>
                <w:tcPr>
                  <w:tcW w:w="885" w:type="dxa"/>
                  <w:tcBorders>
                    <w:top w:val="nil"/>
                    <w:bottom w:val="nil"/>
                  </w:tcBorders>
                  <w:vAlign w:val="center"/>
                </w:tcPr>
                <w:p>
                  <w:pPr>
                    <w:pStyle w:val="Compact"/>
                    <w:spacing w:before="36" w:after="36"/>
                    <w:jc w:val="center"/>
                    <w:rPr/>
                  </w:pPr>
                  <w:r>
                    <w:rPr/>
                    <w:t>-0.228*</w:t>
                  </w:r>
                </w:p>
              </w:tc>
              <w:tc>
                <w:tcPr>
                  <w:tcW w:w="682" w:type="dxa"/>
                  <w:tcBorders>
                    <w:top w:val="nil"/>
                    <w:bottom w:val="nil"/>
                  </w:tcBorders>
                  <w:vAlign w:val="center"/>
                </w:tcPr>
                <w:p>
                  <w:pPr>
                    <w:pStyle w:val="Compact"/>
                    <w:spacing w:before="36" w:after="36"/>
                    <w:jc w:val="center"/>
                    <w:rPr/>
                  </w:pPr>
                  <w:r>
                    <w:rPr/>
                    <w:t>0.132</w:t>
                  </w:r>
                </w:p>
              </w:tc>
              <w:tc>
                <w:tcPr>
                  <w:tcW w:w="1430" w:type="dxa"/>
                  <w:tcBorders>
                    <w:top w:val="nil"/>
                    <w:bottom w:val="nil"/>
                  </w:tcBorders>
                  <w:vAlign w:val="center"/>
                </w:tcPr>
                <w:p>
                  <w:pPr>
                    <w:pStyle w:val="Compact"/>
                    <w:spacing w:before="36" w:after="36"/>
                    <w:jc w:val="center"/>
                    <w:rPr/>
                  </w:pPr>
                  <w:r>
                    <w:rPr/>
                    <w:t>[-0.521, -0.009]</w:t>
                  </w:r>
                </w:p>
              </w:tc>
            </w:tr>
            <w:tr>
              <w:trPr/>
              <w:tc>
                <w:tcPr>
                  <w:tcW w:w="8778" w:type="dxa"/>
                  <w:gridSpan w:val="7"/>
                  <w:tcBorders>
                    <w:top w:val="nil"/>
                    <w:bottom w:val="nil"/>
                  </w:tcBorders>
                  <w:vAlign w:val="center"/>
                </w:tcPr>
                <w:p>
                  <w:pPr>
                    <w:pStyle w:val="Compact"/>
                    <w:spacing w:before="36" w:after="36"/>
                    <w:jc w:val="center"/>
                    <w:rPr/>
                  </w:pPr>
                  <w:r>
                    <w:rPr>
                      <w:b/>
                      <w:bCs/>
                    </w:rPr>
                    <w:t>Total effects</w:t>
                  </w:r>
                </w:p>
              </w:tc>
            </w:tr>
            <w:tr>
              <w:trPr/>
              <w:tc>
                <w:tcPr>
                  <w:tcW w:w="2788" w:type="dxa"/>
                  <w:tcBorders>
                    <w:top w:val="nil"/>
                    <w:bottom w:val="nil"/>
                  </w:tcBorders>
                  <w:vAlign w:val="center"/>
                </w:tcPr>
                <w:p>
                  <w:pPr>
                    <w:pStyle w:val="Compact"/>
                    <w:spacing w:before="36" w:after="36"/>
                    <w:jc w:val="left"/>
                    <w:rPr/>
                  </w:pPr>
                  <w:r>
                    <w:rPr/>
                    <w:t>Specific goal prompt</w:t>
                  </w:r>
                </w:p>
              </w:tc>
              <w:tc>
                <w:tcPr>
                  <w:tcW w:w="884" w:type="dxa"/>
                  <w:tcBorders>
                    <w:top w:val="nil"/>
                    <w:bottom w:val="nil"/>
                  </w:tcBorders>
                  <w:vAlign w:val="center"/>
                </w:tcPr>
                <w:p>
                  <w:pPr>
                    <w:pStyle w:val="Compact"/>
                    <w:spacing w:before="36" w:after="36"/>
                    <w:jc w:val="center"/>
                    <w:rPr/>
                  </w:pPr>
                  <w:r>
                    <w:rPr/>
                    <w:t>-0.170</w:t>
                  </w:r>
                </w:p>
              </w:tc>
              <w:tc>
                <w:tcPr>
                  <w:tcW w:w="680" w:type="dxa"/>
                  <w:tcBorders>
                    <w:top w:val="nil"/>
                    <w:bottom w:val="nil"/>
                  </w:tcBorders>
                  <w:vAlign w:val="center"/>
                </w:tcPr>
                <w:p>
                  <w:pPr>
                    <w:pStyle w:val="Compact"/>
                    <w:spacing w:before="36" w:after="36"/>
                    <w:jc w:val="center"/>
                    <w:rPr/>
                  </w:pPr>
                  <w:r>
                    <w:rPr/>
                    <w:t>0.106</w:t>
                  </w:r>
                </w:p>
              </w:tc>
              <w:tc>
                <w:tcPr>
                  <w:tcW w:w="1429" w:type="dxa"/>
                  <w:tcBorders>
                    <w:top w:val="nil"/>
                    <w:bottom w:val="nil"/>
                  </w:tcBorders>
                  <w:vAlign w:val="center"/>
                </w:tcPr>
                <w:p>
                  <w:pPr>
                    <w:pStyle w:val="Compact"/>
                    <w:spacing w:before="36" w:after="36"/>
                    <w:jc w:val="center"/>
                    <w:rPr/>
                  </w:pPr>
                  <w:r>
                    <w:rPr/>
                    <w:t>[-0.377, 0.048]</w:t>
                  </w:r>
                </w:p>
              </w:tc>
              <w:tc>
                <w:tcPr>
                  <w:tcW w:w="885" w:type="dxa"/>
                  <w:tcBorders>
                    <w:top w:val="nil"/>
                    <w:bottom w:val="nil"/>
                  </w:tcBorders>
                  <w:vAlign w:val="center"/>
                </w:tcPr>
                <w:p>
                  <w:pPr>
                    <w:pStyle w:val="Compact"/>
                    <w:spacing w:before="36" w:after="36"/>
                    <w:jc w:val="center"/>
                    <w:rPr/>
                  </w:pPr>
                  <w:r>
                    <w:rPr/>
                    <w:t>-0.058</w:t>
                  </w:r>
                </w:p>
              </w:tc>
              <w:tc>
                <w:tcPr>
                  <w:tcW w:w="682" w:type="dxa"/>
                  <w:tcBorders>
                    <w:top w:val="nil"/>
                    <w:bottom w:val="nil"/>
                  </w:tcBorders>
                  <w:vAlign w:val="center"/>
                </w:tcPr>
                <w:p>
                  <w:pPr>
                    <w:pStyle w:val="Compact"/>
                    <w:spacing w:before="36" w:after="36"/>
                    <w:jc w:val="center"/>
                    <w:rPr/>
                  </w:pPr>
                  <w:r>
                    <w:rPr/>
                    <w:t>0.047</w:t>
                  </w:r>
                </w:p>
              </w:tc>
              <w:tc>
                <w:tcPr>
                  <w:tcW w:w="1430" w:type="dxa"/>
                  <w:tcBorders>
                    <w:top w:val="nil"/>
                    <w:bottom w:val="nil"/>
                  </w:tcBorders>
                  <w:vAlign w:val="center"/>
                </w:tcPr>
                <w:p>
                  <w:pPr>
                    <w:pStyle w:val="Compact"/>
                    <w:spacing w:before="36" w:after="36"/>
                    <w:jc w:val="center"/>
                    <w:rPr/>
                  </w:pPr>
                  <w:r>
                    <w:rPr/>
                    <w:t>[-0.164, 0.025]</w:t>
                  </w:r>
                </w:p>
              </w:tc>
            </w:tr>
            <w:tr>
              <w:trPr/>
              <w:tc>
                <w:tcPr>
                  <w:tcW w:w="2788" w:type="dxa"/>
                  <w:tcBorders>
                    <w:top w:val="nil"/>
                    <w:bottom w:val="nil"/>
                  </w:tcBorders>
                  <w:vAlign w:val="center"/>
                </w:tcPr>
                <w:p>
                  <w:pPr>
                    <w:pStyle w:val="Compact"/>
                    <w:spacing w:before="36" w:after="36"/>
                    <w:jc w:val="left"/>
                    <w:rPr/>
                  </w:pPr>
                  <w:r>
                    <w:rPr/>
                    <w:t>Vague goal prompt</w:t>
                  </w:r>
                </w:p>
              </w:tc>
              <w:tc>
                <w:tcPr>
                  <w:tcW w:w="884" w:type="dxa"/>
                  <w:tcBorders>
                    <w:top w:val="nil"/>
                    <w:bottom w:val="nil"/>
                  </w:tcBorders>
                  <w:vAlign w:val="center"/>
                </w:tcPr>
                <w:p>
                  <w:pPr>
                    <w:pStyle w:val="Compact"/>
                    <w:spacing w:before="36" w:after="36"/>
                    <w:jc w:val="center"/>
                    <w:rPr/>
                  </w:pPr>
                  <w:r>
                    <w:rPr/>
                    <w:t>-0.621*</w:t>
                  </w:r>
                </w:p>
              </w:tc>
              <w:tc>
                <w:tcPr>
                  <w:tcW w:w="680" w:type="dxa"/>
                  <w:tcBorders>
                    <w:top w:val="nil"/>
                    <w:bottom w:val="nil"/>
                  </w:tcBorders>
                  <w:vAlign w:val="center"/>
                </w:tcPr>
                <w:p>
                  <w:pPr>
                    <w:pStyle w:val="Compact"/>
                    <w:spacing w:before="36" w:after="36"/>
                    <w:jc w:val="center"/>
                    <w:rPr/>
                  </w:pPr>
                  <w:r>
                    <w:rPr/>
                    <w:t>0.155</w:t>
                  </w:r>
                </w:p>
              </w:tc>
              <w:tc>
                <w:tcPr>
                  <w:tcW w:w="1429" w:type="dxa"/>
                  <w:tcBorders>
                    <w:top w:val="nil"/>
                    <w:bottom w:val="nil"/>
                  </w:tcBorders>
                  <w:vAlign w:val="center"/>
                </w:tcPr>
                <w:p>
                  <w:pPr>
                    <w:pStyle w:val="Compact"/>
                    <w:spacing w:before="36" w:after="36"/>
                    <w:jc w:val="center"/>
                    <w:rPr/>
                  </w:pPr>
                  <w:r>
                    <w:rPr/>
                    <w:t>[-0.933, -0.306]</w:t>
                  </w:r>
                </w:p>
              </w:tc>
              <w:tc>
                <w:tcPr>
                  <w:tcW w:w="885" w:type="dxa"/>
                  <w:tcBorders>
                    <w:top w:val="nil"/>
                    <w:bottom w:val="nil"/>
                  </w:tcBorders>
                  <w:vAlign w:val="center"/>
                </w:tcPr>
                <w:p>
                  <w:pPr>
                    <w:pStyle w:val="Compact"/>
                    <w:spacing w:before="36" w:after="36"/>
                    <w:jc w:val="center"/>
                    <w:rPr/>
                  </w:pPr>
                  <w:r>
                    <w:rPr/>
                    <w:t>-0.286*</w:t>
                  </w:r>
                </w:p>
              </w:tc>
              <w:tc>
                <w:tcPr>
                  <w:tcW w:w="682" w:type="dxa"/>
                  <w:tcBorders>
                    <w:top w:val="nil"/>
                    <w:bottom w:val="nil"/>
                  </w:tcBorders>
                  <w:vAlign w:val="center"/>
                </w:tcPr>
                <w:p>
                  <w:pPr>
                    <w:pStyle w:val="Compact"/>
                    <w:spacing w:before="36" w:after="36"/>
                    <w:jc w:val="center"/>
                    <w:rPr/>
                  </w:pPr>
                  <w:r>
                    <w:rPr/>
                    <w:t>0.154</w:t>
                  </w:r>
                </w:p>
              </w:tc>
              <w:tc>
                <w:tcPr>
                  <w:tcW w:w="1430" w:type="dxa"/>
                  <w:tcBorders>
                    <w:top w:val="nil"/>
                    <w:bottom w:val="nil"/>
                  </w:tcBorders>
                  <w:vAlign w:val="center"/>
                </w:tcPr>
                <w:p>
                  <w:pPr>
                    <w:pStyle w:val="Compact"/>
                    <w:spacing w:before="36" w:after="36"/>
                    <w:jc w:val="center"/>
                    <w:rPr/>
                  </w:pPr>
                  <w:r>
                    <w:rPr/>
                    <w:t>[-0.632, -0.027]</w:t>
                  </w:r>
                </w:p>
              </w:tc>
            </w:tr>
            <w:tr>
              <w:trPr/>
              <w:tc>
                <w:tcPr>
                  <w:tcW w:w="8778" w:type="dxa"/>
                  <w:gridSpan w:val="7"/>
                  <w:tcBorders>
                    <w:top w:val="nil"/>
                    <w:bottom w:val="nil"/>
                  </w:tcBorders>
                  <w:vAlign w:val="center"/>
                </w:tcPr>
                <w:p>
                  <w:pPr>
                    <w:pStyle w:val="Compact"/>
                    <w:spacing w:before="36" w:after="36"/>
                    <w:jc w:val="center"/>
                    <w:rPr/>
                  </w:pPr>
                  <w:r>
                    <w:rPr>
                      <w:b/>
                      <w:bCs/>
                    </w:rPr>
                    <w:t>Between-LLM heterogeneity (</w:t>
                  </w:r>
                  <w:r>
                    <w:rPr/>
                  </w:r>
                  <m:oMath xmlns:m="http://schemas.openxmlformats.org/officeDocument/2006/math">
                    <m:r>
                      <w:rPr>
                        <w:rFonts w:ascii="Cambria Math" w:hAnsi="Cambria Math"/>
                      </w:rPr>
                      <m:t xml:space="preserve">τ</m:t>
                    </m:r>
                  </m:oMath>
                  <w:r>
                    <w:rPr>
                      <w:b/>
                      <w:bCs/>
                    </w:rPr>
                    <w:t>)</w:t>
                  </w:r>
                </w:p>
              </w:tc>
            </w:tr>
            <w:tr>
              <w:trPr/>
              <w:tc>
                <w:tcPr>
                  <w:tcW w:w="2788" w:type="dxa"/>
                  <w:tcBorders>
                    <w:top w:val="nil"/>
                    <w:bottom w:val="nil"/>
                  </w:tcBorders>
                  <w:vAlign w:val="center"/>
                </w:tcPr>
                <w:p>
                  <w:pPr>
                    <w:pStyle w:val="Compact"/>
                    <w:spacing w:before="36" w:after="36"/>
                    <w:jc w:val="left"/>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1</m:t>
                            </m:r>
                          </m:sub>
                        </m:sSub>
                      </m:sub>
                    </m:sSub>
                  </m:oMath>
                  <w:r>
                    <w:rPr/>
                    <w:t xml:space="preserve"> </w:t>
                  </w:r>
                  <w:r>
                    <w:rPr/>
                    <w:t>(Acquisition cost)</w:t>
                  </w:r>
                </w:p>
              </w:tc>
              <w:tc>
                <w:tcPr>
                  <w:tcW w:w="884" w:type="dxa"/>
                  <w:tcBorders>
                    <w:top w:val="nil"/>
                    <w:bottom w:val="nil"/>
                  </w:tcBorders>
                  <w:vAlign w:val="center"/>
                </w:tcPr>
                <w:p>
                  <w:pPr>
                    <w:pStyle w:val="Compact"/>
                    <w:spacing w:before="36" w:after="36"/>
                    <w:jc w:val="center"/>
                    <w:rPr/>
                  </w:pPr>
                  <w:r>
                    <w:rPr/>
                    <w:t>0.594*</w:t>
                  </w:r>
                </w:p>
              </w:tc>
              <w:tc>
                <w:tcPr>
                  <w:tcW w:w="680" w:type="dxa"/>
                  <w:tcBorders>
                    <w:top w:val="nil"/>
                    <w:bottom w:val="nil"/>
                  </w:tcBorders>
                  <w:vAlign w:val="center"/>
                </w:tcPr>
                <w:p>
                  <w:pPr>
                    <w:pStyle w:val="Compact"/>
                    <w:spacing w:before="36" w:after="36"/>
                    <w:jc w:val="center"/>
                    <w:rPr/>
                  </w:pPr>
                  <w:r>
                    <w:rPr/>
                    <w:t>0.182</w:t>
                  </w:r>
                </w:p>
              </w:tc>
              <w:tc>
                <w:tcPr>
                  <w:tcW w:w="1429" w:type="dxa"/>
                  <w:tcBorders>
                    <w:top w:val="nil"/>
                    <w:bottom w:val="nil"/>
                  </w:tcBorders>
                  <w:vAlign w:val="center"/>
                </w:tcPr>
                <w:p>
                  <w:pPr>
                    <w:pStyle w:val="Compact"/>
                    <w:spacing w:before="36" w:after="36"/>
                    <w:jc w:val="center"/>
                    <w:rPr/>
                  </w:pPr>
                  <w:r>
                    <w:rPr/>
                    <w:t>[0.358, 1.048]</w:t>
                  </w:r>
                </w:p>
              </w:tc>
              <w:tc>
                <w:tcPr>
                  <w:tcW w:w="885" w:type="dxa"/>
                  <w:tcBorders>
                    <w:top w:val="nil"/>
                    <w:bottom w:val="nil"/>
                  </w:tcBorders>
                  <w:vAlign w:val="center"/>
                </w:tcPr>
                <w:p>
                  <w:pPr>
                    <w:pStyle w:val="Compact"/>
                    <w:spacing w:before="36" w:after="36"/>
                    <w:jc w:val="center"/>
                    <w:rPr/>
                  </w:pPr>
                  <w:r>
                    <w:rPr/>
                    <w:t>1.255*</w:t>
                  </w:r>
                </w:p>
              </w:tc>
              <w:tc>
                <w:tcPr>
                  <w:tcW w:w="682" w:type="dxa"/>
                  <w:tcBorders>
                    <w:top w:val="nil"/>
                    <w:bottom w:val="nil"/>
                  </w:tcBorders>
                  <w:vAlign w:val="center"/>
                </w:tcPr>
                <w:p>
                  <w:pPr>
                    <w:pStyle w:val="Compact"/>
                    <w:spacing w:before="36" w:after="36"/>
                    <w:jc w:val="center"/>
                    <w:rPr/>
                  </w:pPr>
                  <w:r>
                    <w:rPr/>
                    <w:t>0.382</w:t>
                  </w:r>
                </w:p>
              </w:tc>
              <w:tc>
                <w:tcPr>
                  <w:tcW w:w="1430" w:type="dxa"/>
                  <w:tcBorders>
                    <w:top w:val="nil"/>
                    <w:bottom w:val="nil"/>
                  </w:tcBorders>
                  <w:vAlign w:val="center"/>
                </w:tcPr>
                <w:p>
                  <w:pPr>
                    <w:pStyle w:val="Compact"/>
                    <w:spacing w:before="36" w:after="36"/>
                    <w:jc w:val="center"/>
                    <w:rPr/>
                  </w:pPr>
                  <w:r>
                    <w:rPr/>
                    <w:t>[0.732, 2.186]</w:t>
                  </w:r>
                </w:p>
              </w:tc>
            </w:tr>
            <w:tr>
              <w:trPr/>
              <w:tc>
                <w:tcPr>
                  <w:tcW w:w="2788" w:type="dxa"/>
                  <w:tcBorders>
                    <w:top w:val="nil"/>
                    <w:bottom w:val="nil"/>
                  </w:tcBorders>
                  <w:vAlign w:val="center"/>
                </w:tcPr>
                <w:p>
                  <w:pPr>
                    <w:pStyle w:val="Compact"/>
                    <w:spacing w:before="36" w:after="36"/>
                    <w:jc w:val="left"/>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2</m:t>
                            </m:r>
                          </m:sub>
                        </m:sSub>
                      </m:sub>
                    </m:sSub>
                  </m:oMath>
                  <w:r>
                    <w:rPr/>
                    <w:t xml:space="preserve"> </w:t>
                  </w:r>
                  <w:r>
                    <w:rPr/>
                    <w:t>(Vague goal prompt)</w:t>
                  </w:r>
                </w:p>
              </w:tc>
              <w:tc>
                <w:tcPr>
                  <w:tcW w:w="884" w:type="dxa"/>
                  <w:tcBorders>
                    <w:top w:val="nil"/>
                    <w:bottom w:val="nil"/>
                  </w:tcBorders>
                  <w:vAlign w:val="center"/>
                </w:tcPr>
                <w:p>
                  <w:pPr>
                    <w:pStyle w:val="Compact"/>
                    <w:spacing w:before="36" w:after="36"/>
                    <w:jc w:val="center"/>
                    <w:rPr/>
                  </w:pPr>
                  <w:r>
                    <w:rPr/>
                    <w:t>0.300*</w:t>
                  </w:r>
                </w:p>
              </w:tc>
              <w:tc>
                <w:tcPr>
                  <w:tcW w:w="680" w:type="dxa"/>
                  <w:tcBorders>
                    <w:top w:val="nil"/>
                    <w:bottom w:val="nil"/>
                  </w:tcBorders>
                  <w:vAlign w:val="center"/>
                </w:tcPr>
                <w:p>
                  <w:pPr>
                    <w:pStyle w:val="Compact"/>
                    <w:spacing w:before="36" w:after="36"/>
                    <w:jc w:val="center"/>
                    <w:rPr/>
                  </w:pPr>
                  <w:r>
                    <w:rPr/>
                    <w:t>0.108</w:t>
                  </w:r>
                </w:p>
              </w:tc>
              <w:tc>
                <w:tcPr>
                  <w:tcW w:w="1429" w:type="dxa"/>
                  <w:tcBorders>
                    <w:top w:val="nil"/>
                    <w:bottom w:val="nil"/>
                  </w:tcBorders>
                  <w:vAlign w:val="center"/>
                </w:tcPr>
                <w:p>
                  <w:pPr>
                    <w:pStyle w:val="Compact"/>
                    <w:spacing w:before="36" w:after="36"/>
                    <w:jc w:val="center"/>
                    <w:rPr/>
                  </w:pPr>
                  <w:r>
                    <w:rPr/>
                    <w:t>[0.157, 0.571]</w:t>
                  </w:r>
                </w:p>
              </w:tc>
              <w:tc>
                <w:tcPr>
                  <w:tcW w:w="885" w:type="dxa"/>
                  <w:tcBorders>
                    <w:top w:val="nil"/>
                    <w:bottom w:val="nil"/>
                  </w:tcBorders>
                  <w:vAlign w:val="center"/>
                </w:tcPr>
                <w:p>
                  <w:pPr>
                    <w:pStyle w:val="Compact"/>
                    <w:spacing w:before="36" w:after="36"/>
                    <w:jc w:val="center"/>
                    <w:rPr/>
                  </w:pPr>
                  <w:r>
                    <w:rPr/>
                    <w:t>0.052*</w:t>
                  </w:r>
                </w:p>
              </w:tc>
              <w:tc>
                <w:tcPr>
                  <w:tcW w:w="682" w:type="dxa"/>
                  <w:tcBorders>
                    <w:top w:val="nil"/>
                    <w:bottom w:val="nil"/>
                  </w:tcBorders>
                  <w:vAlign w:val="center"/>
                </w:tcPr>
                <w:p>
                  <w:pPr>
                    <w:pStyle w:val="Compact"/>
                    <w:spacing w:before="36" w:after="36"/>
                    <w:jc w:val="center"/>
                    <w:rPr/>
                  </w:pPr>
                  <w:r>
                    <w:rPr/>
                    <w:t>0.046</w:t>
                  </w:r>
                </w:p>
              </w:tc>
              <w:tc>
                <w:tcPr>
                  <w:tcW w:w="1430" w:type="dxa"/>
                  <w:tcBorders>
                    <w:top w:val="nil"/>
                    <w:bottom w:val="nil"/>
                  </w:tcBorders>
                  <w:vAlign w:val="center"/>
                </w:tcPr>
                <w:p>
                  <w:pPr>
                    <w:pStyle w:val="Compact"/>
                    <w:spacing w:before="36" w:after="36"/>
                    <w:jc w:val="center"/>
                    <w:rPr/>
                  </w:pPr>
                  <w:r>
                    <w:rPr/>
                    <w:t>[0.002, 0.167]</w:t>
                  </w:r>
                </w:p>
              </w:tc>
            </w:tr>
            <w:tr>
              <w:trPr/>
              <w:tc>
                <w:tcPr>
                  <w:tcW w:w="2788" w:type="dxa"/>
                  <w:tcBorders>
                    <w:top w:val="nil"/>
                    <w:bottom w:val="nil"/>
                  </w:tcBorders>
                  <w:vAlign w:val="center"/>
                </w:tcPr>
                <w:p>
                  <w:pPr>
                    <w:pStyle w:val="Compact"/>
                    <w:spacing w:before="36" w:after="36"/>
                    <w:jc w:val="left"/>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3</m:t>
                            </m:r>
                          </m:sub>
                        </m:sSub>
                      </m:sub>
                    </m:sSub>
                  </m:oMath>
                  <w:r>
                    <w:rPr/>
                    <w:t xml:space="preserve"> </w:t>
                  </w:r>
                  <w:r>
                    <w:rPr/>
                    <w:t xml:space="preserve">(Acquisition cost </w:t>
                  </w:r>
                  <w:r>
                    <w:rPr/>
                  </w:r>
                  <m:oMath xmlns:m="http://schemas.openxmlformats.org/officeDocument/2006/math">
                    <m:r>
                      <w:rPr>
                        <w:rFonts w:ascii="Cambria Math" w:hAnsi="Cambria Math"/>
                      </w:rPr>
                      <m:t xml:space="preserve">×</m:t>
                    </m:r>
                  </m:oMath>
                  <w:r>
                    <w:rPr/>
                    <w:t xml:space="preserve"> Vague goal prompt)</w:t>
                  </w:r>
                </w:p>
              </w:tc>
              <w:tc>
                <w:tcPr>
                  <w:tcW w:w="884" w:type="dxa"/>
                  <w:tcBorders>
                    <w:top w:val="nil"/>
                    <w:bottom w:val="nil"/>
                  </w:tcBorders>
                  <w:vAlign w:val="center"/>
                </w:tcPr>
                <w:p>
                  <w:pPr>
                    <w:pStyle w:val="Compact"/>
                    <w:spacing w:before="36" w:after="36"/>
                    <w:jc w:val="center"/>
                    <w:rPr/>
                  </w:pPr>
                  <w:r>
                    <w:rPr/>
                    <w:t>1.292*</w:t>
                  </w:r>
                </w:p>
              </w:tc>
              <w:tc>
                <w:tcPr>
                  <w:tcW w:w="680" w:type="dxa"/>
                  <w:tcBorders>
                    <w:top w:val="nil"/>
                    <w:bottom w:val="nil"/>
                  </w:tcBorders>
                  <w:vAlign w:val="center"/>
                </w:tcPr>
                <w:p>
                  <w:pPr>
                    <w:pStyle w:val="Compact"/>
                    <w:spacing w:before="36" w:after="36"/>
                    <w:jc w:val="center"/>
                    <w:rPr/>
                  </w:pPr>
                  <w:r>
                    <w:rPr/>
                    <w:t>0.352</w:t>
                  </w:r>
                </w:p>
              </w:tc>
              <w:tc>
                <w:tcPr>
                  <w:tcW w:w="1429" w:type="dxa"/>
                  <w:tcBorders>
                    <w:top w:val="nil"/>
                    <w:bottom w:val="nil"/>
                  </w:tcBorders>
                  <w:vAlign w:val="center"/>
                </w:tcPr>
                <w:p>
                  <w:pPr>
                    <w:pStyle w:val="Compact"/>
                    <w:spacing w:before="36" w:after="36"/>
                    <w:jc w:val="center"/>
                    <w:rPr/>
                  </w:pPr>
                  <w:r>
                    <w:rPr/>
                    <w:t>[0.800, 2.165]</w:t>
                  </w:r>
                </w:p>
              </w:tc>
              <w:tc>
                <w:tcPr>
                  <w:tcW w:w="885" w:type="dxa"/>
                  <w:tcBorders>
                    <w:top w:val="nil"/>
                    <w:bottom w:val="nil"/>
                  </w:tcBorders>
                  <w:vAlign w:val="center"/>
                </w:tcPr>
                <w:p>
                  <w:pPr>
                    <w:pStyle w:val="Compact"/>
                    <w:spacing w:before="36" w:after="36"/>
                    <w:jc w:val="center"/>
                    <w:rPr/>
                  </w:pPr>
                  <w:r>
                    <w:rPr/>
                    <w:t>3.350*</w:t>
                  </w:r>
                </w:p>
              </w:tc>
              <w:tc>
                <w:tcPr>
                  <w:tcW w:w="682" w:type="dxa"/>
                  <w:tcBorders>
                    <w:top w:val="nil"/>
                    <w:bottom w:val="nil"/>
                  </w:tcBorders>
                  <w:vAlign w:val="center"/>
                </w:tcPr>
                <w:p>
                  <w:pPr>
                    <w:pStyle w:val="Compact"/>
                    <w:spacing w:before="36" w:after="36"/>
                    <w:jc w:val="center"/>
                    <w:rPr/>
                  </w:pPr>
                  <w:r>
                    <w:rPr/>
                    <w:t>0.792</w:t>
                  </w:r>
                </w:p>
              </w:tc>
              <w:tc>
                <w:tcPr>
                  <w:tcW w:w="1430" w:type="dxa"/>
                  <w:tcBorders>
                    <w:top w:val="nil"/>
                    <w:bottom w:val="nil"/>
                  </w:tcBorders>
                  <w:vAlign w:val="center"/>
                </w:tcPr>
                <w:p>
                  <w:pPr>
                    <w:pStyle w:val="Compact"/>
                    <w:spacing w:before="36" w:after="36"/>
                    <w:jc w:val="center"/>
                    <w:rPr/>
                  </w:pPr>
                  <w:r>
                    <w:rPr/>
                    <w:t>[2.165, 5.236]</w:t>
                  </w:r>
                </w:p>
              </w:tc>
            </w:tr>
            <w:tr>
              <w:trPr/>
              <w:tc>
                <w:tcPr>
                  <w:tcW w:w="2788" w:type="dxa"/>
                  <w:tcBorders>
                    <w:top w:val="nil"/>
                    <w:bottom w:val="nil"/>
                  </w:tcBorders>
                  <w:vAlign w:val="center"/>
                </w:tcPr>
                <w:p>
                  <w:pPr>
                    <w:pStyle w:val="Compact"/>
                    <w:spacing w:before="36" w:after="36"/>
                    <w:jc w:val="left"/>
                    <w:rPr/>
                  </w:pPr>
                  <w:r>
                    <w:rPr/>
                  </w:r>
                  <m:oMath xmlns:m="http://schemas.openxmlformats.org/officeDocument/2006/math">
                    <m:sSub>
                      <m:e>
                        <m:r>
                          <w:rPr>
                            <w:rFonts w:ascii="Cambria Math" w:hAnsi="Cambria Math"/>
                          </w:rPr>
                          <m:t xml:space="preserve">τ</m:t>
                        </m:r>
                      </m:e>
                      <m:sub>
                        <m:sSub>
                          <m:e>
                            <m:r>
                              <w:rPr>
                                <w:rFonts w:ascii="Cambria Math" w:hAnsi="Cambria Math"/>
                              </w:rPr>
                              <m:t xml:space="preserve">b</m:t>
                            </m:r>
                          </m:e>
                          <m:sub>
                            <m:r>
                              <w:rPr>
                                <w:rFonts w:ascii="Cambria Math" w:hAnsi="Cambria Math"/>
                              </w:rPr>
                              <m:t xml:space="preserve">1</m:t>
                            </m:r>
                          </m:sub>
                        </m:sSub>
                      </m:sub>
                    </m:sSub>
                  </m:oMath>
                  <w:r>
                    <w:rPr/>
                    <w:t xml:space="preserve"> </w:t>
                  </w:r>
                  <w:r>
                    <w:rPr/>
                    <w:t>(Diagnostic acquisition)</w:t>
                  </w:r>
                </w:p>
              </w:tc>
              <w:tc>
                <w:tcPr>
                  <w:tcW w:w="884" w:type="dxa"/>
                  <w:tcBorders>
                    <w:top w:val="nil"/>
                    <w:bottom w:val="nil"/>
                  </w:tcBorders>
                  <w:vAlign w:val="center"/>
                </w:tcPr>
                <w:p>
                  <w:pPr>
                    <w:pStyle w:val="Compact"/>
                    <w:spacing w:before="36" w:after="36"/>
                    <w:jc w:val="center"/>
                    <w:rPr/>
                  </w:pPr>
                  <w:r>
                    <w:rPr/>
                    <w:t>0.089*</w:t>
                  </w:r>
                </w:p>
              </w:tc>
              <w:tc>
                <w:tcPr>
                  <w:tcW w:w="680" w:type="dxa"/>
                  <w:tcBorders>
                    <w:top w:val="nil"/>
                    <w:bottom w:val="nil"/>
                  </w:tcBorders>
                  <w:vAlign w:val="center"/>
                </w:tcPr>
                <w:p>
                  <w:pPr>
                    <w:pStyle w:val="Compact"/>
                    <w:spacing w:before="36" w:after="36"/>
                    <w:jc w:val="center"/>
                    <w:rPr/>
                  </w:pPr>
                  <w:r>
                    <w:rPr/>
                    <w:t>0.030</w:t>
                  </w:r>
                </w:p>
              </w:tc>
              <w:tc>
                <w:tcPr>
                  <w:tcW w:w="1429" w:type="dxa"/>
                  <w:tcBorders>
                    <w:top w:val="nil"/>
                    <w:bottom w:val="nil"/>
                  </w:tcBorders>
                  <w:vAlign w:val="center"/>
                </w:tcPr>
                <w:p>
                  <w:pPr>
                    <w:pStyle w:val="Compact"/>
                    <w:spacing w:before="36" w:after="36"/>
                    <w:jc w:val="center"/>
                    <w:rPr/>
                  </w:pPr>
                  <w:r>
                    <w:rPr/>
                    <w:t>[0.050, 0.164]</w:t>
                  </w:r>
                </w:p>
              </w:tc>
              <w:tc>
                <w:tcPr>
                  <w:tcW w:w="885" w:type="dxa"/>
                  <w:tcBorders>
                    <w:top w:val="nil"/>
                    <w:bottom w:val="nil"/>
                  </w:tcBorders>
                  <w:vAlign w:val="center"/>
                </w:tcPr>
                <w:p>
                  <w:pPr>
                    <w:pStyle w:val="Compact"/>
                    <w:spacing w:before="36" w:after="36"/>
                    <w:jc w:val="center"/>
                    <w:rPr/>
                  </w:pPr>
                  <w:r>
                    <w:rPr/>
                    <w:t>0.083*</w:t>
                  </w:r>
                </w:p>
              </w:tc>
              <w:tc>
                <w:tcPr>
                  <w:tcW w:w="682" w:type="dxa"/>
                  <w:tcBorders>
                    <w:top w:val="nil"/>
                    <w:bottom w:val="nil"/>
                  </w:tcBorders>
                  <w:vAlign w:val="center"/>
                </w:tcPr>
                <w:p>
                  <w:pPr>
                    <w:pStyle w:val="Compact"/>
                    <w:spacing w:before="36" w:after="36"/>
                    <w:jc w:val="center"/>
                    <w:rPr/>
                  </w:pPr>
                  <w:r>
                    <w:rPr/>
                    <w:t>0.028</w:t>
                  </w:r>
                </w:p>
              </w:tc>
              <w:tc>
                <w:tcPr>
                  <w:tcW w:w="1430" w:type="dxa"/>
                  <w:tcBorders>
                    <w:top w:val="nil"/>
                    <w:bottom w:val="nil"/>
                  </w:tcBorders>
                  <w:vAlign w:val="center"/>
                </w:tcPr>
                <w:p>
                  <w:pPr>
                    <w:pStyle w:val="Compact"/>
                    <w:spacing w:before="36" w:after="36"/>
                    <w:jc w:val="center"/>
                    <w:rPr/>
                  </w:pPr>
                  <w:r>
                    <w:rPr/>
                    <w:t>[0.048, 0.153]</w:t>
                  </w:r>
                </w:p>
              </w:tc>
            </w:tr>
            <w:tr>
              <w:trPr/>
              <w:tc>
                <w:tcPr>
                  <w:tcW w:w="2788" w:type="dxa"/>
                  <w:tcBorders>
                    <w:top w:val="nil"/>
                    <w:bottom w:val="nil"/>
                  </w:tcBorders>
                  <w:vAlign w:val="center"/>
                </w:tcPr>
                <w:p>
                  <w:pPr>
                    <w:pStyle w:val="Compact"/>
                    <w:spacing w:before="36" w:after="36"/>
                    <w:jc w:val="left"/>
                    <w:rPr/>
                  </w:pPr>
                  <w:r>
                    <w:rPr/>
                  </w:r>
                  <m:oMath xmlns:m="http://schemas.openxmlformats.org/officeDocument/2006/math">
                    <m:sSub>
                      <m:e>
                        <m:r>
                          <w:rPr>
                            <w:rFonts w:ascii="Cambria Math" w:hAnsi="Cambria Math"/>
                          </w:rPr>
                          <m:t xml:space="preserve">τ</m:t>
                        </m:r>
                      </m:e>
                      <m:sub>
                        <m:sSup>
                          <m:e>
                            <m:r>
                              <w:rPr>
                                <w:rFonts w:ascii="Cambria Math" w:hAnsi="Cambria Math"/>
                              </w:rPr>
                              <m:t xml:space="preserve">c</m:t>
                            </m:r>
                          </m:e>
                          <m:sup>
                            <m:r>
                              <w:rPr>
                                <w:rFonts w:ascii="Cambria Math" w:hAnsi="Cambria Math"/>
                              </w:rPr>
                              <m:t xml:space="preserve">′</m:t>
                            </m:r>
                          </m:sup>
                        </m:sSup>
                      </m:sub>
                    </m:sSub>
                  </m:oMath>
                  <w:r>
                    <w:rPr/>
                    <w:t xml:space="preserve"> </w:t>
                  </w:r>
                  <w:r>
                    <w:rPr/>
                    <w:t>(Acquisition cost)</w:t>
                  </w:r>
                </w:p>
              </w:tc>
              <w:tc>
                <w:tcPr>
                  <w:tcW w:w="884" w:type="dxa"/>
                  <w:tcBorders>
                    <w:top w:val="nil"/>
                    <w:bottom w:val="nil"/>
                  </w:tcBorders>
                  <w:vAlign w:val="center"/>
                </w:tcPr>
                <w:p>
                  <w:pPr>
                    <w:pStyle w:val="Compact"/>
                    <w:spacing w:before="36" w:after="36"/>
                    <w:jc w:val="center"/>
                    <w:rPr/>
                  </w:pPr>
                  <w:r>
                    <w:rPr/>
                    <w:t>0.203*</w:t>
                  </w:r>
                </w:p>
              </w:tc>
              <w:tc>
                <w:tcPr>
                  <w:tcW w:w="680" w:type="dxa"/>
                  <w:tcBorders>
                    <w:top w:val="nil"/>
                    <w:bottom w:val="nil"/>
                  </w:tcBorders>
                  <w:vAlign w:val="center"/>
                </w:tcPr>
                <w:p>
                  <w:pPr>
                    <w:pStyle w:val="Compact"/>
                    <w:spacing w:before="36" w:after="36"/>
                    <w:jc w:val="center"/>
                    <w:rPr/>
                  </w:pPr>
                  <w:r>
                    <w:rPr/>
                    <w:t>0.067</w:t>
                  </w:r>
                </w:p>
              </w:tc>
              <w:tc>
                <w:tcPr>
                  <w:tcW w:w="1429" w:type="dxa"/>
                  <w:tcBorders>
                    <w:top w:val="nil"/>
                    <w:bottom w:val="nil"/>
                  </w:tcBorders>
                  <w:vAlign w:val="center"/>
                </w:tcPr>
                <w:p>
                  <w:pPr>
                    <w:pStyle w:val="Compact"/>
                    <w:spacing w:before="36" w:after="36"/>
                    <w:jc w:val="center"/>
                    <w:rPr/>
                  </w:pPr>
                  <w:r>
                    <w:rPr/>
                    <w:t>[0.119, 0.374]</w:t>
                  </w:r>
                </w:p>
              </w:tc>
              <w:tc>
                <w:tcPr>
                  <w:tcW w:w="885" w:type="dxa"/>
                  <w:tcBorders>
                    <w:top w:val="nil"/>
                    <w:bottom w:val="nil"/>
                  </w:tcBorders>
                  <w:vAlign w:val="center"/>
                </w:tcPr>
                <w:p>
                  <w:pPr>
                    <w:pStyle w:val="Compact"/>
                    <w:spacing w:before="36" w:after="36"/>
                    <w:jc w:val="center"/>
                    <w:rPr/>
                  </w:pPr>
                  <w:r>
                    <w:rPr/>
                    <w:t>0.041*</w:t>
                  </w:r>
                </w:p>
              </w:tc>
              <w:tc>
                <w:tcPr>
                  <w:tcW w:w="682" w:type="dxa"/>
                  <w:tcBorders>
                    <w:top w:val="nil"/>
                    <w:bottom w:val="nil"/>
                  </w:tcBorders>
                  <w:vAlign w:val="center"/>
                </w:tcPr>
                <w:p>
                  <w:pPr>
                    <w:pStyle w:val="Compact"/>
                    <w:spacing w:before="36" w:after="36"/>
                    <w:jc w:val="center"/>
                    <w:rPr/>
                  </w:pPr>
                  <w:r>
                    <w:rPr/>
                    <w:t>0.025</w:t>
                  </w:r>
                </w:p>
              </w:tc>
              <w:tc>
                <w:tcPr>
                  <w:tcW w:w="1430" w:type="dxa"/>
                  <w:tcBorders>
                    <w:top w:val="nil"/>
                    <w:bottom w:val="nil"/>
                  </w:tcBorders>
                  <w:vAlign w:val="center"/>
                </w:tcPr>
                <w:p>
                  <w:pPr>
                    <w:pStyle w:val="Compact"/>
                    <w:spacing w:before="36" w:after="36"/>
                    <w:jc w:val="center"/>
                    <w:rPr/>
                  </w:pPr>
                  <w:r>
                    <w:rPr/>
                    <w:t>[0.004, 0.099]</w:t>
                  </w:r>
                </w:p>
              </w:tc>
            </w:tr>
            <w:tr>
              <w:trPr/>
              <w:tc>
                <w:tcPr>
                  <w:tcW w:w="2788" w:type="dxa"/>
                  <w:tcBorders>
                    <w:top w:val="nil"/>
                    <w:bottom w:val="single" w:sz="12" w:space="0" w:color="000000"/>
                  </w:tcBorders>
                  <w:vAlign w:val="center"/>
                </w:tcPr>
                <w:p>
                  <w:pPr>
                    <w:pStyle w:val="Compact"/>
                    <w:spacing w:before="36" w:after="36"/>
                    <w:jc w:val="left"/>
                    <w:rPr/>
                  </w:pPr>
                  <w:r>
                    <w:rPr/>
                  </w:r>
                  <m:oMath xmlns:m="http://schemas.openxmlformats.org/officeDocument/2006/math">
                    <m:sSub>
                      <m:e>
                        <m:r>
                          <w:rPr>
                            <w:rFonts w:ascii="Cambria Math" w:hAnsi="Cambria Math"/>
                          </w:rPr>
                          <m:t xml:space="preserve">τ</m:t>
                        </m:r>
                      </m:e>
                      <m:sub>
                        <m:sSub>
                          <m:e>
                            <m:r>
                              <w:rPr>
                                <w:rFonts w:ascii="Cambria Math" w:hAnsi="Cambria Math"/>
                              </w:rPr>
                              <m:t xml:space="preserve">c</m:t>
                            </m:r>
                          </m:e>
                          <m:sub>
                            <m:r>
                              <w:rPr>
                                <w:rFonts w:ascii="Cambria Math" w:hAnsi="Cambria Math"/>
                              </w:rPr>
                              <m:t xml:space="preserve">2</m:t>
                            </m:r>
                          </m:sub>
                        </m:sSub>
                      </m:sub>
                    </m:sSub>
                  </m:oMath>
                  <w:r>
                    <w:rPr/>
                    <w:t xml:space="preserve"> </w:t>
                  </w:r>
                  <w:r>
                    <w:rPr/>
                    <w:t>(Vague goal prompt)</w:t>
                  </w:r>
                </w:p>
              </w:tc>
              <w:tc>
                <w:tcPr>
                  <w:tcW w:w="884" w:type="dxa"/>
                  <w:tcBorders>
                    <w:top w:val="nil"/>
                    <w:bottom w:val="single" w:sz="12" w:space="0" w:color="000000"/>
                  </w:tcBorders>
                  <w:vAlign w:val="center"/>
                </w:tcPr>
                <w:p>
                  <w:pPr>
                    <w:pStyle w:val="Compact"/>
                    <w:spacing w:before="36" w:after="36"/>
                    <w:jc w:val="center"/>
                    <w:rPr/>
                  </w:pPr>
                  <w:r>
                    <w:rPr/>
                    <w:t>0.042*</w:t>
                  </w:r>
                </w:p>
              </w:tc>
              <w:tc>
                <w:tcPr>
                  <w:tcW w:w="680" w:type="dxa"/>
                  <w:tcBorders>
                    <w:top w:val="nil"/>
                    <w:bottom w:val="single" w:sz="12" w:space="0" w:color="000000"/>
                  </w:tcBorders>
                  <w:vAlign w:val="center"/>
                </w:tcPr>
                <w:p>
                  <w:pPr>
                    <w:pStyle w:val="Compact"/>
                    <w:spacing w:before="36" w:after="36"/>
                    <w:jc w:val="center"/>
                    <w:rPr/>
                  </w:pPr>
                  <w:r>
                    <w:rPr/>
                    <w:t>0.020</w:t>
                  </w:r>
                </w:p>
              </w:tc>
              <w:tc>
                <w:tcPr>
                  <w:tcW w:w="1429" w:type="dxa"/>
                  <w:tcBorders>
                    <w:top w:val="nil"/>
                    <w:bottom w:val="single" w:sz="12" w:space="0" w:color="000000"/>
                  </w:tcBorders>
                  <w:vAlign w:val="center"/>
                </w:tcPr>
                <w:p>
                  <w:pPr>
                    <w:pStyle w:val="Compact"/>
                    <w:spacing w:before="36" w:after="36"/>
                    <w:jc w:val="center"/>
                    <w:rPr/>
                  </w:pPr>
                  <w:r>
                    <w:rPr/>
                    <w:t>[0.012, 0.091]</w:t>
                  </w:r>
                </w:p>
              </w:tc>
              <w:tc>
                <w:tcPr>
                  <w:tcW w:w="885" w:type="dxa"/>
                  <w:tcBorders>
                    <w:top w:val="nil"/>
                    <w:bottom w:val="single" w:sz="12" w:space="0" w:color="000000"/>
                  </w:tcBorders>
                  <w:vAlign w:val="center"/>
                </w:tcPr>
                <w:p>
                  <w:pPr>
                    <w:pStyle w:val="Compact"/>
                    <w:spacing w:before="36" w:after="36"/>
                    <w:jc w:val="center"/>
                    <w:rPr/>
                  </w:pPr>
                  <w:r>
                    <w:rPr/>
                    <w:t>0.103*</w:t>
                  </w:r>
                </w:p>
              </w:tc>
              <w:tc>
                <w:tcPr>
                  <w:tcW w:w="682" w:type="dxa"/>
                  <w:tcBorders>
                    <w:top w:val="nil"/>
                    <w:bottom w:val="single" w:sz="12" w:space="0" w:color="000000"/>
                  </w:tcBorders>
                  <w:vAlign w:val="center"/>
                </w:tcPr>
                <w:p>
                  <w:pPr>
                    <w:pStyle w:val="Compact"/>
                    <w:spacing w:before="36" w:after="36"/>
                    <w:jc w:val="center"/>
                    <w:rPr/>
                  </w:pPr>
                  <w:r>
                    <w:rPr/>
                    <w:t>0.039</w:t>
                  </w:r>
                </w:p>
              </w:tc>
              <w:tc>
                <w:tcPr>
                  <w:tcW w:w="1430" w:type="dxa"/>
                  <w:tcBorders>
                    <w:top w:val="nil"/>
                    <w:bottom w:val="single" w:sz="12" w:space="0" w:color="000000"/>
                  </w:tcBorders>
                  <w:vAlign w:val="center"/>
                </w:tcPr>
                <w:p>
                  <w:pPr>
                    <w:pStyle w:val="Compact"/>
                    <w:spacing w:before="36" w:after="36"/>
                    <w:jc w:val="center"/>
                    <w:rPr/>
                  </w:pPr>
                  <w:r>
                    <w:rPr/>
                    <w:t>[0.053, 0.200]</w:t>
                  </w:r>
                  <w:bookmarkStart w:id="120" w:name="tbl-modmed"/>
                  <w:bookmarkEnd w:id="120"/>
                </w:p>
              </w:tc>
            </w:tr>
          </w:tbl>
          <w:p>
            <w:pPr>
              <w:pStyle w:val="Normal"/>
              <w:spacing w:before="0" w:after="200"/>
              <w:jc w:val="left"/>
              <w:rPr>
                <w:sz w:val="24"/>
              </w:rPr>
            </w:pPr>
            <w:r>
              <w:rPr>
                <w:sz w:val="24"/>
              </w:rPr>
            </w:r>
          </w:p>
        </w:tc>
      </w:tr>
    </w:tbl>
    <w:p>
      <w:pPr>
        <w:pStyle w:val="TableNote"/>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per study across eight LLMs from three providers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per cell). Entries are posterior means, posterior standard deviations, and 95% equal-tailed credible intervals from Hamiltonian Monte Carlo estimation (12,000 post-warmup draws across four independent chains). First-stage paths are in cell counts (maximum 6 in Study 1 and 9 in Study 2). Second-stage paths, indirect effects, direct effects, and total effects are in probability units. Group-level standard deviations (</w:t>
      </w:r>
      <w:r>
        <w:rPr/>
      </w:r>
      <m:oMath xmlns:m="http://schemas.openxmlformats.org/officeDocument/2006/math">
        <m:r>
          <w:rPr>
            <w:rFonts w:ascii="Cambria Math" w:hAnsi="Cambria Math"/>
          </w:rPr>
          <m:t xml:space="preserve">τ</m:t>
        </m:r>
      </m:oMath>
      <w:r>
        <w:rPr/>
        <w:t xml:space="preserve">) estimate cross-LLM heterogeneity.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t xml:space="preserve"> is under the specific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oMath>
      <w:r>
        <w:rPr/>
        <w:t xml:space="preserve"> is computed as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oMath>
      <w:r>
        <w:rPr/>
        <w:t>.</w:t>
        <w:br/>
      </w:r>
      <w:r>
        <w:rPr>
          <w:i/>
          <w:iCs/>
        </w:rPr>
        <w:t>*</w:t>
      </w:r>
      <w:r>
        <w:rPr/>
        <w:t xml:space="preserve"> 95% credible interval excludes zero.</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keepNext/>
              <w:spacing w:before="240" w:after="120"/>
              <w:ind w:left="0" w:firstLine="0"/>
              <w:jc w:val="left"/>
            </w:pPr>
            <w:r>
              <w:rPr>
                <w:b/>
                <w:bCs/>
                <w:i w:val="false"/>
                <w:iCs w:val="false"/>
              </w:rPr>
              <w:t xml:space="preserve">Table 3</w:t>
            </w:r>
            <w:r>
              <w:rPr>
                <w:i w:val="false"/>
                <w:iCs w:val="false"/>
              </w:rPr>
              <w:t xml:space="preserve">  Aggregate diagnostic information acquisition and choice optimality across LLMs (Study 2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398"/>
              <w:gridCol w:w="748"/>
              <w:gridCol w:w="1303"/>
              <w:gridCol w:w="1216"/>
              <w:gridCol w:w="1210"/>
              <w:gridCol w:w="1309"/>
              <w:gridCol w:w="1960"/>
            </w:tblGrid>
            <w:tr>
              <w:trPr>
                <w:tblHeader w:val="true"/>
              </w:trPr>
              <w:tc>
                <w:tcPr>
                  <w:tcW w:w="1398" w:type="dxa"/>
                  <w:tcBorders>
                    <w:top w:val="single" w:sz="12" w:space="0" w:color="000000"/>
                    <w:bottom w:val="single" w:sz="12" w:space="0" w:color="000000"/>
                  </w:tcBorders>
                  <w:vAlign w:val="center"/>
                </w:tcPr>
                <w:p>
                  <w:pPr>
                    <w:pStyle w:val="Compact"/>
                    <w:spacing w:before="36" w:after="36"/>
                    <w:jc w:val="left"/>
                    <w:rPr>
                      <w:b w:val="false"/>
                    </w:rPr>
                  </w:pPr>
                  <w:r>
                    <w:rPr>
                      <w:b w:val="false"/>
                    </w:rPr>
                    <w:t>Goal Prompt</w:t>
                  </w:r>
                </w:p>
              </w:tc>
              <w:tc>
                <w:tcPr>
                  <w:tcW w:w="748" w:type="dxa"/>
                  <w:tcBorders>
                    <w:top w:val="single" w:sz="12" w:space="0" w:color="000000"/>
                    <w:bottom w:val="single" w:sz="12" w:space="0" w:color="000000"/>
                  </w:tcBorders>
                  <w:vAlign w:val="center"/>
                </w:tcPr>
                <w:p>
                  <w:pPr>
                    <w:pStyle w:val="Compact"/>
                    <w:spacing w:before="36" w:after="36"/>
                    <w:jc w:val="center"/>
                    <w:rPr>
                      <w:b w:val="false"/>
                    </w:rPr>
                  </w:pPr>
                  <w:r>
                    <w:rPr>
                      <w:b w:val="false"/>
                    </w:rPr>
                    <w:t>Cost</w:t>
                  </w:r>
                </w:p>
              </w:tc>
              <w:tc>
                <w:tcPr>
                  <w:tcW w:w="1303" w:type="dxa"/>
                  <w:tcBorders>
                    <w:top w:val="single" w:sz="12" w:space="0" w:color="000000"/>
                    <w:bottom w:val="single" w:sz="12" w:space="0" w:color="000000"/>
                  </w:tcBorders>
                  <w:vAlign w:val="center"/>
                </w:tcPr>
                <w:p>
                  <w:pPr>
                    <w:pStyle w:val="Compact"/>
                    <w:spacing w:before="36" w:after="36"/>
                    <w:jc w:val="center"/>
                    <w:rPr>
                      <w:b w:val="false"/>
                    </w:rPr>
                  </w:pPr>
                  <w:r>
                    <w:rPr>
                      <w:b w:val="false"/>
                    </w:rPr>
                    <w:t>List Price</w:t>
                  </w:r>
                </w:p>
              </w:tc>
              <w:tc>
                <w:tcPr>
                  <w:tcW w:w="1216" w:type="dxa"/>
                  <w:tcBorders>
                    <w:top w:val="single" w:sz="12" w:space="0" w:color="000000"/>
                    <w:bottom w:val="single" w:sz="12" w:space="0" w:color="000000"/>
                  </w:tcBorders>
                  <w:vAlign w:val="center"/>
                </w:tcPr>
                <w:p>
                  <w:pPr>
                    <w:pStyle w:val="Compact"/>
                    <w:spacing w:before="36" w:after="36"/>
                    <w:jc w:val="center"/>
                    <w:rPr>
                      <w:b w:val="false"/>
                    </w:rPr>
                  </w:pPr>
                  <w:r>
                    <w:rPr>
                      <w:b w:val="false"/>
                    </w:rPr>
                    <w:t>Discount</w:t>
                  </w:r>
                </w:p>
              </w:tc>
              <w:tc>
                <w:tcPr>
                  <w:tcW w:w="1210" w:type="dxa"/>
                  <w:tcBorders>
                    <w:top w:val="single" w:sz="12" w:space="0" w:color="000000"/>
                    <w:bottom w:val="single" w:sz="12" w:space="0" w:color="000000"/>
                  </w:tcBorders>
                  <w:vAlign w:val="center"/>
                </w:tcPr>
                <w:p>
                  <w:pPr>
                    <w:pStyle w:val="Compact"/>
                    <w:spacing w:before="36" w:after="36"/>
                    <w:jc w:val="center"/>
                    <w:rPr>
                      <w:b w:val="false"/>
                    </w:rPr>
                  </w:pPr>
                  <w:r>
                    <w:rPr>
                      <w:b w:val="false"/>
                    </w:rPr>
                    <w:t>Weight</w:t>
                  </w:r>
                </w:p>
              </w:tc>
              <w:tc>
                <w:tcPr>
                  <w:tcW w:w="1309" w:type="dxa"/>
                  <w:tcBorders>
                    <w:top w:val="single" w:sz="12" w:space="0" w:color="000000"/>
                    <w:bottom w:val="single" w:sz="12" w:space="0" w:color="000000"/>
                  </w:tcBorders>
                  <w:vAlign w:val="center"/>
                </w:tcPr>
                <w:p>
                  <w:pPr>
                    <w:pStyle w:val="Compact"/>
                    <w:spacing w:before="36" w:after="36"/>
                    <w:jc w:val="center"/>
                    <w:rPr>
                      <w:b w:val="false"/>
                    </w:rPr>
                  </w:pPr>
                  <w:r>
                    <w:rPr>
                      <w:b w:val="false"/>
                    </w:rPr>
                    <w:t>Diagnostic</w:t>
                  </w:r>
                </w:p>
              </w:tc>
              <w:tc>
                <w:tcPr>
                  <w:tcW w:w="1960" w:type="dxa"/>
                  <w:tcBorders>
                    <w:top w:val="single" w:sz="12" w:space="0" w:color="000000"/>
                    <w:bottom w:val="single" w:sz="12" w:space="0" w:color="000000"/>
                  </w:tcBorders>
                  <w:vAlign w:val="center"/>
                </w:tcPr>
                <w:p>
                  <w:pPr>
                    <w:pStyle w:val="Compact"/>
                    <w:spacing w:before="36" w:after="36"/>
                    <w:jc w:val="center"/>
                    <w:rPr>
                      <w:b w:val="false"/>
                    </w:rPr>
                  </w:pPr>
                  <w:r>
                    <w:rPr>
                      <w:b w:val="false"/>
                    </w:rPr>
                    <w:t>Choice Optimality</w:t>
                  </w:r>
                </w:p>
              </w:tc>
            </w:tr>
            <w:tr>
              <w:trPr/>
              <w:tc>
                <w:tcPr>
                  <w:tcW w:w="1398" w:type="dxa"/>
                  <w:tcBorders>
                    <w:top w:val="nil"/>
                    <w:bottom w:val="nil"/>
                  </w:tcBorders>
                  <w:vAlign w:val="center"/>
                </w:tcPr>
                <w:p>
                  <w:pPr>
                    <w:pStyle w:val="Compact"/>
                    <w:spacing w:before="36" w:after="36"/>
                    <w:jc w:val="left"/>
                    <w:rPr/>
                  </w:pPr>
                  <w:r>
                    <w:rPr/>
                    <w:t>Specific</w:t>
                  </w:r>
                </w:p>
              </w:tc>
              <w:tc>
                <w:tcPr>
                  <w:tcW w:w="748" w:type="dxa"/>
                  <w:tcBorders>
                    <w:top w:val="nil"/>
                    <w:bottom w:val="nil"/>
                  </w:tcBorders>
                  <w:vAlign w:val="center"/>
                </w:tcPr>
                <w:p>
                  <w:pPr>
                    <w:pStyle w:val="Compact"/>
                    <w:spacing w:before="36" w:after="36"/>
                    <w:jc w:val="center"/>
                    <w:rPr/>
                  </w:pPr>
                  <w:r>
                    <w:rPr/>
                    <w:t>$0</w:t>
                  </w:r>
                </w:p>
              </w:tc>
              <w:tc>
                <w:tcPr>
                  <w:tcW w:w="1303" w:type="dxa"/>
                  <w:tcBorders>
                    <w:top w:val="nil"/>
                    <w:bottom w:val="nil"/>
                  </w:tcBorders>
                  <w:vAlign w:val="center"/>
                </w:tcPr>
                <w:p>
                  <w:pPr>
                    <w:pStyle w:val="Compact"/>
                    <w:spacing w:before="36" w:after="36"/>
                    <w:jc w:val="center"/>
                    <w:rPr/>
                  </w:pPr>
                  <w:r>
                    <w:rPr/>
                    <w:t>3.00 (0.00)</w:t>
                  </w:r>
                </w:p>
              </w:tc>
              <w:tc>
                <w:tcPr>
                  <w:tcW w:w="1216" w:type="dxa"/>
                  <w:tcBorders>
                    <w:top w:val="nil"/>
                    <w:bottom w:val="nil"/>
                  </w:tcBorders>
                  <w:vAlign w:val="center"/>
                </w:tcPr>
                <w:p>
                  <w:pPr>
                    <w:pStyle w:val="Compact"/>
                    <w:spacing w:before="36" w:after="36"/>
                    <w:jc w:val="center"/>
                    <w:rPr/>
                  </w:pPr>
                  <w:r>
                    <w:rPr/>
                    <w:t>2.98 (0.03)</w:t>
                  </w:r>
                </w:p>
              </w:tc>
              <w:tc>
                <w:tcPr>
                  <w:tcW w:w="1210" w:type="dxa"/>
                  <w:tcBorders>
                    <w:top w:val="nil"/>
                    <w:bottom w:val="nil"/>
                  </w:tcBorders>
                  <w:vAlign w:val="center"/>
                </w:tcPr>
                <w:p>
                  <w:pPr>
                    <w:pStyle w:val="Compact"/>
                    <w:spacing w:before="36" w:after="36"/>
                    <w:jc w:val="center"/>
                    <w:rPr/>
                  </w:pPr>
                  <w:r>
                    <w:rPr/>
                    <w:t>3.00 (0.00)</w:t>
                  </w:r>
                </w:p>
              </w:tc>
              <w:tc>
                <w:tcPr>
                  <w:tcW w:w="1309" w:type="dxa"/>
                  <w:tcBorders>
                    <w:top w:val="nil"/>
                    <w:bottom w:val="nil"/>
                  </w:tcBorders>
                  <w:vAlign w:val="center"/>
                </w:tcPr>
                <w:p>
                  <w:pPr>
                    <w:pStyle w:val="Compact"/>
                    <w:spacing w:before="36" w:after="36"/>
                    <w:jc w:val="center"/>
                    <w:rPr/>
                  </w:pPr>
                  <w:r>
                    <w:rPr/>
                    <w:t>8.98 (0.03)</w:t>
                  </w:r>
                </w:p>
              </w:tc>
              <w:tc>
                <w:tcPr>
                  <w:tcW w:w="1960" w:type="dxa"/>
                  <w:tcBorders>
                    <w:top w:val="nil"/>
                    <w:bottom w:val="nil"/>
                  </w:tcBorders>
                  <w:vAlign w:val="center"/>
                </w:tcPr>
                <w:p>
                  <w:pPr>
                    <w:pStyle w:val="Compact"/>
                    <w:spacing w:before="36" w:after="36"/>
                    <w:jc w:val="center"/>
                    <w:rPr/>
                  </w:pPr>
                  <w:r>
                    <w:rPr/>
                    <w:t>0.90 (0.25)</w:t>
                  </w:r>
                </w:p>
              </w:tc>
            </w:tr>
            <w:tr>
              <w:trPr/>
              <w:tc>
                <w:tcPr>
                  <w:tcW w:w="1398" w:type="dxa"/>
                  <w:tcBorders>
                    <w:top w:val="nil"/>
                    <w:bottom w:val="nil"/>
                  </w:tcBorders>
                  <w:vAlign w:val="center"/>
                </w:tcPr>
                <w:p>
                  <w:pPr>
                    <w:pStyle w:val="Compact"/>
                    <w:spacing w:before="36" w:after="36"/>
                    <w:jc w:val="left"/>
                    <w:rPr/>
                  </w:pPr>
                  <w:r>
                    <w:rPr/>
                    <w:t>Specific</w:t>
                  </w:r>
                </w:p>
              </w:tc>
              <w:tc>
                <w:tcPr>
                  <w:tcW w:w="748" w:type="dxa"/>
                  <w:tcBorders>
                    <w:top w:val="nil"/>
                    <w:bottom w:val="nil"/>
                  </w:tcBorders>
                  <w:vAlign w:val="center"/>
                </w:tcPr>
                <w:p>
                  <w:pPr>
                    <w:pStyle w:val="Compact"/>
                    <w:spacing w:before="36" w:after="36"/>
                    <w:jc w:val="center"/>
                    <w:rPr/>
                  </w:pPr>
                  <w:r>
                    <w:rPr/>
                    <w:t>$50</w:t>
                  </w:r>
                </w:p>
              </w:tc>
              <w:tc>
                <w:tcPr>
                  <w:tcW w:w="1303" w:type="dxa"/>
                  <w:tcBorders>
                    <w:top w:val="nil"/>
                    <w:bottom w:val="nil"/>
                  </w:tcBorders>
                  <w:vAlign w:val="center"/>
                </w:tcPr>
                <w:p>
                  <w:pPr>
                    <w:pStyle w:val="Compact"/>
                    <w:spacing w:before="36" w:after="36"/>
                    <w:jc w:val="center"/>
                    <w:rPr/>
                  </w:pPr>
                  <w:r>
                    <w:rPr/>
                    <w:t>2.90 (0.25)</w:t>
                  </w:r>
                </w:p>
              </w:tc>
              <w:tc>
                <w:tcPr>
                  <w:tcW w:w="1216" w:type="dxa"/>
                  <w:tcBorders>
                    <w:top w:val="nil"/>
                    <w:bottom w:val="nil"/>
                  </w:tcBorders>
                  <w:vAlign w:val="center"/>
                </w:tcPr>
                <w:p>
                  <w:pPr>
                    <w:pStyle w:val="Compact"/>
                    <w:spacing w:before="36" w:after="36"/>
                    <w:jc w:val="center"/>
                    <w:rPr/>
                  </w:pPr>
                  <w:r>
                    <w:rPr/>
                    <w:t>2.50 (0.59)</w:t>
                  </w:r>
                </w:p>
              </w:tc>
              <w:tc>
                <w:tcPr>
                  <w:tcW w:w="1210" w:type="dxa"/>
                  <w:tcBorders>
                    <w:top w:val="nil"/>
                    <w:bottom w:val="nil"/>
                  </w:tcBorders>
                  <w:vAlign w:val="center"/>
                </w:tcPr>
                <w:p>
                  <w:pPr>
                    <w:pStyle w:val="Compact"/>
                    <w:spacing w:before="36" w:after="36"/>
                    <w:jc w:val="center"/>
                    <w:rPr/>
                  </w:pPr>
                  <w:r>
                    <w:rPr/>
                    <w:t>2.86 (0.35)</w:t>
                  </w:r>
                </w:p>
              </w:tc>
              <w:tc>
                <w:tcPr>
                  <w:tcW w:w="1309" w:type="dxa"/>
                  <w:tcBorders>
                    <w:top w:val="nil"/>
                    <w:bottom w:val="nil"/>
                  </w:tcBorders>
                  <w:vAlign w:val="center"/>
                </w:tcPr>
                <w:p>
                  <w:pPr>
                    <w:pStyle w:val="Compact"/>
                    <w:spacing w:before="36" w:after="36"/>
                    <w:jc w:val="center"/>
                    <w:rPr/>
                  </w:pPr>
                  <w:r>
                    <w:rPr/>
                    <w:t>8.26 (1.03)</w:t>
                  </w:r>
                </w:p>
              </w:tc>
              <w:tc>
                <w:tcPr>
                  <w:tcW w:w="1960" w:type="dxa"/>
                  <w:tcBorders>
                    <w:top w:val="nil"/>
                    <w:bottom w:val="nil"/>
                  </w:tcBorders>
                  <w:vAlign w:val="center"/>
                </w:tcPr>
                <w:p>
                  <w:pPr>
                    <w:pStyle w:val="Compact"/>
                    <w:spacing w:before="36" w:after="36"/>
                    <w:jc w:val="center"/>
                    <w:rPr/>
                  </w:pPr>
                  <w:r>
                    <w:rPr/>
                    <w:t>0.88 (0.23)</w:t>
                  </w:r>
                </w:p>
              </w:tc>
            </w:tr>
            <w:tr>
              <w:trPr/>
              <w:tc>
                <w:tcPr>
                  <w:tcW w:w="1398" w:type="dxa"/>
                  <w:tcBorders>
                    <w:top w:val="nil"/>
                    <w:bottom w:val="nil"/>
                  </w:tcBorders>
                  <w:vAlign w:val="center"/>
                </w:tcPr>
                <w:p>
                  <w:pPr>
                    <w:pStyle w:val="Compact"/>
                    <w:spacing w:before="36" w:after="36"/>
                    <w:jc w:val="left"/>
                    <w:rPr/>
                  </w:pPr>
                  <w:r>
                    <w:rPr/>
                    <w:t>Vague</w:t>
                  </w:r>
                </w:p>
              </w:tc>
              <w:tc>
                <w:tcPr>
                  <w:tcW w:w="748" w:type="dxa"/>
                  <w:tcBorders>
                    <w:top w:val="nil"/>
                    <w:bottom w:val="nil"/>
                  </w:tcBorders>
                  <w:vAlign w:val="center"/>
                </w:tcPr>
                <w:p>
                  <w:pPr>
                    <w:pStyle w:val="Compact"/>
                    <w:spacing w:before="36" w:after="36"/>
                    <w:jc w:val="center"/>
                    <w:rPr/>
                  </w:pPr>
                  <w:r>
                    <w:rPr/>
                    <w:t>$0</w:t>
                  </w:r>
                </w:p>
              </w:tc>
              <w:tc>
                <w:tcPr>
                  <w:tcW w:w="1303" w:type="dxa"/>
                  <w:tcBorders>
                    <w:top w:val="nil"/>
                    <w:bottom w:val="nil"/>
                  </w:tcBorders>
                  <w:vAlign w:val="center"/>
                </w:tcPr>
                <w:p>
                  <w:pPr>
                    <w:pStyle w:val="Compact"/>
                    <w:spacing w:before="36" w:after="36"/>
                    <w:jc w:val="center"/>
                    <w:rPr/>
                  </w:pPr>
                  <w:r>
                    <w:rPr/>
                    <w:t>3.00 (0.00)</w:t>
                  </w:r>
                </w:p>
              </w:tc>
              <w:tc>
                <w:tcPr>
                  <w:tcW w:w="1216" w:type="dxa"/>
                  <w:tcBorders>
                    <w:top w:val="nil"/>
                    <w:bottom w:val="nil"/>
                  </w:tcBorders>
                  <w:vAlign w:val="center"/>
                </w:tcPr>
                <w:p>
                  <w:pPr>
                    <w:pStyle w:val="Compact"/>
                    <w:spacing w:before="36" w:after="36"/>
                    <w:jc w:val="center"/>
                    <w:rPr/>
                  </w:pPr>
                  <w:r>
                    <w:rPr/>
                    <w:t>3.00 (0.00)</w:t>
                  </w:r>
                </w:p>
              </w:tc>
              <w:tc>
                <w:tcPr>
                  <w:tcW w:w="1210" w:type="dxa"/>
                  <w:tcBorders>
                    <w:top w:val="nil"/>
                    <w:bottom w:val="nil"/>
                  </w:tcBorders>
                  <w:vAlign w:val="center"/>
                </w:tcPr>
                <w:p>
                  <w:pPr>
                    <w:pStyle w:val="Compact"/>
                    <w:spacing w:before="36" w:after="36"/>
                    <w:jc w:val="center"/>
                    <w:rPr/>
                  </w:pPr>
                  <w:r>
                    <w:rPr/>
                    <w:t>3.00 (0.00)</w:t>
                  </w:r>
                </w:p>
              </w:tc>
              <w:tc>
                <w:tcPr>
                  <w:tcW w:w="1309" w:type="dxa"/>
                  <w:tcBorders>
                    <w:top w:val="nil"/>
                    <w:bottom w:val="nil"/>
                  </w:tcBorders>
                  <w:vAlign w:val="center"/>
                </w:tcPr>
                <w:p>
                  <w:pPr>
                    <w:pStyle w:val="Compact"/>
                    <w:spacing w:before="36" w:after="36"/>
                    <w:jc w:val="center"/>
                    <w:rPr/>
                  </w:pPr>
                  <w:r>
                    <w:rPr/>
                    <w:t>9.00 (0.00)</w:t>
                  </w:r>
                </w:p>
              </w:tc>
              <w:tc>
                <w:tcPr>
                  <w:tcW w:w="1960" w:type="dxa"/>
                  <w:tcBorders>
                    <w:top w:val="nil"/>
                    <w:bottom w:val="nil"/>
                  </w:tcBorders>
                  <w:vAlign w:val="center"/>
                </w:tcPr>
                <w:p>
                  <w:pPr>
                    <w:pStyle w:val="Compact"/>
                    <w:spacing w:before="36" w:after="36"/>
                    <w:jc w:val="center"/>
                    <w:rPr/>
                  </w:pPr>
                  <w:r>
                    <w:rPr/>
                    <w:t>0.86 (0.31)</w:t>
                  </w:r>
                </w:p>
              </w:tc>
            </w:tr>
            <w:tr>
              <w:trPr/>
              <w:tc>
                <w:tcPr>
                  <w:tcW w:w="1398" w:type="dxa"/>
                  <w:tcBorders>
                    <w:top w:val="nil"/>
                    <w:bottom w:val="single" w:sz="12" w:space="0" w:color="000000"/>
                  </w:tcBorders>
                  <w:vAlign w:val="center"/>
                </w:tcPr>
                <w:p>
                  <w:pPr>
                    <w:pStyle w:val="Compact"/>
                    <w:spacing w:before="36" w:after="36"/>
                    <w:jc w:val="left"/>
                    <w:rPr/>
                  </w:pPr>
                  <w:r>
                    <w:rPr/>
                    <w:t>Vague</w:t>
                  </w:r>
                </w:p>
              </w:tc>
              <w:tc>
                <w:tcPr>
                  <w:tcW w:w="748" w:type="dxa"/>
                  <w:tcBorders>
                    <w:top w:val="nil"/>
                    <w:bottom w:val="single" w:sz="12" w:space="0" w:color="000000"/>
                  </w:tcBorders>
                  <w:vAlign w:val="center"/>
                </w:tcPr>
                <w:p>
                  <w:pPr>
                    <w:pStyle w:val="Compact"/>
                    <w:spacing w:before="36" w:after="36"/>
                    <w:jc w:val="center"/>
                    <w:rPr/>
                  </w:pPr>
                  <w:r>
                    <w:rPr/>
                    <w:t>$50</w:t>
                  </w:r>
                </w:p>
              </w:tc>
              <w:tc>
                <w:tcPr>
                  <w:tcW w:w="1303" w:type="dxa"/>
                  <w:tcBorders>
                    <w:top w:val="nil"/>
                    <w:bottom w:val="single" w:sz="12" w:space="0" w:color="000000"/>
                  </w:tcBorders>
                  <w:vAlign w:val="center"/>
                </w:tcPr>
                <w:p>
                  <w:pPr>
                    <w:pStyle w:val="Compact"/>
                    <w:spacing w:before="36" w:after="36"/>
                    <w:jc w:val="center"/>
                    <w:rPr/>
                  </w:pPr>
                  <w:r>
                    <w:rPr/>
                    <w:t>1.94 (1.24)</w:t>
                  </w:r>
                </w:p>
              </w:tc>
              <w:tc>
                <w:tcPr>
                  <w:tcW w:w="1216" w:type="dxa"/>
                  <w:tcBorders>
                    <w:top w:val="nil"/>
                    <w:bottom w:val="single" w:sz="12" w:space="0" w:color="000000"/>
                  </w:tcBorders>
                  <w:vAlign w:val="center"/>
                </w:tcPr>
                <w:p>
                  <w:pPr>
                    <w:pStyle w:val="Compact"/>
                    <w:spacing w:before="36" w:after="36"/>
                    <w:jc w:val="center"/>
                    <w:rPr/>
                  </w:pPr>
                  <w:r>
                    <w:rPr/>
                    <w:t>1.58 (1.23)</w:t>
                  </w:r>
                </w:p>
              </w:tc>
              <w:tc>
                <w:tcPr>
                  <w:tcW w:w="1210" w:type="dxa"/>
                  <w:tcBorders>
                    <w:top w:val="nil"/>
                    <w:bottom w:val="single" w:sz="12" w:space="0" w:color="000000"/>
                  </w:tcBorders>
                  <w:vAlign w:val="center"/>
                </w:tcPr>
                <w:p>
                  <w:pPr>
                    <w:pStyle w:val="Compact"/>
                    <w:spacing w:before="36" w:after="36"/>
                    <w:jc w:val="center"/>
                    <w:rPr/>
                  </w:pPr>
                  <w:r>
                    <w:rPr/>
                    <w:t>1.31 (1.14)</w:t>
                  </w:r>
                </w:p>
              </w:tc>
              <w:tc>
                <w:tcPr>
                  <w:tcW w:w="1309" w:type="dxa"/>
                  <w:tcBorders>
                    <w:top w:val="nil"/>
                    <w:bottom w:val="single" w:sz="12" w:space="0" w:color="000000"/>
                  </w:tcBorders>
                  <w:vAlign w:val="center"/>
                </w:tcPr>
                <w:p>
                  <w:pPr>
                    <w:pStyle w:val="Compact"/>
                    <w:spacing w:before="36" w:after="36"/>
                    <w:jc w:val="center"/>
                    <w:rPr/>
                  </w:pPr>
                  <w:r>
                    <w:rPr/>
                    <w:t>4.82 (3.49)</w:t>
                  </w:r>
                </w:p>
              </w:tc>
              <w:tc>
                <w:tcPr>
                  <w:tcW w:w="1960" w:type="dxa"/>
                  <w:tcBorders>
                    <w:top w:val="nil"/>
                    <w:bottom w:val="single" w:sz="12" w:space="0" w:color="000000"/>
                  </w:tcBorders>
                  <w:vAlign w:val="center"/>
                </w:tcPr>
                <w:p>
                  <w:pPr>
                    <w:pStyle w:val="Compact"/>
                    <w:spacing w:before="36" w:after="36"/>
                    <w:jc w:val="center"/>
                    <w:rPr/>
                  </w:pPr>
                  <w:r>
                    <w:rPr/>
                    <w:t>0.48 (0.29)</w:t>
                  </w:r>
                  <w:bookmarkStart w:id="121" w:name="tbl-s2b-aggregate"/>
                  <w:bookmarkEnd w:id="121"/>
                </w:p>
              </w:tc>
            </w:tr>
          </w:tbl>
          <w:p>
            <w:pPr>
              <w:pStyle w:val="Normal"/>
              <w:spacing w:before="0" w:after="200"/>
              <w:jc w:val="left"/>
              <w:rPr>
                <w:sz w:val="24"/>
              </w:rPr>
            </w:pPr>
            <w:r>
              <w:rPr>
                <w:sz w:val="24"/>
              </w:rPr>
            </w:r>
          </w:p>
        </w:tc>
      </w:tr>
    </w:tbl>
    <w:p>
      <w:pPr>
        <w:pStyle w:val="TableNote"/>
        <w:spacing w:before="180" w:after="180"/>
        <w:ind w:hanging="0"/>
        <w:jc w:val="lef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LLMs from three providers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independent Monte Carlo sessions per cell). Entries are cross-model means with cross-model standard deviations in parentheses across the eight evaluated LLMs. Diagnostic acquisitions are the combined count of </w:t>
      </w:r>
      <w:r>
        <w:rPr>
          <w:i/>
          <w:iCs/>
        </w:rPr>
        <w:t>list_price</w:t>
      </w:r>
      <w:r>
        <w:rPr/>
        <w:t xml:space="preserve">, </w:t>
      </w:r>
      <w:r>
        <w:rPr>
          <w:i/>
          <w:iCs/>
        </w:rPr>
        <w:t>discount_percentage</w:t>
      </w:r>
      <w:r>
        <w:rPr/>
        <w:t xml:space="preserve">, and </w:t>
      </w:r>
      <w:r>
        <w:rPr>
          <w:i/>
          <w:iCs/>
        </w:rPr>
        <w:t>weight</w:t>
      </w:r>
      <w:r>
        <w:rPr/>
        <w:t xml:space="preserve"> across all three alternatives (maximum = 9). Choice Optimality is the proportion of sessions selecting the normatively optimal alternative (</w:t>
      </w:r>
      <w:r>
        <w:rPr>
          <w:i/>
          <w:iCs/>
        </w:rPr>
        <w:t>Coffee E</w:t>
      </w:r>
      <w:r>
        <w:rPr/>
        <w:t>: $10.00 list price, 0% discount, 10.9 oz; $0.917/oz).</w:t>
      </w:r>
      <w:bookmarkEnd w:id="116"/>
    </w:p>
    <w:sectPr>
      <w:footerReference w:type="even" r:id="rId18"/>
      <w:footerReference w:type="default" r:id="rId25"/>
      <w:footerReference w:type="first" r:id="rId20"/>
      <w:footnotePr>
        <w:numFmt w:val="decimal"/>
      </w:footnotePr>
      <w:type w:val="nextPage"/>
      <w:pgSz w:w="12240" w:h="15840"/>
      <w:pgMar w:left="1440" w:right="1440" w:gutter="0" w:header="0" w:top="1440" w:footer="1440" w:bottom="247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Aptos Display">
    <w:charset w:val="01"/>
    <w:family w:val="swiss"/>
    <w:pitch w:val="variable"/>
  </w:font>
</w:fonts>
</file>

<file path=word/footer-pagenum.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54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54</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In our framework, it is not necessary to distinguish between these two routes, as both yield the hypothesized pathway. Distinguishing between these two routes across LLMs and pricing cues is beyond the scope of this research, although we illustrate how Tool-Lab can separate them in Web Appendix E</w:t>
      </w:r>
    </w:p>
  </w:footnote>
  <w:footnote w:id="3">
    <w:p>
      <w:pPr>
        <w:pStyle w:val="FootnoteText"/>
        <w:rPr/>
      </w:pPr>
      <w:r>
        <w:rPr>
          <w:rStyle w:val="FootnoteCharacters"/>
        </w:rPr>
        <w:footnoteRef/>
      </w:r>
      <w:r>
        <w:rPr/>
        <w:t xml:space="preserve"> </w:t>
      </w:r>
      <w:r>
        <w:rPr/>
        <w:t>During each session, the LLM can execute only one tool call per turn.</w:t>
      </w:r>
    </w:p>
  </w:footnote>
  <w:footnote w:id="4">
    <w:p>
      <w:pPr>
        <w:pStyle w:val="FootnoteText"/>
        <w:rPr/>
      </w:pPr>
      <w:r>
        <w:rPr>
          <w:rStyle w:val="FootnoteCharacters"/>
        </w:rPr>
        <w:footnoteRef/>
      </w:r>
      <w:r>
        <w:rPr/>
        <w:t xml:space="preserve"> </w:t>
      </w:r>
      <w:r>
        <w:rPr/>
        <w:t xml:space="preserve">To prevent the letters “a” or “b” in coffee_a and coffee_b affecting the choice, each session randomizes the </w:t>
      </w:r>
      <w:r>
        <w:rPr>
          <w:i/>
          <w:iCs/>
        </w:rPr>
        <w:t>option_id</w:t>
      </w:r>
      <w:r>
        <w:rPr/>
        <w:t>.</w:t>
      </w:r>
    </w:p>
  </w:footnote>
  <w:footnote w:id="5">
    <w:p>
      <w:pPr>
        <w:pStyle w:val="FootnoteText"/>
        <w:rPr/>
      </w:pPr>
      <w:r>
        <w:rPr>
          <w:rStyle w:val="FootnoteCharacters"/>
        </w:rPr>
        <w:footnoteRef/>
      </w:r>
      <w:r>
        <w:rPr/>
        <w:t xml:space="preserve"> </w:t>
      </w:r>
      <w:r>
        <w:rPr/>
        <w:t>We scale the purchase volume to five bags to ensure that the potential economic surplus of identifying the optimal product mathematically justifies the cumulative tool costs.</w:t>
      </w:r>
    </w:p>
  </w:footnote>
  <w:footnote w:id="6">
    <w:p>
      <w:pPr>
        <w:pStyle w:val="FootnoteText"/>
        <w:rPr/>
      </w:pPr>
      <w:r>
        <w:rPr>
          <w:rStyle w:val="FootnoteCharacters"/>
        </w:rPr>
        <w:footnoteRef/>
      </w:r>
      <w:r>
        <w:rPr/>
        <w:t xml:space="preserve"> </w:t>
      </w:r>
      <w:r>
        <w:rPr/>
        <w:t xml:space="preserve">We use </w:t>
      </w:r>
      <w:r>
        <w:rPr>
          <w:i/>
          <w:iCs/>
        </w:rPr>
        <w:t>adopted objective</w:t>
      </w:r>
      <w:r>
        <w:rPr/>
        <w:t xml:space="preserve"> to contrast the objective an LLM works toward under a vague goal prompt with the objective stated in the specific goal prompt.</w:t>
      </w:r>
    </w:p>
  </w:footnote>
  <w:footnote w:id="7">
    <w:p>
      <w:pPr>
        <w:pStyle w:val="FootnoteText"/>
        <w:rPr/>
      </w:pPr>
      <w:r>
        <w:rPr>
          <w:rStyle w:val="FootnoteCharacters"/>
        </w:rPr>
        <w:footnoteRef/>
      </w:r>
      <w:r>
        <w:rPr/>
        <w:t xml:space="preserve"> </w:t>
      </w:r>
      <w:r>
        <w:rPr/>
        <w:t>Estimating an implicit acquisition cost from the purchase-volume manipulation requires the objective to remain constant as the benefit of information increases. Because purchase volume also changed the objective articulated in the reasoning traces, this design does not isolate changes in information benefits while holding the objective constant. It therefore does not identify an implicit acquisition cost. The trace classifications provide suggestive evidence about objective substitution, rather than establishing the internal mechanism responsible for search truncation.</w:t>
      </w:r>
    </w:p>
  </w:footnote>
</w:footnotes>
</file>

<file path=word/settings.xml><?xml version="1.0" encoding="utf-8"?>
<w:settings xmlns:w="http://schemas.openxmlformats.org/wordprocessingml/2006/main">
  <w:zoom w:percent="100"/>
  <w:embedSystemFonts/>
  <w:stylePaneFormatFilter w:val="0004"/>
  <w:defaultTabStop w:val="11340"/>
  <w:autoHyphenation w:val="true"/>
  <w:hyphenationZone w:val="0"/>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uiPriority w:val="0"/>
    <w:qFormat/>
    <w:rsid w:val="02a945fd"/>
    <w:pPr>
      <w:widowControl/>
      <w:suppressAutoHyphens w:val="true"/>
      <w:bidi w:val="0"/>
      <w:spacing w:lineRule="auto" w:line="480" w:before="0" w:after="200"/>
      <w:ind w:firstLine="72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link w:val="Heading1Char"/>
    <w:uiPriority w:val="9"/>
    <w:qFormat/>
    <w:rsid w:val="02a945fd"/>
    <w:pPr>
      <w:keepNext w:val="true"/>
      <w:keepLines/>
      <w:spacing w:before="360" w:after="80"/>
      <w:ind w:hanging="0"/>
      <w:outlineLvl w:val="0"/>
    </w:pPr>
    <w:rPr>
      <w:b/>
      <w:bCs/>
      <w:color w:themeColor="text1" w:val="000000"/>
      <w:sz w:val="28"/>
      <w:szCs w:val="28"/>
    </w:rPr>
  </w:style>
  <w:style w:type="paragraph" w:styleId="Heading2">
    <w:name w:val="heading 2"/>
    <w:basedOn w:val="Normal"/>
    <w:next w:val="BodyText"/>
    <w:link w:val="Heading2Char"/>
    <w:uiPriority w:val="9"/>
    <w:semiHidden/>
    <w:unhideWhenUsed/>
    <w:qFormat/>
    <w:rsid w:val="02a945fd"/>
    <w:pPr>
      <w:keepNext w:val="true"/>
      <w:keepLines/>
      <w:spacing w:before="160" w:after="80"/>
      <w:ind w:hanging="0"/>
      <w:outlineLvl w:val="1"/>
    </w:pPr>
    <w:rPr>
      <w:b/>
      <w:bCs/>
      <w:color w:themeColor="text1" w:val="000000"/>
    </w:rPr>
  </w:style>
  <w:style w:type="paragraph" w:styleId="Heading3">
    <w:name w:val="heading 3"/>
    <w:basedOn w:val="Normal"/>
    <w:next w:val="BodyText"/>
    <w:link w:val="Heading3Char"/>
    <w:uiPriority w:val="9"/>
    <w:semiHidden/>
    <w:unhideWhenUsed/>
    <w:qFormat/>
    <w:rsid w:val="02a945fd"/>
    <w:pPr>
      <w:keepNext w:val="true"/>
      <w:keepLines/>
      <w:spacing w:before="160" w:after="80"/>
      <w:ind w:hanging="0"/>
      <w:outlineLvl w:val="2"/>
    </w:pPr>
    <w:rPr>
      <w:rFonts w:eastAsia="" w:cs="" w:cstheme="majorBidi" w:eastAsiaTheme="majorEastAsia"/>
      <w:color w:val="000000"/>
      <w:sz w:val="24"/>
      <w:szCs w:val="28"/>
    </w:rPr>
  </w:style>
  <w:style w:type="paragraph" w:styleId="Heading4">
    <w:name w:val="heading 4"/>
    <w:basedOn w:val="Normal"/>
    <w:next w:val="BodyText"/>
    <w:link w:val="Heading4Char"/>
    <w:uiPriority w:val="9"/>
    <w:semiHidden/>
    <w:unhideWhenUsed/>
    <w:qFormat/>
    <w:rsid w:val="02a945f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2a945f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2a945f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2a945f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2a945fd"/>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BodyText"/>
    <w:link w:val="Heading9Char"/>
    <w:uiPriority w:val="9"/>
    <w:semiHidden/>
    <w:unhideWhenUsed/>
    <w:qFormat/>
    <w:rsid w:val="02a945fd"/>
    <w:pPr>
      <w:keepNext w:val="true"/>
      <w:keepLines/>
      <w:spacing w:before="0" w:after="0"/>
      <w:outlineLvl w:val="8"/>
    </w:pPr>
    <w:rPr>
      <w:rFonts w:eastAsia="" w:cs="" w:cstheme="majorBidi" w:eastAsiaTheme="majorEastAsia"/>
      <w:color w:val="272727"/>
    </w:rPr>
  </w:style>
  <w:style w:type="character" w:styleId="TitleChar" w:customStyle="1">
    <w:name w:val="Title Char"/>
    <w:basedOn w:val="DefaultParagraphFont"/>
    <w:link w:val="Title"/>
    <w:uiPriority w:val="10"/>
    <w:qFormat/>
    <w:rsid w:val="02a945fd"/>
    <w:rPr>
      <w:rFonts w:ascii="Times New Roman" w:hAnsi="Times New Roman" w:eastAsia="Times New Roman" w:cs="Times New Roman"/>
      <w:b/>
      <w:bCs/>
      <w:sz w:val="28"/>
      <w:szCs w:val="28"/>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2a945fd"/>
    <w:rPr>
      <w:rFonts w:ascii="Times New Roman" w:hAnsi="Times New Roman" w:eastAsia="Times New Roman" w:cs="Times New Roman"/>
      <w:b/>
      <w:bCs/>
      <w:color w:themeColor="text1" w:val="000000"/>
      <w:sz w:val="28"/>
      <w:szCs w:val="28"/>
    </w:rPr>
  </w:style>
  <w:style w:type="character" w:styleId="Heading2Char" w:customStyle="1">
    <w:name w:val="Heading 2 Char"/>
    <w:basedOn w:val="DefaultParagraphFont"/>
    <w:link w:val="Heading2"/>
    <w:uiPriority w:val="9"/>
    <w:semiHidden/>
    <w:qFormat/>
    <w:rsid w:val="02a945fd"/>
    <w:rPr>
      <w:rFonts w:ascii="Times New Roman" w:hAnsi="Times New Roman" w:eastAsia="Times New Roman" w:cs="Times New Roman"/>
      <w:b/>
      <w:bCs/>
      <w:color w:themeColor="text1" w:val="000000"/>
      <w:sz w:val="24"/>
      <w:szCs w:val="24"/>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FollowedHyperlink">
    <w:name w:val="FollowedHyperlink"/>
    <w:rPr>
      <w:color w:val="800000"/>
      <w:u w:val="single"/>
    </w:rPr>
  </w:style>
  <w:style w:type="character" w:styleId="EndnoteCharactersuser">
    <w:name w:val="Endnote Characters (user)"/>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2a945fd"/>
    <w:pPr>
      <w:spacing w:before="180" w:after="180"/>
      <w:jc w:val="both"/>
    </w:pPr>
    <w:rPr/>
  </w:style>
  <w:style w:type="paragraph" w:styleId="List">
    <w:name w:val="List"/>
    <w:basedOn w:val="BodyText"/>
    <w:pPr/>
    <w:rPr>
      <w:rFonts w:cs="Noto Sans Devanagari"/>
    </w:rPr>
  </w:style>
  <w:style w:type="paragraph" w:styleId="Caption">
    <w:name w:val="caption"/>
    <w:basedOn w:val="Normal"/>
    <w:link w:val="BodyTextChar"/>
    <w:uiPriority w:val="1"/>
    <w:qFormat/>
    <w:rsid w:val="02a945fd"/>
    <w:pPr>
      <w:spacing w:before="0" w:after="120"/>
    </w:pPr>
    <w:rPr>
      <w:i/>
      <w:iCs/>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uiPriority w:val="1"/>
    <w:qFormat/>
    <w:rsid w:val="02a945fd"/>
    <w:pPr>
      <w:spacing w:lineRule="auto" w:line="240" w:before="36" w:after="36"/>
      <w:ind w:hanging="0"/>
      <w:jc w:val="left"/>
    </w:pPr>
    <w:rPr>
      <w:rFonts w:ascii="Times New Roman" w:hAnsi="Times New Roman" w:eastAsia="Times New Roman" w:cs="Times New Roman"/>
      <w:sz w:val="18"/>
      <w:szCs w:val="24"/>
    </w:rPr>
  </w:style>
  <w:style w:type="paragraph" w:styleId="Title">
    <w:name w:val="Title"/>
    <w:basedOn w:val="Normal"/>
    <w:next w:val="BodyText"/>
    <w:link w:val="TitleChar"/>
    <w:uiPriority w:val="10"/>
    <w:qFormat/>
    <w:rsid w:val="02a945fd"/>
    <w:pPr>
      <w:spacing w:lineRule="auto" w:line="240" w:before="0" w:after="80"/>
      <w:ind w:hanging="0"/>
      <w:contextualSpacing/>
      <w:jc w:val="center"/>
    </w:pPr>
    <w:rPr>
      <w:b/>
      <w:bCs/>
      <w:sz w:val="28"/>
      <w:szCs w:val="28"/>
    </w:rPr>
  </w:style>
  <w:style w:type="paragraph" w:styleId="Subtitle">
    <w:name w:val="Subtitle"/>
    <w:basedOn w:val="Title"/>
    <w:next w:val="BodyText"/>
    <w:link w:val="SubtitleChar"/>
    <w:uiPriority w:val="11"/>
    <w:qFormat/>
    <w:rsid w:val="02a945fd"/>
    <w:pPr/>
    <w:rPr>
      <w:rFonts w:eastAsia="" w:cs="" w:cstheme="majorBidi" w:eastAsiaTheme="majorEastAsia"/>
    </w:rPr>
  </w:style>
  <w:style w:type="paragraph" w:styleId="Author" w:customStyle="1">
    <w:name w:val="Author"/>
    <w:basedOn w:val="Title"/>
    <w:next w:val="BodyText"/>
    <w:uiPriority w:val="1"/>
    <w:qFormat/>
    <w:rsid w:val="02a945fd"/>
    <w:pPr>
      <w:keepNext w:val="true"/>
      <w:keepLines/>
    </w:pPr>
    <w:rPr>
      <w:sz w:val="24"/>
      <w:szCs w:val="24"/>
    </w:rPr>
  </w:style>
  <w:style w:type="paragraph" w:styleId="Date">
    <w:name w:val="Date"/>
    <w:basedOn w:val="Title"/>
    <w:next w:val="BodyText"/>
    <w:uiPriority w:val="1"/>
    <w:qFormat/>
    <w:rsid w:val="02a945fd"/>
    <w:pPr>
      <w:keepNext w:val="true"/>
      <w:keepLines/>
    </w:pPr>
    <w:rPr>
      <w:sz w:val="24"/>
      <w:szCs w:val="24"/>
    </w:rPr>
  </w:style>
  <w:style w:type="paragraph" w:styleId="AbstractTitle" w:customStyle="1">
    <w:name w:val="Abstract Title"/>
    <w:basedOn w:val="Normal"/>
    <w:next w:val="Abstract"/>
    <w:uiPriority w:val="1"/>
    <w:qFormat/>
    <w:rsid w:val="02a945fd"/>
    <w:pPr>
      <w:keepNext w:val="true"/>
      <w:keepLines/>
      <w:spacing w:before="300" w:after="0"/>
      <w:ind w:hanging="0"/>
      <w:jc w:val="left"/>
    </w:pPr>
    <w:rPr>
      <w:b/>
      <w:bCs/>
    </w:rPr>
  </w:style>
  <w:style w:type="paragraph" w:styleId="Abstract" w:customStyle="1">
    <w:name w:val="Abstract"/>
    <w:basedOn w:val="Normal"/>
    <w:next w:val="BodyText"/>
    <w:uiPriority w:val="1"/>
    <w:qFormat/>
    <w:rsid w:val="02a945fd"/>
    <w:pPr>
      <w:keepNext w:val="true"/>
      <w:keepLines/>
      <w:spacing w:before="100" w:after="300"/>
      <w:jc w:val="both"/>
    </w:pPr>
    <w:rPr/>
  </w:style>
  <w:style w:type="paragraph" w:styleId="Bibliography">
    <w:name w:val="Bibliography"/>
    <w:basedOn w:val="Normal"/>
    <w:uiPriority w:val="1"/>
    <w:qFormat/>
    <w:rsid w:val="02a945fd"/>
    <w:pPr>
      <w:tabs>
        <w:tab w:val="clear" w:pos="11340"/>
      </w:tabs>
      <w:spacing w:lineRule="auto" w:line="240"/>
      <w:ind w:hanging="720" w:left="720" w:right="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2a945fd"/>
    <w:pPr>
      <w:spacing w:lineRule="auto" w:line="240" w:before="0" w:after="0"/>
      <w:ind w:hanging="0"/>
    </w:pPr>
    <w:rPr>
      <w:sz w:val="20"/>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uiPriority w:val="1"/>
    <w:qFormat/>
    <w:rsid w:val="02a945fd"/>
    <w:pPr>
      <w:keepNext w:val="true"/>
      <w:keepLines/>
      <w:spacing w:before="0" w:after="0"/>
    </w:pPr>
    <w:rPr>
      <w:b/>
      <w:bCs/>
    </w:rPr>
  </w:style>
  <w:style w:type="paragraph" w:styleId="Definition" w:customStyle="1">
    <w:name w:val="Definition"/>
    <w:basedOn w:val="Normal"/>
    <w:uiPriority w:val="1"/>
    <w:qFormat/>
    <w:rsid w:val="02a945fd"/>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ind w:hanging="0"/>
    </w:pPr>
    <w:rPr/>
  </w:style>
  <w:style w:type="paragraph" w:styleId="Figure" w:customStyle="1">
    <w:name w:val="Figure"/>
    <w:basedOn w:val="Normal"/>
    <w:uiPriority w:val="1"/>
    <w:qFormat/>
    <w:rsid w:val="02a945fd"/>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2a945fd"/>
    <w:pPr>
      <w:spacing w:lineRule="auto" w:line="259" w:before="240" w:after="80"/>
    </w:pPr>
    <w:rPr>
      <w:rFonts w:ascii="Aptos Display" w:hAnsi="Aptos Display" w:eastAsia="" w:cs="" w:asciiTheme="majorAscii" w:cstheme="majorBidi" w:eastAsiaTheme="majorEastAsia" w:hAnsiTheme="majorAscii"/>
      <w:b w:val="false"/>
      <w:bCs w:val="false"/>
      <w:color w:themeColor="accent1" w:themeShade="bf" w:val="0F4761"/>
    </w:rPr>
  </w:style>
  <w:style w:type="paragraph" w:styleId="SourceCode" w:customStyle="1">
    <w:name w:val="Source Code"/>
    <w:basedOn w:val="Normal"/>
    <w:link w:val="VerbatimChar"/>
    <w:uiPriority w:val="1"/>
    <w:qFormat/>
    <w:rsid w:val="02a945fd"/>
    <w:pPr>
      <w:shd w:val="clear" w:color="auto" w:fill="F1F3F5"/>
    </w:pPr>
    <w:rPr/>
  </w:style>
  <w:style w:type="paragraph" w:styleId="HangingIndentuser">
    <w:name w:val="Hanging Indent (user)"/>
    <w:basedOn w:val="BodyText"/>
    <w:qFormat/>
    <w:pPr>
      <w:tabs>
        <w:tab w:val="clear" w:pos="11340"/>
        <w:tab w:val="left" w:pos="0" w:leader="none"/>
      </w:tabs>
      <w:ind w:hanging="283" w:left="567"/>
    </w:pPr>
    <w:rPr/>
  </w:style>
  <w:style w:type="paragraph" w:styleId="CommentText">
    <w:name w:val="annotation text"/>
    <w:basedOn w:val="BodyText"/>
    <w:pPr>
      <w:ind w:hanging="0" w:left="2268"/>
    </w:pPr>
    <w:rPr/>
  </w:style>
  <w:style w:type="paragraph" w:styleId="PreformattedText">
    <w:name w:val="Preformatted Text"/>
    <w:basedOn w:val="Normal"/>
    <w:qFormat/>
    <w:pPr>
      <w:spacing w:before="0" w:after="0"/>
    </w:pPr>
    <w:rPr>
      <w:rFonts w:ascii="Times New Roman" w:hAnsi="Times New Roman" w:eastAsia="Liberation Mono" w:cs="Liberation Mono"/>
      <w:sz w:val="20"/>
      <w:szCs w:val="20"/>
    </w:rPr>
  </w:style>
  <w:style w:type="paragraph" w:styleId="BlockQuotationuser">
    <w:name w:val="Block Quotation (user)"/>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11340"/>
        <w:tab w:val="center" w:pos="4680" w:leader="none"/>
        <w:tab w:val="right" w:pos="9360" w:leader="none"/>
      </w:tabs>
    </w:pPr>
    <w:rPr/>
  </w:style>
  <w:style w:type="paragraph" w:styleId="Footer">
    <w:name w:val="footer"/>
    <w:basedOn w:val="HeaderandFooter"/>
    <w:pPr>
      <w:suppressLineNumbers/>
    </w:pPr>
    <w:rPr/>
  </w:style>
  <w:style w:type="paragraph" w:styleId="TableNote" w:customStyle="1">
    <w:name w:val="Table Note"/>
    <w:basedOn w:val="BodyText"/>
    <w:qFormat/>
    <w:pPr>
      <w:ind w:hanging="0"/>
      <w:jc w:val="left"/>
    </w:pPr>
    <w:rPr>
      <w:sz w:val="20"/>
    </w:rPr>
  </w:style>
  <w:style w:type="paragraph" w:styleId="CompactList" w:customStyle="1">
    <w:name w:val="Compact List"/>
    <w:basedOn w:val="BodyText"/>
    <w:qFormat/>
    <w:pPr>
      <w:spacing w:lineRule="auto" w:line="240" w:before="36" w:after="36"/>
      <w:ind w:hanging="360" w:left="720"/>
      <w:jc w:val="left"/>
    </w:pPr>
    <w:rPr>
      <w:rFonts w:ascii="Times New Roman" w:hAnsi="Times New Roman" w:eastAsia="Times New Roman" w:cs="Times New Roman"/>
      <w:sz w:val="24"/>
      <w:szCs w:val="24"/>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table" w:styleId="APATable">
    <w:name w:val="APA Table"/>
    <w:basedOn w:val="TableNormal"/>
    <w:uiPriority w:val="99"/>
    <w:rPr>
      <w:sz w:val="24"/>
    </w:rPr>
    <w:tblPr>
      <w:tblBorders>
        <w:top w:val="single" w:color="000000" w:sz="4" w:space="0"/>
        <w:bottom w:val="single" w:color="000000" w:sz="4" w:space="0"/>
      </w:tblBorders>
      <w:tblCellMar>
        <w:top w:w="100" w:type="dxa"/>
        <w:left w:w="100" w:type="dxa"/>
        <w:bottom w:w="100" w:type="dxa"/>
        <w:right w:w="100" w:type="dxa"/>
      </w:tblCellMar>
    </w:tblPr>
    <w:tcPr>
      <w:vAlign w:val="center"/>
    </w:tcPr>
    <w:tblStylePr w:type="firstRow">
      <w:rPr>
        <w:b w:val="0"/>
      </w:rPr>
      <w:tblPr/>
      <w:tcPr>
        <w:tcBorders>
          <w:top w:val="single" w:color="000000" w:sz="4" w:space="0"/>
          <w:bottom w:val="single" w:color="000000" w:sz="4" w:space="0"/>
        </w:tcBorders>
      </w:tcPr>
    </w:tblStylePr>
    <w:tblStylePr w:type="lastRow">
      <w:tblPr/>
      <w:tcPr>
        <w:tcBorders>
          <w:bottom w:val="single" w:color="000000" w:sz="4" w:space="0"/>
        </w:tcBorders>
      </w:tcPr>
    </w:tblStylePr>
    <w:tblStylePr w:type="firstCol">
      <w:pPr>
        <w:jc w:val="left"/>
      </w:pPr>
      <w:tbl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boutamazon.com/news/retail/amazon-shopping-app-buy-for-me-brands" TargetMode="External"/><Relationship Id="rId3" Type="http://schemas.openxmlformats.org/officeDocument/2006/relationships/hyperlink" Target="https://doi.org/10.18637/jss.v080.i01" TargetMode="External"/><Relationship Id="rId4" Type="http://schemas.openxmlformats.org/officeDocument/2006/relationships/hyperlink" Target="https://fortune.com/2026/04/22/section-technology-visa-cmo-frank-cooper-b2ai-business-to-ai-agents-commerce-strategy/" TargetMode="External"/><Relationship Id="rId5" Type="http://schemas.openxmlformats.org/officeDocument/2006/relationships/hyperlink" Target="https://deepmind.google/models/project-mariner/" TargetMode="External"/><Relationship Id="rId6" Type="http://schemas.openxmlformats.org/officeDocument/2006/relationships/hyperlink" Target="https://fortune.com/2026/06/12/ai-shopping-agents-are-coming-no-one-is-ready-for-them/" TargetMode="External"/><Relationship Id="rId7" Type="http://schemas.openxmlformats.org/officeDocument/2006/relationships/hyperlink" Target="https://api.semanticscholar.org/CorpusID:15131441" TargetMode="External"/><Relationship Id="rId8" Type="http://schemas.openxmlformats.org/officeDocument/2006/relationships/hyperlink" Target="https://api.semanticscholar.org/CorpusID:283443221" TargetMode="External"/><Relationship Id="rId9" Type="http://schemas.openxmlformats.org/officeDocument/2006/relationships/hyperlink" Target="https://about.fb.com/news/2026/09/introducing-muse-personal-ai-agent/" TargetMode="External"/><Relationship Id="rId10" Type="http://schemas.openxmlformats.org/officeDocument/2006/relationships/hyperlink" Target="https://www.morganstanley.com/insights/articles/agentic-commerce-market-impact-outlook" TargetMode="External"/><Relationship Id="rId11" Type="http://schemas.openxmlformats.org/officeDocument/2006/relationships/hyperlink" Target="https://business.adobe.com/blog/generative-ai-powered-shopping-rises-with-traffic-to-retail-sites" TargetMode="External"/><Relationship Id="rId12" Type="http://schemas.openxmlformats.org/officeDocument/2006/relationships/hyperlink" Target="https://fortune.com/2026/09/11/meta-muse-ai-shopping-agent-consumer-trust/" TargetMode="External"/><Relationship Id="rId13" Type="http://schemas.openxmlformats.org/officeDocument/2006/relationships/hyperlink" Target="https://blog.google/products/ads-commerce/agentic-commerce-ai-tools-protocol-retailers-platforms/" TargetMode="External"/><Relationship Id="rId14" Type="http://schemas.openxmlformats.org/officeDocument/2006/relationships/hyperlink" Target="https://doi.org/10.1257/jep.14.1.133" TargetMode="External"/><Relationship Id="rId15" Type="http://schemas.openxmlformats.org/officeDocument/2006/relationships/hyperlink" Target="https://www.forbes.com/sites/joanverdon/2026/01/11/this-is-the-year-ai-agents-will-reinvent-how-retailers-do-business/"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otnotes" Target="footnotes.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 Id="rId25" Type="http://schemas.openxmlformats.org/officeDocument/2006/relationships/footer" Target="footer-pagenum.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TotalTime>
  <Application>LibreOffice/26.8.1.1$Linux_X86_64 LibreOffice_project/0fee9b7af4ed8823fb6ed0b53e2a3e73b2087f4b</Application>
  <AppVersion>15.0000</AppVersion>
  <Pages>54</Pages>
  <Words>13154</Words>
  <Characters>77606</Characters>
  <CharactersWithSpaces>90315</CharactersWithSpaces>
  <Paragraphs>455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2026-10-14T16:12:28Z</dcterms:created>
  <dc:creator/>
  <dc:description/>
  <dc:language>en-CA</dc:language>
  <cp:lastModifiedBy/>
  <dcterms:modified xsi:type="dcterms:W3CDTF">2026-10-14T14:10:30Z</dcterms:modified>
  <cp:revision>9</cp:revision>
  <dc:subject/>
  <dc:title>Shopping by algorithm: How agentic AI deploys human heuristics as a surrogate consumer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csl">
    <vt:lpwstr>quarto-files/journal-of-the-academy-of-marketing-science.csl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