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Does Rank Still Matter? Position Bias When AI Agents Shop on Our Behalf</w:t>
      </w:r>
    </w:p>
    <w:p>
      <w:pPr>
        <w:pStyle w:val="FirstParagraph"/>
        <w:rPr/>
      </w:pPr>
      <w:r>
        <w:rPr>
          <w:b/>
          <w:bCs/>
        </w:rPr>
        <w:t>Abstract</w:t>
      </w:r>
    </w:p>
    <w:p>
      <w:pPr>
        <w:pStyle w:val="BodyText"/>
        <w:rPr/>
      </w:pPr>
      <w:r>
        <w:rPr/>
        <w:t>When shopping is delegated to AI agents, it is unclear whether the ranking advantage documented for humans persists. Across 7,000 sessions with five large language models (LLMs) and varying reasoning effort, we compare AI agents with human field data. AI agents search more extensively than human consumers. As with humans, lower-ranked listings are less likely to be inspected, although the effect is smaller for AI agents. Unlike humans, AI agents show a pattern consistent with the lost-in-the-middle effect, whereby middle listings have the lowest probability of inspection. At the choice stage, position effects are concentrated at lower reasoning effort, but higher effort reduces the middle penalty for every LLM that exhibits it. These findings suggest that, when search is delegated, displayed attributes may matter more than placement, and that exposure to position bias depends on how the AI agent is configured.</w:t>
      </w:r>
    </w:p>
    <w:p>
      <w:pPr>
        <w:pStyle w:val="BodyText"/>
        <w:rPr/>
      </w:pPr>
      <w:r>
        <w:rPr>
          <w:b/>
          <w:bCs/>
        </w:rPr>
        <w:t>Keywords:</w:t>
      </w:r>
      <w:r>
        <w:rPr/>
        <w:t xml:space="preserve"> search rankings, AI agents, large language models, search advertising, consideration sets, delegated consumption</w:t>
      </w:r>
    </w:p>
    <w:p>
      <w:pPr>
        <w:pStyle w:val="Heading1"/>
        <w:ind w:hanging="0"/>
        <w:rPr/>
      </w:pPr>
      <w:bookmarkStart w:id="0" w:name="introduction"/>
      <w:r>
        <w:rPr/>
        <w:t>Introduction</w:t>
      </w:r>
    </w:p>
    <w:p>
      <w:pPr>
        <w:pStyle w:val="FirstParagraph"/>
        <w:rPr/>
      </w:pPr>
      <w:r>
        <w:rPr/>
        <w:t>Search rankings are a strategic marketing variable. Search engine optimization budgets and the premium paid for top slots rely on the well-documented finding that people examine and purchase higher-placed alternatives more often (Joachims et al. 2007; Narayanan and Kalyanam 2015; Donnelly et al. 2024). The canonical explanation is that ranking determines which alternatives enter the consideration set while leaving the consumer’s valuation of an inspected alternative unchanged (Hauser 2014; Ursu 2018; Akchen and Mitrofanov 2026). This is because scanning a listing page is sequential, scrolling takes effort (Joachims et al. 2007; Greminger 2026), multi-attribute comparison is cognitively demanding (Punj and Moore 2009), and attention is depleted over the course of a search episode (Ursu et al. 2023). As a result, human consumers tend to terminate their search after examining very few alternatives. For example, in hotel search, the average impression yields only 1.12 clicks (Ursu 2018). Rankings are thus valuable precisely because human attention is scarce, sequential, and easily exhausted.</w:t>
      </w:r>
    </w:p>
    <w:p>
      <w:pPr>
        <w:pStyle w:val="BodyText"/>
        <w:rPr/>
      </w:pPr>
      <w:r>
        <w:rPr/>
        <w:t>Consumers are now delegating parts of this search to AI agents (Balaskas 2026; Wadi and Ma 2026a). Industry analytics show that 38% of U.S. consumers have used generative AI for online shopping, most often for product research and recommendations, and that referral traffic from generative AI platforms to U.S. retail sites grew by an order of magnitude between mid-2024 and mid-2025 (Pandya 2025). Rather than sifting a results page themselves, consumers increasingly rely on conversational agents that retrieve, compare, and transact on their behalf (Mogaji and Jain 2024; Hasselwander et al. 2026; Kumar et al. 2026; Lee et al. 2026).</w:t>
      </w:r>
    </w:p>
    <w:p>
      <w:pPr>
        <w:pStyle w:val="BodyText"/>
        <w:rPr/>
      </w:pPr>
      <w:r>
        <w:rPr/>
        <w:t>Unlike a human consumer, an AI agent receives the entire results page at once within its context window (Hengle et al. 2026), so inspecting a listing at the bottom of the page requires no scrolling. If the value of rank stems from limited human attention, delegation to AI agents should, in principle, eliminate it. However, the large language models (LLMs) that power the AI agents display heuristics and biases of their own (Macmillan-Scott and Musolesi 2024; Brady et al. 2025; Allouah et al. 2026; Wadi et al. 2026b; Wadi and Ma 2026a), including a tendency to retrieve information placed in the middle of a long context less reliably than information at either end (Liu et al. 2024; Su et al. 2024). Rank may therefore continue to shape delegated search through a mechanism that is unrelated to scrolling.</w:t>
      </w:r>
    </w:p>
    <w:p>
      <w:pPr>
        <w:pStyle w:val="BodyText"/>
        <w:rPr/>
      </w:pPr>
      <w:r>
        <w:rPr/>
        <w:t>Moreover, because human consumers typically click on a single alternative (Honka et al. 2024), an effect of rank on clicking is effectively an effect on choice. When an AI agent inspects several alternatives, however, this correspondence may no longer hold, and it remains unclear whether a positional advantage at the inspection stage carries over to the final choice. Finally, unlike human attention, the deliberation of an LLM is configurable. Users can set the reasoning effort that the model expends before acting (Alomrani et al. 2025; Xu et al. 2025), which raises the question of whether position effects can be mitigated through configuration of the LLM.</w:t>
      </w:r>
    </w:p>
    <w:p>
      <w:pPr>
        <w:pStyle w:val="BodyText"/>
        <w:rPr/>
      </w:pPr>
      <w:r>
        <w:rPr/>
        <w:t>We therefore address three research questions:</w:t>
      </w:r>
    </w:p>
    <w:p>
      <w:pPr>
        <w:pStyle w:val="Compact"/>
        <w:numPr>
          <w:ilvl w:val="0"/>
          <w:numId w:val="2"/>
        </w:numPr>
        <w:rPr/>
      </w:pPr>
      <w:r>
        <w:rPr>
          <w:b/>
          <w:bCs/>
        </w:rPr>
        <w:t>RQ1.</w:t>
      </w:r>
      <w:r>
        <w:rPr/>
        <w:t xml:space="preserve"> Does presentation order shape what an AI agent inspects, as it does for human consumers?</w:t>
      </w:r>
    </w:p>
    <w:p>
      <w:pPr>
        <w:pStyle w:val="Compact"/>
        <w:numPr>
          <w:ilvl w:val="0"/>
          <w:numId w:val="2"/>
        </w:numPr>
        <w:rPr/>
      </w:pPr>
      <w:r>
        <w:rPr>
          <w:b/>
          <w:bCs/>
        </w:rPr>
        <w:t>RQ2.</w:t>
      </w:r>
      <w:r>
        <w:rPr/>
        <w:t xml:space="preserve"> Does position affect the final choice?</w:t>
      </w:r>
    </w:p>
    <w:p>
      <w:pPr>
        <w:pStyle w:val="Compact"/>
        <w:numPr>
          <w:ilvl w:val="0"/>
          <w:numId w:val="2"/>
        </w:numPr>
        <w:rPr/>
      </w:pPr>
      <w:r>
        <w:rPr>
          <w:b/>
          <w:bCs/>
        </w:rPr>
        <w:t>RQ3.</w:t>
      </w:r>
      <w:r>
        <w:rPr/>
        <w:t xml:space="preserve"> Does increasing the reasoning effort change the position effect on choice?</w:t>
      </w:r>
    </w:p>
    <w:p>
      <w:pPr>
        <w:pStyle w:val="FirstParagraph"/>
        <w:rPr/>
      </w:pPr>
      <w:r>
        <w:rPr/>
        <w:t>To examine these questions, we place LLM agents in a simulated hotel search environment designed to be comparable to human field data (Ursu 2018). In each session, an AI agent receives a results page of 100 hotel listings presented in a randomized order, inspects hotels through a tool call analogous to a click, and submits a booking through a separate tool call. The main experiment comprises 7,000 sessions across five proprietary LLMs from Google, Anthropic, and OpenAI, each tested at two to four levels of reasoning effort. Additional experiments examine whether the findings are robust to the wording of the prompt, the framing of the booking tool, and the display of hotel names (1,500 sessions). We extend the analysis to four open-weight LLMs (2,000 sessions).</w:t>
      </w:r>
    </w:p>
    <w:p>
      <w:pPr>
        <w:pStyle w:val="BodyText"/>
        <w:rPr/>
      </w:pPr>
      <w:r>
        <w:rPr/>
        <w:t>The findings show that AI agents search more extensively than human consumers, inspecting between 1.63 and 5.83 listings per session at their default reasoning effort (compared with 1.12 for human consumers). Furthermore, whereas human consumers decline to book in a third of sessions, the AI agents booked a hotel in most sessions. This pattern persisted when the instruction to recommend a hotel was removed and the booking tool explicitly allowed the AI agent to end the session without booking.</w:t>
      </w:r>
    </w:p>
    <w:p>
      <w:pPr>
        <w:pStyle w:val="BodyText"/>
        <w:rPr/>
      </w:pPr>
      <w:r>
        <w:rPr/>
        <w:t>Position continues to shape which listings are inspected, although this position penalty is less than half of that observed for human consumers. However, rather than declining monotonically, the probability of inspection reaches its minimum between ranks 62 and 81 and rises toward the bottom of the page—a pattern consistent with the lost-in-the-middle effect documented for LLMs (Liu et al. 2024). At the choice stage, the influence of position varies across LLMs but is concentrated at lower levels of reasoning effort. For the LLMs that display the middle penalty, increasing the reasoning effort significantly reduces the middle penalty on choice.</w:t>
      </w:r>
    </w:p>
    <w:p>
      <w:pPr>
        <w:pStyle w:val="BodyText"/>
        <w:rPr/>
      </w:pPr>
      <w:r>
        <w:rPr/>
        <w:t xml:space="preserve">These findings contribute to research on consumption search in three ways. First, they distinguish the value of rank from its conventional explanation. Position effects among human consumers are attributed to the costs of scrolling, which </w:t>
      </w:r>
      <w:r>
        <w:rPr/>
        <w:t>are</w:t>
      </w:r>
      <w:r>
        <w:rPr/>
        <w:t xml:space="preserve"> absent for an AI agent that receives the entire listing page at once, yet position continues to shape inspection. Unlike humans, the positional disadvantage is strongest in the middle of the page, which is consistent with the retrieval limitations of LLMs. Second, they show that the close correspondence between consideration and choice observed in human search does not extend to AI-delegated search. Because AI agents inspect several alternatives, position can shape the composition of their consideration sets without determining their final choice. Third, they identify reasoning effort as a strong moderator of position effects. Because reasoning effort is configurable, the extent to which delegated choices depend on position is determined not just by which LLM is deployed but also by how it is configured.</w:t>
      </w:r>
    </w:p>
    <w:p>
      <w:pPr>
        <w:pStyle w:val="BodyText"/>
        <w:rPr/>
      </w:pPr>
      <w:r>
        <w:rPr/>
        <w:t>The findings also carry implications for sellers and for the platforms and consumers who delegate search. For sellers, the middle rather than the bottom of the results page is the least advantageous placement when search is delegated to AI agents. The advantage of the top rank depends on the LLM and its configuration, which suggests that search engine optimization strategies developed for human consumers require recalibration. For platforms and consumers, the results qualify the common practice of deploying a more capable LLM to reduce bias, because position-neutral choice depends on reasoning effort rather than LLM capability. As a result, position-neutral choices can be obtained at approximately 4% of the cost of the most capable LLM tested.</w:t>
      </w:r>
      <w:bookmarkEnd w:id="0"/>
    </w:p>
    <w:p>
      <w:pPr>
        <w:pStyle w:val="Heading1"/>
        <w:ind w:hanging="0"/>
        <w:rPr/>
      </w:pPr>
      <w:bookmarkStart w:id="1" w:name="experiment"/>
      <w:r>
        <w:rPr/>
        <w:t>Experiment</w:t>
      </w:r>
    </w:p>
    <w:p>
      <w:pPr>
        <w:pStyle w:val="Heading2"/>
        <w:ind w:hanging="0"/>
        <w:rPr/>
      </w:pPr>
      <w:bookmarkStart w:id="2" w:name="design"/>
      <w:r>
        <w:rPr/>
        <w:t>Design</w:t>
      </w:r>
    </w:p>
    <w:p>
      <w:pPr>
        <w:pStyle w:val="FirstParagraph"/>
        <w:rPr/>
      </w:pPr>
      <w:r>
        <w:rPr/>
        <w:t xml:space="preserve">To simulate the sequential search process, the hotel information was partitioned into two layers. The initial prompt displayed the hotel listing page (e.g., </w:t>
      </w:r>
      <w:r>
        <w:rPr>
          <w:i/>
          <w:iCs/>
        </w:rPr>
        <w:t>hotel name</w:t>
      </w:r>
      <w:r>
        <w:rPr/>
        <w:t xml:space="preserve">, </w:t>
      </w:r>
      <w:r>
        <w:rPr>
          <w:i/>
          <w:iCs/>
        </w:rPr>
        <w:t>review score</w:t>
      </w:r>
      <w:r>
        <w:rPr/>
        <w:t xml:space="preserve">, </w:t>
      </w:r>
      <w:r>
        <w:rPr>
          <w:i/>
          <w:iCs/>
        </w:rPr>
        <w:t>price nightly</w:t>
      </w:r>
      <w:r>
        <w:rPr/>
        <w:t xml:space="preserve">, and </w:t>
      </w:r>
      <w:r>
        <w:rPr>
          <w:i/>
          <w:iCs/>
        </w:rPr>
        <w:t>price total</w:t>
      </w:r>
      <w:r>
        <w:rPr/>
        <w:t xml:space="preserve"> for each hotel). The AI agent interacted with the environment through tool calls. A tool is a named function whose purpose and arguments are described to the LLM. Instead of replying in text, the LLM can request that the function be executed, whereupon the environment executes the request and returns the result to the LLM, which continues its reasoning with this information. To obtain more information about a hotel, the LLM was required to utilize the </w:t>
      </w:r>
      <w:r>
        <w:rPr>
          <w:i/>
          <w:iCs/>
        </w:rPr>
        <w:t>inspect</w:t>
      </w:r>
      <w:r>
        <w:rPr/>
        <w:t xml:space="preserve"> tool that resembled human clicks. Upon calling the </w:t>
      </w:r>
      <w:r>
        <w:rPr>
          <w:i/>
          <w:iCs/>
        </w:rPr>
        <w:t>inspect</w:t>
      </w:r>
      <w:r>
        <w:rPr/>
        <w:t xml:space="preserve"> tool with a specific hotel’s ID, the environment returned detailed information about that hotel. This included the hotel’s star rating, specific amenities, granular sub-ratings for cleanliness and service, and detailed room availability and room price. To book a hotel, the LLM called a separate tool (</w:t>
      </w:r>
      <w:r>
        <w:rPr>
          <w:i/>
          <w:iCs/>
        </w:rPr>
        <w:t>submit_choice</w:t>
      </w:r>
      <w:r>
        <w:rPr/>
        <w:t>) with the ID of the chosen hotel, which recorded the booking and ended the session. To eliminate the endogeneity bias inherent in search engine ranking algorithms, where higher-quality options are systematically placed at the top, the presentation order of the 100 hotels was fully randomized for each session.</w:t>
      </w:r>
    </w:p>
    <w:p>
      <w:pPr>
        <w:pStyle w:val="BodyText"/>
        <w:rPr/>
      </w:pPr>
      <w:r>
        <w:rPr/>
        <w:t xml:space="preserve">We prompted the AI agent with a persona of a hotel booking assistant delegated by a traveler to evaluate options and book a room based on the trip parameters (see </w:t>
      </w:r>
      <w:hyperlink w:anchor="tbl-prompt-comparison">
        <w:r>
          <w:rPr>
            <w:rStyle w:val="Hyperlink"/>
          </w:rPr>
          <w:t>Table 1</w:t>
        </w:r>
      </w:hyperlink>
      <w:r>
        <w:rPr/>
        <w:t>, “Main”). Trip parameters were chosen to match the modal search in the human benchmark (Ursu 2018): an itinerary for two adults, no children, one room, and a two-night stay including a Saturday night (check-in 2026-05-30, check-out 2026-06-01).</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keepNext w:val="true"/>
              <w:spacing w:before="240" w:after="120"/>
              <w:ind w:hanging="0" w:left="0"/>
              <w:jc w:val="left"/>
              <w:rPr/>
            </w:pPr>
            <w:r>
              <w:rPr>
                <w:b/>
                <w:bCs/>
                <w:i w:val="false"/>
                <w:iCs w:val="false"/>
              </w:rPr>
              <w:t>Table 1</w:t>
            </w:r>
            <w:r>
              <w:rPr>
                <w:i w:val="false"/>
                <w:iCs w:val="false"/>
              </w:rPr>
              <w:t xml:space="preserve"> Comparison of prompt instructions</w:t>
            </w:r>
          </w:p>
          <w:tbl>
            <w:tblPr>
              <w:tblStyle w:val="APA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142"/>
              <w:gridCol w:w="8002"/>
            </w:tblGrid>
            <w:tr>
              <w:trPr>
                <w:tblHeader w:val="true"/>
              </w:trPr>
              <w:tc>
                <w:tcPr>
                  <w:tcW w:w="1142" w:type="dxa"/>
                  <w:tcBorders>
                    <w:top w:val="single" w:sz="12" w:space="0" w:color="000000"/>
                    <w:bottom w:val="single" w:sz="12" w:space="0" w:color="000000"/>
                  </w:tcBorders>
                </w:tcPr>
                <w:p>
                  <w:pPr>
                    <w:pStyle w:val="Compact"/>
                    <w:spacing w:before="36" w:after="36"/>
                    <w:jc w:val="left"/>
                    <w:rPr/>
                  </w:pPr>
                  <w:r>
                    <w:rPr/>
                    <w:t>Condition</w:t>
                  </w:r>
                </w:p>
              </w:tc>
              <w:tc>
                <w:tcPr>
                  <w:tcW w:w="8002" w:type="dxa"/>
                  <w:tcBorders>
                    <w:top w:val="single" w:sz="12" w:space="0" w:color="000000"/>
                    <w:bottom w:val="single" w:sz="12" w:space="0" w:color="000000"/>
                  </w:tcBorders>
                </w:tcPr>
                <w:p>
                  <w:pPr>
                    <w:pStyle w:val="Compact"/>
                    <w:spacing w:before="36" w:after="36"/>
                    <w:jc w:val="center"/>
                    <w:rPr/>
                  </w:pPr>
                  <w:r>
                    <w:rPr/>
                    <w:t>System instructions</w:t>
                  </w:r>
                </w:p>
              </w:tc>
            </w:tr>
            <w:tr>
              <w:trPr/>
              <w:tc>
                <w:tcPr>
                  <w:tcW w:w="1142" w:type="dxa"/>
                  <w:tcBorders>
                    <w:top w:val="nil"/>
                    <w:bottom w:val="nil"/>
                  </w:tcBorders>
                </w:tcPr>
                <w:p>
                  <w:pPr>
                    <w:pStyle w:val="Compact"/>
                    <w:spacing w:before="36" w:after="36"/>
                    <w:jc w:val="left"/>
                    <w:rPr/>
                  </w:pPr>
                  <w:r>
                    <w:rPr/>
                    <w:t>Main</w:t>
                  </w:r>
                </w:p>
              </w:tc>
              <w:tc>
                <w:tcPr>
                  <w:tcW w:w="8002" w:type="dxa"/>
                  <w:tcBorders>
                    <w:top w:val="nil"/>
                    <w:bottom w:val="nil"/>
                  </w:tcBorders>
                </w:tcPr>
                <w:p>
                  <w:pPr>
                    <w:pStyle w:val="Compact"/>
                    <w:spacing w:before="36" w:after="36"/>
                    <w:jc w:val="center"/>
                    <w:rPr/>
                  </w:pPr>
                  <w:r>
                    <w:rPr>
                      <w:i/>
                      <w:iCs/>
                    </w:rPr>
                    <w:t>You have been delegated by a traveler to book a hotel in Manhattan, New York. Trip: 2 adults, 1 room, check-in 2026-05-30, check-out 2026-06-01 (Saturday night stay). A list of hotels from Expedia is shown below. You can see each hotel’s description from the search results page. To view the full details of a hotel (amenities, location, sub-ratings, policies), call the inspect tool with the hotel’s option ID. Once you have enough information, call submit_choice with your final decision. Which hotel would you book for the traveler?</w:t>
                  </w:r>
                </w:p>
              </w:tc>
            </w:tr>
            <w:tr>
              <w:trPr/>
              <w:tc>
                <w:tcPr>
                  <w:tcW w:w="1142" w:type="dxa"/>
                  <w:tcBorders>
                    <w:top w:val="nil"/>
                    <w:bottom w:val="nil"/>
                  </w:tcBorders>
                </w:tcPr>
                <w:p>
                  <w:pPr>
                    <w:pStyle w:val="Compact"/>
                    <w:spacing w:before="36" w:after="36"/>
                    <w:jc w:val="left"/>
                    <w:rPr/>
                  </w:pPr>
                  <w:r>
                    <w:rPr/>
                    <w:t>Alternative</w:t>
                  </w:r>
                </w:p>
              </w:tc>
              <w:tc>
                <w:tcPr>
                  <w:tcW w:w="8002" w:type="dxa"/>
                  <w:tcBorders>
                    <w:top w:val="nil"/>
                    <w:bottom w:val="nil"/>
                  </w:tcBorders>
                </w:tcPr>
                <w:p>
                  <w:pPr>
                    <w:pStyle w:val="Compact"/>
                    <w:spacing w:before="36" w:after="36"/>
                    <w:jc w:val="center"/>
                    <w:rPr/>
                  </w:pPr>
                  <w:r>
                    <w:rPr>
                      <w:i/>
                      <w:iCs/>
                    </w:rPr>
                    <w:t>You have been delegated by a traveler to book a hotel in Manhattan, New York. Trip: 2 adults, 1 room, check-in 2026-05-30, check-out 2026-06-01 (Saturday night stay). A list of hotels from Expedia is shown below. You can call the inspect tool with the hotel’s option ID to view the full details of a hotel (amenities, location, sub-ratings, policies), or you can call submit_choice with your final decision.</w:t>
                  </w:r>
                </w:p>
              </w:tc>
            </w:tr>
            <w:tr>
              <w:trPr/>
              <w:tc>
                <w:tcPr>
                  <w:tcW w:w="1142" w:type="dxa"/>
                  <w:tcBorders>
                    <w:top w:val="nil"/>
                    <w:bottom w:val="single" w:sz="12" w:space="0" w:color="000000"/>
                  </w:tcBorders>
                </w:tcPr>
                <w:p>
                  <w:pPr>
                    <w:pStyle w:val="Compact"/>
                    <w:spacing w:before="36" w:after="36"/>
                    <w:jc w:val="left"/>
                    <w:rPr/>
                  </w:pPr>
                  <w:r>
                    <w:rPr/>
                    <w:t>Finish</w:t>
                  </w:r>
                </w:p>
              </w:tc>
              <w:tc>
                <w:tcPr>
                  <w:tcW w:w="8002" w:type="dxa"/>
                  <w:tcBorders>
                    <w:top w:val="nil"/>
                    <w:bottom w:val="single" w:sz="12" w:space="0" w:color="000000"/>
                  </w:tcBorders>
                </w:tcPr>
                <w:p>
                  <w:pPr>
                    <w:pStyle w:val="Compact"/>
                    <w:spacing w:before="36" w:after="36"/>
                    <w:jc w:val="center"/>
                    <w:rPr/>
                  </w:pPr>
                  <w:r>
                    <w:rPr>
                      <w:i/>
                      <w:iCs/>
                    </w:rPr>
                    <w:t>You have been delegated by a traveler planning a stay in Manhattan, New York. Trip: 2 adults, 1 room, check-in 2026-05-30, check-out 2026-06-01 (Saturday night stay). A list of hotels from Expedia is shown below. You can call the inspect tool with the hotel’s option ID to view the full details of a hotel (amenities, location, sub-ratings, policies), or you can call finish with your final decision.</w:t>
                  </w:r>
                  <w:bookmarkStart w:id="3" w:name="tbl-prompt-comparison"/>
                  <w:bookmarkEnd w:id="3"/>
                </w:p>
              </w:tc>
            </w:tr>
          </w:tbl>
          <w:p>
            <w:pPr>
              <w:pStyle w:val="Normal"/>
              <w:spacing w:before="0" w:after="200"/>
              <w:jc w:val="left"/>
              <w:rPr>
                <w:sz w:val="24"/>
              </w:rPr>
            </w:pPr>
            <w:r>
              <w:rPr>
                <w:sz w:val="24"/>
              </w:rPr>
            </w:r>
          </w:p>
        </w:tc>
      </w:tr>
    </w:tbl>
    <w:p>
      <w:pPr>
        <w:pStyle w:val="TableNote"/>
        <w:rPr/>
      </w:pPr>
      <w:r>
        <w:rPr>
          <w:i/>
          <w:iCs/>
        </w:rPr>
        <w:t>Note.</w:t>
      </w:r>
      <w:r>
        <w:rPr/>
        <w:t xml:space="preserve"> The “Main” condition includes an instruction to stop once the agent has enough information and closes with an explicit recommendation question (i.e., asking which hotel to book for the traveler). The “Alternative” condition removes the stopping rule and the recommendation question. The “Finish” condition removes the booking instruction and replaces </w:t>
      </w:r>
      <w:r>
        <w:rPr>
          <w:i/>
          <w:iCs/>
        </w:rPr>
        <w:t>submit_choice</w:t>
      </w:r>
      <w:r>
        <w:rPr/>
        <w:t xml:space="preserve"> with a </w:t>
      </w:r>
      <w:r>
        <w:rPr>
          <w:i/>
          <w:iCs/>
        </w:rPr>
        <w:t>finish</w:t>
      </w:r>
      <w:r>
        <w:rPr/>
        <w:t xml:space="preserve"> tool whose hotel argument is optional, so the agent can end the session without booking.</w:t>
      </w:r>
      <w:bookmarkEnd w:id="2"/>
    </w:p>
    <w:p>
      <w:pPr>
        <w:pStyle w:val="Heading2"/>
        <w:ind w:hanging="0"/>
        <w:rPr/>
      </w:pPr>
      <w:bookmarkStart w:id="4" w:name="sample-and-procedure"/>
      <w:r>
        <w:rPr/>
        <w:t>Sample and procedure</w:t>
      </w:r>
    </w:p>
    <w:p>
      <w:pPr>
        <w:pStyle w:val="FirstParagraph"/>
        <w:rPr/>
      </w:pPr>
      <w:r>
        <w:rPr/>
        <w:t>Because LLM providers are phasing out user control over sampling parameters such as temperature and top-p (Anthropic 2026; Google 2026), the configurations that remain under the control of a consumer or platform are the choice of LLM and its reasoning effort. Therefore, sampling parameters were left at the providers’ defaults (Web Appendix D), and we manipulated the LLM and its reasoning effort. Our sample consisted of proprietary LLMs from Google (Gemini 3.1 Flash Lite, Gemini 3.7 Flash, and Gemini 3.1 Pro), Anthropic (Claude Sonnet 5), and OpenAI (GPT 6 Luna). Providers expose different reasoning effort levels, so these levels are comparable within, but not across, LLMs. We tested minimal (default), low, medium, and high for Flash Lite; low and medium (default) for Flash; low, medium, and high (default) for Pro; low and high (default) for Sonnet; and none, medium (default), and xHigh for Luna.</w:t>
      </w:r>
    </w:p>
    <w:p>
      <w:pPr>
        <w:pStyle w:val="BodyText"/>
        <w:rPr/>
      </w:pPr>
      <w:r>
        <w:rPr/>
        <w:t>Following Monte Carlo approaches that use repeated sampling to reliably assess LLM behavior (Wadi and Fredette 2025), we collected 500 independent sessions for each of the 14 experimental cells (</w:t>
      </w:r>
      <w:r>
        <w:rPr>
          <w:i/>
          <w:iCs/>
        </w:rPr>
        <w:t>LLM</w:t>
      </w:r>
      <w:r>
        <w:rPr/>
        <w:t xml:space="preserve"> × </w:t>
      </w:r>
      <w:r>
        <w:rPr>
          <w:i/>
          <w:iCs/>
        </w:rPr>
        <w:t>effort</w:t>
      </w:r>
      <w:r>
        <w:rPr/>
        <w:t xml:space="preserve">; 7,000 sessions total). In each session, the </w:t>
      </w:r>
      <w:r>
        <w:rPr>
          <w:i/>
          <w:iCs/>
        </w:rPr>
        <w:t>inspect</w:t>
      </w:r>
      <w:r>
        <w:rPr/>
        <w:t xml:space="preserve"> tool could be called any number of times, and a booking could be submitted at any point with the </w:t>
      </w:r>
      <w:r>
        <w:rPr>
          <w:i/>
          <w:iCs/>
        </w:rPr>
        <w:t>submit_choice</w:t>
      </w:r>
      <w:r>
        <w:rPr/>
        <w:t xml:space="preserve"> tool. Ending the session without a booking represented the outside option. The order of all tool calls was recorded.</w:t>
      </w:r>
      <w:bookmarkEnd w:id="4"/>
    </w:p>
    <w:p>
      <w:pPr>
        <w:pStyle w:val="Heading2"/>
        <w:ind w:hanging="0"/>
        <w:rPr/>
      </w:pPr>
      <w:bookmarkStart w:id="5" w:name="measures"/>
      <w:r>
        <w:rPr/>
        <w:t>Measures</w:t>
      </w:r>
    </w:p>
    <w:p>
      <w:pPr>
        <w:pStyle w:val="FirstParagraph"/>
        <w:rPr/>
      </w:pPr>
      <w:r>
        <w:rPr/>
        <w:t xml:space="preserve">For each session, every displayed hotel contributed one observation indicating whether it was inspected and whether it was ultimately chosen. </w:t>
      </w:r>
      <w:r>
        <w:rPr>
          <w:i/>
          <w:iCs/>
        </w:rPr>
        <w:t>Inspected</w:t>
      </w:r>
      <w:r>
        <w:rPr/>
        <w:t xml:space="preserve"> was coded 1 when the AI agent invoked the </w:t>
      </w:r>
      <w:r>
        <w:rPr>
          <w:i/>
          <w:iCs/>
        </w:rPr>
        <w:t>inspect</w:t>
      </w:r>
      <w:r>
        <w:rPr/>
        <w:t xml:space="preserve"> tool for a given hotel and 0 otherwise (an analogue of a click in the human benchmark). </w:t>
      </w:r>
      <w:r>
        <w:rPr>
          <w:i/>
          <w:iCs/>
        </w:rPr>
        <w:t>Chosen</w:t>
      </w:r>
      <w:r>
        <w:rPr/>
        <w:t xml:space="preserve"> was coded 1 when the hotel was chosen and 0 otherwise. Because the 100 hotel observations within a session were not independent, standard errors in all models were clustered at the session level.</w:t>
      </w:r>
    </w:p>
    <w:p>
      <w:pPr>
        <w:pStyle w:val="BodyText"/>
        <w:rPr/>
      </w:pPr>
      <w:r>
        <w:rPr/>
        <w:t xml:space="preserve">The main independent variable was position, indexed from 1 to 100 based on the hotel’s randomized placement on the listing page shown to the AI agent. We also used the attributes that were directly observable on the listing page as control variables. </w:t>
      </w:r>
      <w:r>
        <w:rPr>
          <w:i/>
          <w:iCs/>
        </w:rPr>
        <w:t>Price</w:t>
      </w:r>
      <w:r>
        <w:rPr/>
        <w:t xml:space="preserve"> captured the nightly price for the hotel, while </w:t>
      </w:r>
      <w:r>
        <w:rPr>
          <w:i/>
          <w:iCs/>
        </w:rPr>
        <w:t>Review score</w:t>
      </w:r>
      <w:r>
        <w:rPr/>
        <w:t xml:space="preserve"> captured the aggregate guest rating shown on the search-results page. We added two additional listing-page controls to approximate the human study’s covariates. </w:t>
      </w:r>
      <w:r>
        <w:rPr>
          <w:i/>
          <w:iCs/>
        </w:rPr>
        <w:t>Chain</w:t>
      </w:r>
      <w:r>
        <w:rPr/>
        <w:t xml:space="preserve"> was coded as a binary indicator for the presence of a major hotel brand name in the listing title. </w:t>
      </w:r>
      <w:r>
        <w:rPr>
          <w:i/>
          <w:iCs/>
        </w:rPr>
        <w:t>Promotion</w:t>
      </w:r>
      <w:r>
        <w:rPr/>
        <w:t xml:space="preserve"> was coded as a binary indicator for the presence of a visible discount badge on the listing page (Ursu 2018; for details see Web Appendix C).</w:t>
      </w:r>
      <w:bookmarkEnd w:id="5"/>
    </w:p>
    <w:p>
      <w:pPr>
        <w:pStyle w:val="Heading2"/>
        <w:ind w:hanging="0"/>
        <w:rPr/>
      </w:pPr>
      <w:bookmarkStart w:id="6" w:name="results"/>
      <w:r>
        <w:rPr/>
        <w:t>Results</w:t>
      </w:r>
    </w:p>
    <w:p>
      <w:pPr>
        <w:pStyle w:val="FirstParagraph"/>
        <w:rPr/>
      </w:pPr>
      <w:r>
        <w:rPr/>
        <w:t>At their provider-default reasoning effort, AI agents search considerably more than human consumers (</w:t>
      </w:r>
      <w:hyperlink w:anchor="tbl-descriptive-stats">
        <w:r>
          <w:rPr>
            <w:rStyle w:val="Hyperlink"/>
          </w:rPr>
          <w:t>Table 2</w:t>
        </w:r>
      </w:hyperlink>
      <w:r>
        <w:rPr/>
        <w:t xml:space="preserve">; </w:t>
      </w:r>
      <w:hyperlink w:anchor="appfig-insp-hist">
        <w:r>
          <w:rPr>
            <w:rStyle w:val="Hyperlink"/>
          </w:rPr>
          <w:t>Figure W1</w:t>
        </w:r>
      </w:hyperlink>
      <w:r>
        <w:rPr/>
        <w:t>)</w:t>
      </w:r>
      <w:r>
        <w:rPr>
          <w:rStyle w:val="FootnoteReference"/>
        </w:rPr>
        <w:footnoteReference w:id="2"/>
      </w:r>
      <w:r>
        <w:rPr/>
        <w:t>. Whereas 93% of human sessions contained a single inspection, such sessions accounted for only 0.2% to 37.4% of LLM sessions. Moreover, none of the LLMs selected the outside option in any condition, whereas human consumers who clicked at least once did not book a hotel in 34% of sessions.</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keepNext w:val="true"/>
              <w:spacing w:before="240" w:after="120"/>
              <w:ind w:hanging="0" w:left="0"/>
              <w:jc w:val="left"/>
              <w:rPr/>
            </w:pPr>
            <w:r>
              <w:rPr>
                <w:b/>
                <w:bCs/>
                <w:i w:val="false"/>
                <w:iCs w:val="false"/>
              </w:rPr>
              <w:t>Table 2</w:t>
            </w:r>
            <w:r>
              <w:rPr>
                <w:i w:val="false"/>
                <w:iCs w:val="false"/>
              </w:rPr>
              <w:t xml:space="preserve"> Search behavior for LLMs (default reasoning) versus human consumers</w:t>
            </w:r>
          </w:p>
          <w:tbl>
            <w:tblPr>
              <w:tblStyle w:val="APATable"/>
              <w:tblW w:w="9141"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894"/>
              <w:gridCol w:w="1042"/>
              <w:gridCol w:w="1041"/>
              <w:gridCol w:w="1041"/>
              <w:gridCol w:w="1040"/>
              <w:gridCol w:w="1041"/>
              <w:gridCol w:w="1042"/>
            </w:tblGrid>
            <w:tr>
              <w:trPr>
                <w:tblHeader w:val="true"/>
              </w:trPr>
              <w:tc>
                <w:tcPr>
                  <w:tcW w:w="2894" w:type="dxa"/>
                  <w:tcBorders>
                    <w:top w:val="single" w:sz="12" w:space="0" w:color="000000"/>
                    <w:bottom w:val="single" w:sz="12" w:space="0" w:color="000000"/>
                  </w:tcBorders>
                </w:tcPr>
                <w:p>
                  <w:pPr>
                    <w:pStyle w:val="Compact"/>
                    <w:spacing w:before="36" w:after="36"/>
                    <w:jc w:val="left"/>
                    <w:rPr/>
                  </w:pPr>
                  <w:r>
                    <w:rPr/>
                  </w:r>
                </w:p>
              </w:tc>
              <w:tc>
                <w:tcPr>
                  <w:tcW w:w="1042" w:type="dxa"/>
                  <w:tcBorders>
                    <w:top w:val="single" w:sz="12" w:space="0" w:color="000000"/>
                    <w:bottom w:val="single" w:sz="12" w:space="0" w:color="000000"/>
                  </w:tcBorders>
                </w:tcPr>
                <w:p>
                  <w:pPr>
                    <w:pStyle w:val="Compact"/>
                    <w:spacing w:before="36" w:after="36"/>
                    <w:jc w:val="center"/>
                    <w:rPr/>
                  </w:pPr>
                  <w:r>
                    <w:rPr/>
                    <w:t>Sonnet</w:t>
                  </w:r>
                </w:p>
              </w:tc>
              <w:tc>
                <w:tcPr>
                  <w:tcW w:w="1041" w:type="dxa"/>
                  <w:tcBorders>
                    <w:top w:val="single" w:sz="12" w:space="0" w:color="000000"/>
                    <w:bottom w:val="single" w:sz="12" w:space="0" w:color="000000"/>
                  </w:tcBorders>
                </w:tcPr>
                <w:p>
                  <w:pPr>
                    <w:pStyle w:val="Compact"/>
                    <w:spacing w:before="36" w:after="36"/>
                    <w:jc w:val="center"/>
                    <w:rPr/>
                  </w:pPr>
                  <w:r>
                    <w:rPr/>
                    <w:t>Luna</w:t>
                  </w:r>
                </w:p>
              </w:tc>
              <w:tc>
                <w:tcPr>
                  <w:tcW w:w="1041" w:type="dxa"/>
                  <w:tcBorders>
                    <w:top w:val="single" w:sz="12" w:space="0" w:color="000000"/>
                    <w:bottom w:val="single" w:sz="12" w:space="0" w:color="000000"/>
                  </w:tcBorders>
                </w:tcPr>
                <w:p>
                  <w:pPr>
                    <w:pStyle w:val="Compact"/>
                    <w:spacing w:before="36" w:after="36"/>
                    <w:jc w:val="center"/>
                    <w:rPr/>
                  </w:pPr>
                  <w:r>
                    <w:rPr/>
                    <w:t>Flash Lite</w:t>
                  </w:r>
                </w:p>
              </w:tc>
              <w:tc>
                <w:tcPr>
                  <w:tcW w:w="1040" w:type="dxa"/>
                  <w:tcBorders>
                    <w:top w:val="single" w:sz="12" w:space="0" w:color="000000"/>
                    <w:bottom w:val="single" w:sz="12" w:space="0" w:color="000000"/>
                  </w:tcBorders>
                </w:tcPr>
                <w:p>
                  <w:pPr>
                    <w:pStyle w:val="Compact"/>
                    <w:spacing w:before="36" w:after="36"/>
                    <w:jc w:val="center"/>
                    <w:rPr/>
                  </w:pPr>
                  <w:r>
                    <w:rPr/>
                    <w:t>Flash</w:t>
                  </w:r>
                </w:p>
              </w:tc>
              <w:tc>
                <w:tcPr>
                  <w:tcW w:w="1041" w:type="dxa"/>
                  <w:tcBorders>
                    <w:top w:val="single" w:sz="12" w:space="0" w:color="000000"/>
                    <w:bottom w:val="single" w:sz="12" w:space="0" w:color="000000"/>
                  </w:tcBorders>
                </w:tcPr>
                <w:p>
                  <w:pPr>
                    <w:pStyle w:val="Compact"/>
                    <w:spacing w:before="36" w:after="36"/>
                    <w:jc w:val="center"/>
                    <w:rPr/>
                  </w:pPr>
                  <w:r>
                    <w:rPr/>
                    <w:t>Pro</w:t>
                  </w:r>
                </w:p>
              </w:tc>
              <w:tc>
                <w:tcPr>
                  <w:tcW w:w="1042" w:type="dxa"/>
                  <w:tcBorders>
                    <w:top w:val="single" w:sz="12" w:space="0" w:color="000000"/>
                    <w:bottom w:val="single" w:sz="12" w:space="0" w:color="000000"/>
                  </w:tcBorders>
                </w:tcPr>
                <w:p>
                  <w:pPr>
                    <w:pStyle w:val="Compact"/>
                    <w:spacing w:before="36" w:after="36"/>
                    <w:jc w:val="center"/>
                    <w:rPr/>
                  </w:pPr>
                  <w:r>
                    <w:rPr/>
                    <w:t>Human Benchmark</w:t>
                  </w:r>
                </w:p>
              </w:tc>
            </w:tr>
            <w:tr>
              <w:trPr/>
              <w:tc>
                <w:tcPr>
                  <w:tcW w:w="2894" w:type="dxa"/>
                  <w:tcBorders>
                    <w:top w:val="nil"/>
                    <w:bottom w:val="nil"/>
                  </w:tcBorders>
                </w:tcPr>
                <w:p>
                  <w:pPr>
                    <w:pStyle w:val="Compact"/>
                    <w:spacing w:before="36" w:after="36"/>
                    <w:jc w:val="left"/>
                    <w:rPr/>
                  </w:pPr>
                  <w:r>
                    <w:rPr>
                      <w:i/>
                      <w:iCs/>
                    </w:rPr>
                    <w:t>N</w:t>
                  </w:r>
                </w:p>
              </w:tc>
              <w:tc>
                <w:tcPr>
                  <w:tcW w:w="1042" w:type="dxa"/>
                  <w:tcBorders>
                    <w:top w:val="nil"/>
                    <w:bottom w:val="nil"/>
                  </w:tcBorders>
                </w:tcPr>
                <w:p>
                  <w:pPr>
                    <w:pStyle w:val="Compact"/>
                    <w:spacing w:before="36" w:after="36"/>
                    <w:jc w:val="center"/>
                    <w:rPr/>
                  </w:pPr>
                  <w:r>
                    <w:rPr/>
                    <w:t>500</w:t>
                  </w:r>
                </w:p>
              </w:tc>
              <w:tc>
                <w:tcPr>
                  <w:tcW w:w="1041" w:type="dxa"/>
                  <w:tcBorders>
                    <w:top w:val="nil"/>
                    <w:bottom w:val="nil"/>
                  </w:tcBorders>
                </w:tcPr>
                <w:p>
                  <w:pPr>
                    <w:pStyle w:val="Compact"/>
                    <w:spacing w:before="36" w:after="36"/>
                    <w:jc w:val="center"/>
                    <w:rPr/>
                  </w:pPr>
                  <w:r>
                    <w:rPr/>
                    <w:t>500</w:t>
                  </w:r>
                </w:p>
              </w:tc>
              <w:tc>
                <w:tcPr>
                  <w:tcW w:w="1041" w:type="dxa"/>
                  <w:tcBorders>
                    <w:top w:val="nil"/>
                    <w:bottom w:val="nil"/>
                  </w:tcBorders>
                </w:tcPr>
                <w:p>
                  <w:pPr>
                    <w:pStyle w:val="Compact"/>
                    <w:spacing w:before="36" w:after="36"/>
                    <w:jc w:val="center"/>
                    <w:rPr/>
                  </w:pPr>
                  <w:r>
                    <w:rPr/>
                    <w:t>500</w:t>
                  </w:r>
                </w:p>
              </w:tc>
              <w:tc>
                <w:tcPr>
                  <w:tcW w:w="1040" w:type="dxa"/>
                  <w:tcBorders>
                    <w:top w:val="nil"/>
                    <w:bottom w:val="nil"/>
                  </w:tcBorders>
                </w:tcPr>
                <w:p>
                  <w:pPr>
                    <w:pStyle w:val="Compact"/>
                    <w:spacing w:before="36" w:after="36"/>
                    <w:jc w:val="center"/>
                    <w:rPr/>
                  </w:pPr>
                  <w:r>
                    <w:rPr/>
                    <w:t>500</w:t>
                  </w:r>
                </w:p>
              </w:tc>
              <w:tc>
                <w:tcPr>
                  <w:tcW w:w="1041" w:type="dxa"/>
                  <w:tcBorders>
                    <w:top w:val="nil"/>
                    <w:bottom w:val="nil"/>
                  </w:tcBorders>
                </w:tcPr>
                <w:p>
                  <w:pPr>
                    <w:pStyle w:val="Compact"/>
                    <w:spacing w:before="36" w:after="36"/>
                    <w:jc w:val="center"/>
                    <w:rPr/>
                  </w:pPr>
                  <w:r>
                    <w:rPr/>
                    <w:t>500</w:t>
                  </w:r>
                </w:p>
              </w:tc>
              <w:tc>
                <w:tcPr>
                  <w:tcW w:w="1042" w:type="dxa"/>
                  <w:tcBorders>
                    <w:top w:val="nil"/>
                    <w:bottom w:val="nil"/>
                  </w:tcBorders>
                </w:tcPr>
                <w:p>
                  <w:pPr>
                    <w:pStyle w:val="Compact"/>
                    <w:spacing w:before="36" w:after="36"/>
                    <w:jc w:val="center"/>
                    <w:rPr/>
                  </w:pPr>
                  <w:r>
                    <w:rPr/>
                    <w:t>166,036</w:t>
                  </w:r>
                </w:p>
              </w:tc>
            </w:tr>
            <w:tr>
              <w:trPr/>
              <w:tc>
                <w:tcPr>
                  <w:tcW w:w="2894" w:type="dxa"/>
                  <w:tcBorders>
                    <w:top w:val="nil"/>
                    <w:bottom w:val="nil"/>
                  </w:tcBorders>
                </w:tcPr>
                <w:p>
                  <w:pPr>
                    <w:pStyle w:val="Compact"/>
                    <w:spacing w:before="36" w:after="36"/>
                    <w:jc w:val="left"/>
                    <w:rPr/>
                  </w:pPr>
                  <w:r>
                    <w:rPr/>
                    <w:t>Conversion rate</w:t>
                  </w:r>
                </w:p>
              </w:tc>
              <w:tc>
                <w:tcPr>
                  <w:tcW w:w="1042" w:type="dxa"/>
                  <w:tcBorders>
                    <w:top w:val="nil"/>
                    <w:bottom w:val="nil"/>
                  </w:tcBorders>
                </w:tcPr>
                <w:p>
                  <w:pPr>
                    <w:pStyle w:val="Compact"/>
                    <w:spacing w:before="36" w:after="36"/>
                    <w:jc w:val="center"/>
                    <w:rPr/>
                  </w:pPr>
                  <w:r>
                    <w:rPr/>
                    <w:t>100.0%</w:t>
                  </w:r>
                </w:p>
              </w:tc>
              <w:tc>
                <w:tcPr>
                  <w:tcW w:w="1041" w:type="dxa"/>
                  <w:tcBorders>
                    <w:top w:val="nil"/>
                    <w:bottom w:val="nil"/>
                  </w:tcBorders>
                </w:tcPr>
                <w:p>
                  <w:pPr>
                    <w:pStyle w:val="Compact"/>
                    <w:spacing w:before="36" w:after="36"/>
                    <w:jc w:val="center"/>
                    <w:rPr/>
                  </w:pPr>
                  <w:r>
                    <w:rPr/>
                    <w:t>100.0%</w:t>
                  </w:r>
                </w:p>
              </w:tc>
              <w:tc>
                <w:tcPr>
                  <w:tcW w:w="1041" w:type="dxa"/>
                  <w:tcBorders>
                    <w:top w:val="nil"/>
                    <w:bottom w:val="nil"/>
                  </w:tcBorders>
                </w:tcPr>
                <w:p>
                  <w:pPr>
                    <w:pStyle w:val="Compact"/>
                    <w:spacing w:before="36" w:after="36"/>
                    <w:jc w:val="center"/>
                    <w:rPr/>
                  </w:pPr>
                  <w:r>
                    <w:rPr/>
                    <w:t>100.0%</w:t>
                  </w:r>
                </w:p>
              </w:tc>
              <w:tc>
                <w:tcPr>
                  <w:tcW w:w="1040" w:type="dxa"/>
                  <w:tcBorders>
                    <w:top w:val="nil"/>
                    <w:bottom w:val="nil"/>
                  </w:tcBorders>
                </w:tcPr>
                <w:p>
                  <w:pPr>
                    <w:pStyle w:val="Compact"/>
                    <w:spacing w:before="36" w:after="36"/>
                    <w:jc w:val="center"/>
                    <w:rPr/>
                  </w:pPr>
                  <w:r>
                    <w:rPr/>
                    <w:t>100.0%</w:t>
                  </w:r>
                </w:p>
              </w:tc>
              <w:tc>
                <w:tcPr>
                  <w:tcW w:w="1041" w:type="dxa"/>
                  <w:tcBorders>
                    <w:top w:val="nil"/>
                    <w:bottom w:val="nil"/>
                  </w:tcBorders>
                </w:tcPr>
                <w:p>
                  <w:pPr>
                    <w:pStyle w:val="Compact"/>
                    <w:spacing w:before="36" w:after="36"/>
                    <w:jc w:val="center"/>
                    <w:rPr/>
                  </w:pPr>
                  <w:r>
                    <w:rPr/>
                    <w:t>100.0%</w:t>
                  </w:r>
                </w:p>
              </w:tc>
              <w:tc>
                <w:tcPr>
                  <w:tcW w:w="1042" w:type="dxa"/>
                  <w:tcBorders>
                    <w:top w:val="nil"/>
                    <w:bottom w:val="nil"/>
                  </w:tcBorders>
                </w:tcPr>
                <w:p>
                  <w:pPr>
                    <w:pStyle w:val="Compact"/>
                    <w:spacing w:before="36" w:after="36"/>
                    <w:jc w:val="center"/>
                    <w:rPr/>
                  </w:pPr>
                  <w:r>
                    <w:rPr/>
                    <w:t>66.0%</w:t>
                  </w:r>
                </w:p>
              </w:tc>
            </w:tr>
            <w:tr>
              <w:trPr/>
              <w:tc>
                <w:tcPr>
                  <w:tcW w:w="2894" w:type="dxa"/>
                  <w:tcBorders>
                    <w:top w:val="nil"/>
                    <w:bottom w:val="nil"/>
                  </w:tcBorders>
                </w:tcPr>
                <w:p>
                  <w:pPr>
                    <w:pStyle w:val="Compact"/>
                    <w:spacing w:before="36" w:after="36"/>
                    <w:jc w:val="left"/>
                    <w:rPr/>
                  </w:pPr>
                  <w:r>
                    <w:rPr/>
                    <w:t>Outside option selected</w:t>
                  </w:r>
                </w:p>
              </w:tc>
              <w:tc>
                <w:tcPr>
                  <w:tcW w:w="1042" w:type="dxa"/>
                  <w:tcBorders>
                    <w:top w:val="nil"/>
                    <w:bottom w:val="nil"/>
                  </w:tcBorders>
                </w:tcPr>
                <w:p>
                  <w:pPr>
                    <w:pStyle w:val="Compact"/>
                    <w:spacing w:before="36" w:after="36"/>
                    <w:jc w:val="center"/>
                    <w:rPr/>
                  </w:pPr>
                  <w:r>
                    <w:rPr/>
                    <w:t>0.0%</w:t>
                  </w:r>
                </w:p>
              </w:tc>
              <w:tc>
                <w:tcPr>
                  <w:tcW w:w="1041" w:type="dxa"/>
                  <w:tcBorders>
                    <w:top w:val="nil"/>
                    <w:bottom w:val="nil"/>
                  </w:tcBorders>
                </w:tcPr>
                <w:p>
                  <w:pPr>
                    <w:pStyle w:val="Compact"/>
                    <w:spacing w:before="36" w:after="36"/>
                    <w:jc w:val="center"/>
                    <w:rPr/>
                  </w:pPr>
                  <w:r>
                    <w:rPr/>
                    <w:t>0.0%</w:t>
                  </w:r>
                </w:p>
              </w:tc>
              <w:tc>
                <w:tcPr>
                  <w:tcW w:w="1041" w:type="dxa"/>
                  <w:tcBorders>
                    <w:top w:val="nil"/>
                    <w:bottom w:val="nil"/>
                  </w:tcBorders>
                </w:tcPr>
                <w:p>
                  <w:pPr>
                    <w:pStyle w:val="Compact"/>
                    <w:spacing w:before="36" w:after="36"/>
                    <w:jc w:val="center"/>
                    <w:rPr/>
                  </w:pPr>
                  <w:r>
                    <w:rPr/>
                    <w:t>0.0%</w:t>
                  </w:r>
                </w:p>
              </w:tc>
              <w:tc>
                <w:tcPr>
                  <w:tcW w:w="1040" w:type="dxa"/>
                  <w:tcBorders>
                    <w:top w:val="nil"/>
                    <w:bottom w:val="nil"/>
                  </w:tcBorders>
                </w:tcPr>
                <w:p>
                  <w:pPr>
                    <w:pStyle w:val="Compact"/>
                    <w:spacing w:before="36" w:after="36"/>
                    <w:jc w:val="center"/>
                    <w:rPr/>
                  </w:pPr>
                  <w:r>
                    <w:rPr/>
                    <w:t>0.0%</w:t>
                  </w:r>
                </w:p>
              </w:tc>
              <w:tc>
                <w:tcPr>
                  <w:tcW w:w="1041" w:type="dxa"/>
                  <w:tcBorders>
                    <w:top w:val="nil"/>
                    <w:bottom w:val="nil"/>
                  </w:tcBorders>
                </w:tcPr>
                <w:p>
                  <w:pPr>
                    <w:pStyle w:val="Compact"/>
                    <w:spacing w:before="36" w:after="36"/>
                    <w:jc w:val="center"/>
                    <w:rPr/>
                  </w:pPr>
                  <w:r>
                    <w:rPr/>
                    <w:t>0.0%</w:t>
                  </w:r>
                </w:p>
              </w:tc>
              <w:tc>
                <w:tcPr>
                  <w:tcW w:w="1042" w:type="dxa"/>
                  <w:tcBorders>
                    <w:top w:val="nil"/>
                    <w:bottom w:val="nil"/>
                  </w:tcBorders>
                </w:tcPr>
                <w:p>
                  <w:pPr>
                    <w:pStyle w:val="Compact"/>
                    <w:spacing w:before="36" w:after="36"/>
                    <w:jc w:val="center"/>
                    <w:rPr/>
                  </w:pPr>
                  <w:r>
                    <w:rPr/>
                    <w:t>34.0%</w:t>
                  </w:r>
                </w:p>
              </w:tc>
            </w:tr>
            <w:tr>
              <w:trPr/>
              <w:tc>
                <w:tcPr>
                  <w:tcW w:w="2894" w:type="dxa"/>
                  <w:tcBorders>
                    <w:top w:val="nil"/>
                    <w:bottom w:val="nil"/>
                  </w:tcBorders>
                </w:tcPr>
                <w:p>
                  <w:pPr>
                    <w:pStyle w:val="Compact"/>
                    <w:spacing w:before="36" w:after="36"/>
                    <w:jc w:val="left"/>
                    <w:rPr/>
                  </w:pPr>
                  <w:r>
                    <w:rPr/>
                    <w:t>Inspections per session</w:t>
                  </w:r>
                </w:p>
              </w:tc>
              <w:tc>
                <w:tcPr>
                  <w:tcW w:w="1042" w:type="dxa"/>
                  <w:tcBorders>
                    <w:top w:val="nil"/>
                    <w:bottom w:val="nil"/>
                  </w:tcBorders>
                </w:tcPr>
                <w:p>
                  <w:pPr>
                    <w:pStyle w:val="Compact"/>
                    <w:spacing w:before="36" w:after="36"/>
                    <w:ind w:hanging="0"/>
                    <w:jc w:val="left"/>
                    <w:rPr/>
                  </w:pPr>
                  <w:r>
                    <w:rPr/>
                  </w:r>
                </w:p>
              </w:tc>
              <w:tc>
                <w:tcPr>
                  <w:tcW w:w="1041" w:type="dxa"/>
                  <w:tcBorders>
                    <w:top w:val="nil"/>
                    <w:bottom w:val="nil"/>
                  </w:tcBorders>
                </w:tcPr>
                <w:p>
                  <w:pPr>
                    <w:pStyle w:val="Compact"/>
                    <w:spacing w:before="36" w:after="36"/>
                    <w:ind w:hanging="0"/>
                    <w:jc w:val="left"/>
                    <w:rPr/>
                  </w:pPr>
                  <w:r>
                    <w:rPr/>
                  </w:r>
                </w:p>
              </w:tc>
              <w:tc>
                <w:tcPr>
                  <w:tcW w:w="1041" w:type="dxa"/>
                  <w:tcBorders>
                    <w:top w:val="nil"/>
                    <w:bottom w:val="nil"/>
                  </w:tcBorders>
                </w:tcPr>
                <w:p>
                  <w:pPr>
                    <w:pStyle w:val="Compact"/>
                    <w:spacing w:before="36" w:after="36"/>
                    <w:ind w:hanging="0"/>
                    <w:jc w:val="left"/>
                    <w:rPr/>
                  </w:pPr>
                  <w:r>
                    <w:rPr/>
                  </w:r>
                </w:p>
              </w:tc>
              <w:tc>
                <w:tcPr>
                  <w:tcW w:w="1040" w:type="dxa"/>
                  <w:tcBorders>
                    <w:top w:val="nil"/>
                    <w:bottom w:val="nil"/>
                  </w:tcBorders>
                </w:tcPr>
                <w:p>
                  <w:pPr>
                    <w:pStyle w:val="Compact"/>
                    <w:spacing w:before="36" w:after="36"/>
                    <w:ind w:hanging="0"/>
                    <w:jc w:val="left"/>
                    <w:rPr/>
                  </w:pPr>
                  <w:r>
                    <w:rPr/>
                  </w:r>
                </w:p>
              </w:tc>
              <w:tc>
                <w:tcPr>
                  <w:tcW w:w="1041" w:type="dxa"/>
                  <w:tcBorders>
                    <w:top w:val="nil"/>
                    <w:bottom w:val="nil"/>
                  </w:tcBorders>
                </w:tcPr>
                <w:p>
                  <w:pPr>
                    <w:pStyle w:val="Compact"/>
                    <w:spacing w:before="36" w:after="36"/>
                    <w:ind w:hanging="0"/>
                    <w:jc w:val="left"/>
                    <w:rPr/>
                  </w:pPr>
                  <w:r>
                    <w:rPr/>
                  </w:r>
                </w:p>
              </w:tc>
              <w:tc>
                <w:tcPr>
                  <w:tcW w:w="1042" w:type="dxa"/>
                  <w:tcBorders>
                    <w:top w:val="nil"/>
                    <w:bottom w:val="nil"/>
                  </w:tcBorders>
                </w:tcPr>
                <w:p>
                  <w:pPr>
                    <w:pStyle w:val="Compact"/>
                    <w:spacing w:before="36" w:after="36"/>
                    <w:ind w:hanging="0"/>
                    <w:jc w:val="left"/>
                    <w:rPr/>
                  </w:pPr>
                  <w:r>
                    <w:rPr/>
                  </w:r>
                </w:p>
              </w:tc>
            </w:tr>
            <w:tr>
              <w:trPr/>
              <w:tc>
                <w:tcPr>
                  <w:tcW w:w="2894" w:type="dxa"/>
                  <w:tcBorders>
                    <w:top w:val="nil"/>
                    <w:bottom w:val="nil"/>
                  </w:tcBorders>
                </w:tcPr>
                <w:p>
                  <w:pPr>
                    <w:pStyle w:val="Compact"/>
                    <w:spacing w:before="36" w:after="36"/>
                    <w:jc w:val="left"/>
                    <w:rPr/>
                  </w:pPr>
                  <w:r>
                    <w:rPr/>
                    <w:t>(</w:t>
                  </w:r>
                  <w:r>
                    <w:rPr>
                      <w:i/>
                      <w:iCs/>
                    </w:rPr>
                    <w:t>Mean</w:t>
                  </w:r>
                  <w:r>
                    <w:rPr/>
                    <w:t>)</w:t>
                  </w:r>
                </w:p>
              </w:tc>
              <w:tc>
                <w:tcPr>
                  <w:tcW w:w="1042" w:type="dxa"/>
                  <w:tcBorders>
                    <w:top w:val="nil"/>
                    <w:bottom w:val="nil"/>
                  </w:tcBorders>
                </w:tcPr>
                <w:p>
                  <w:pPr>
                    <w:pStyle w:val="Compact"/>
                    <w:spacing w:before="36" w:after="36"/>
                    <w:jc w:val="center"/>
                    <w:rPr/>
                  </w:pPr>
                  <w:r>
                    <w:rPr/>
                    <w:t>1.63</w:t>
                  </w:r>
                </w:p>
              </w:tc>
              <w:tc>
                <w:tcPr>
                  <w:tcW w:w="1041" w:type="dxa"/>
                  <w:tcBorders>
                    <w:top w:val="nil"/>
                    <w:bottom w:val="nil"/>
                  </w:tcBorders>
                </w:tcPr>
                <w:p>
                  <w:pPr>
                    <w:pStyle w:val="Compact"/>
                    <w:spacing w:before="36" w:after="36"/>
                    <w:jc w:val="center"/>
                    <w:rPr/>
                  </w:pPr>
                  <w:r>
                    <w:rPr/>
                    <w:t>4.00</w:t>
                  </w:r>
                </w:p>
              </w:tc>
              <w:tc>
                <w:tcPr>
                  <w:tcW w:w="1041" w:type="dxa"/>
                  <w:tcBorders>
                    <w:top w:val="nil"/>
                    <w:bottom w:val="nil"/>
                  </w:tcBorders>
                </w:tcPr>
                <w:p>
                  <w:pPr>
                    <w:pStyle w:val="Compact"/>
                    <w:spacing w:before="36" w:after="36"/>
                    <w:jc w:val="center"/>
                    <w:rPr/>
                  </w:pPr>
                  <w:r>
                    <w:rPr/>
                    <w:t>3.12</w:t>
                  </w:r>
                </w:p>
              </w:tc>
              <w:tc>
                <w:tcPr>
                  <w:tcW w:w="1040" w:type="dxa"/>
                  <w:tcBorders>
                    <w:top w:val="nil"/>
                    <w:bottom w:val="nil"/>
                  </w:tcBorders>
                </w:tcPr>
                <w:p>
                  <w:pPr>
                    <w:pStyle w:val="Compact"/>
                    <w:spacing w:before="36" w:after="36"/>
                    <w:jc w:val="center"/>
                    <w:rPr/>
                  </w:pPr>
                  <w:r>
                    <w:rPr/>
                    <w:t>4.25</w:t>
                  </w:r>
                </w:p>
              </w:tc>
              <w:tc>
                <w:tcPr>
                  <w:tcW w:w="1041" w:type="dxa"/>
                  <w:tcBorders>
                    <w:top w:val="nil"/>
                    <w:bottom w:val="nil"/>
                  </w:tcBorders>
                </w:tcPr>
                <w:p>
                  <w:pPr>
                    <w:pStyle w:val="Compact"/>
                    <w:spacing w:before="36" w:after="36"/>
                    <w:jc w:val="center"/>
                    <w:rPr/>
                  </w:pPr>
                  <w:r>
                    <w:rPr/>
                    <w:t>5.83</w:t>
                  </w:r>
                </w:p>
              </w:tc>
              <w:tc>
                <w:tcPr>
                  <w:tcW w:w="1042" w:type="dxa"/>
                  <w:tcBorders>
                    <w:top w:val="nil"/>
                    <w:bottom w:val="nil"/>
                  </w:tcBorders>
                </w:tcPr>
                <w:p>
                  <w:pPr>
                    <w:pStyle w:val="Compact"/>
                    <w:spacing w:before="36" w:after="36"/>
                    <w:jc w:val="center"/>
                    <w:rPr/>
                  </w:pPr>
                  <w:r>
                    <w:rPr/>
                    <w:t>1.12</w:t>
                  </w:r>
                </w:p>
              </w:tc>
            </w:tr>
            <w:tr>
              <w:trPr/>
              <w:tc>
                <w:tcPr>
                  <w:tcW w:w="2894" w:type="dxa"/>
                  <w:tcBorders>
                    <w:top w:val="nil"/>
                    <w:bottom w:val="nil"/>
                  </w:tcBorders>
                </w:tcPr>
                <w:p>
                  <w:pPr>
                    <w:pStyle w:val="Compact"/>
                    <w:spacing w:before="36" w:after="36"/>
                    <w:jc w:val="left"/>
                    <w:rPr/>
                  </w:pPr>
                  <w:r>
                    <w:rPr/>
                    <w:t>(</w:t>
                  </w:r>
                  <w:r>
                    <w:rPr>
                      <w:i/>
                      <w:iCs/>
                    </w:rPr>
                    <w:t>Median</w:t>
                  </w:r>
                  <w:r>
                    <w:rPr/>
                    <w:t>)</w:t>
                  </w:r>
                </w:p>
              </w:tc>
              <w:tc>
                <w:tcPr>
                  <w:tcW w:w="1042" w:type="dxa"/>
                  <w:tcBorders>
                    <w:top w:val="nil"/>
                    <w:bottom w:val="nil"/>
                  </w:tcBorders>
                </w:tcPr>
                <w:p>
                  <w:pPr>
                    <w:pStyle w:val="Compact"/>
                    <w:spacing w:before="36" w:after="36"/>
                    <w:jc w:val="center"/>
                    <w:rPr/>
                  </w:pPr>
                  <w:r>
                    <w:rPr/>
                    <w:t>2.00</w:t>
                  </w:r>
                </w:p>
              </w:tc>
              <w:tc>
                <w:tcPr>
                  <w:tcW w:w="1041" w:type="dxa"/>
                  <w:tcBorders>
                    <w:top w:val="nil"/>
                    <w:bottom w:val="nil"/>
                  </w:tcBorders>
                </w:tcPr>
                <w:p>
                  <w:pPr>
                    <w:pStyle w:val="Compact"/>
                    <w:spacing w:before="36" w:after="36"/>
                    <w:jc w:val="center"/>
                    <w:rPr/>
                  </w:pPr>
                  <w:r>
                    <w:rPr/>
                    <w:t>4.00</w:t>
                  </w:r>
                </w:p>
              </w:tc>
              <w:tc>
                <w:tcPr>
                  <w:tcW w:w="1041" w:type="dxa"/>
                  <w:tcBorders>
                    <w:top w:val="nil"/>
                    <w:bottom w:val="nil"/>
                  </w:tcBorders>
                </w:tcPr>
                <w:p>
                  <w:pPr>
                    <w:pStyle w:val="Compact"/>
                    <w:spacing w:before="36" w:after="36"/>
                    <w:jc w:val="center"/>
                    <w:rPr/>
                  </w:pPr>
                  <w:r>
                    <w:rPr/>
                    <w:t>3.00</w:t>
                  </w:r>
                </w:p>
              </w:tc>
              <w:tc>
                <w:tcPr>
                  <w:tcW w:w="1040" w:type="dxa"/>
                  <w:tcBorders>
                    <w:top w:val="nil"/>
                    <w:bottom w:val="nil"/>
                  </w:tcBorders>
                </w:tcPr>
                <w:p>
                  <w:pPr>
                    <w:pStyle w:val="Compact"/>
                    <w:spacing w:before="36" w:after="36"/>
                    <w:jc w:val="center"/>
                    <w:rPr/>
                  </w:pPr>
                  <w:r>
                    <w:rPr/>
                    <w:t>4.00</w:t>
                  </w:r>
                </w:p>
              </w:tc>
              <w:tc>
                <w:tcPr>
                  <w:tcW w:w="1041" w:type="dxa"/>
                  <w:tcBorders>
                    <w:top w:val="nil"/>
                    <w:bottom w:val="nil"/>
                  </w:tcBorders>
                </w:tcPr>
                <w:p>
                  <w:pPr>
                    <w:pStyle w:val="Compact"/>
                    <w:spacing w:before="36" w:after="36"/>
                    <w:jc w:val="center"/>
                    <w:rPr/>
                  </w:pPr>
                  <w:r>
                    <w:rPr/>
                    <w:t>5.00</w:t>
                  </w:r>
                </w:p>
              </w:tc>
              <w:tc>
                <w:tcPr>
                  <w:tcW w:w="1042" w:type="dxa"/>
                  <w:tcBorders>
                    <w:top w:val="nil"/>
                    <w:bottom w:val="nil"/>
                  </w:tcBorders>
                </w:tcPr>
                <w:p>
                  <w:pPr>
                    <w:pStyle w:val="Compact"/>
                    <w:spacing w:before="36" w:after="36"/>
                    <w:jc w:val="center"/>
                    <w:rPr/>
                  </w:pPr>
                  <w:r>
                    <w:rPr/>
                    <w:t>1.00</w:t>
                  </w:r>
                </w:p>
              </w:tc>
            </w:tr>
            <w:tr>
              <w:trPr/>
              <w:tc>
                <w:tcPr>
                  <w:tcW w:w="2894" w:type="dxa"/>
                  <w:tcBorders>
                    <w:top w:val="nil"/>
                    <w:bottom w:val="nil"/>
                  </w:tcBorders>
                </w:tcPr>
                <w:p>
                  <w:pPr>
                    <w:pStyle w:val="Compact"/>
                    <w:spacing w:before="36" w:after="36"/>
                    <w:jc w:val="left"/>
                    <w:rPr/>
                  </w:pPr>
                  <w:r>
                    <w:rPr/>
                    <w:t>(</w:t>
                  </w:r>
                  <w:r>
                    <w:rPr>
                      <w:i/>
                      <w:iCs/>
                    </w:rPr>
                    <w:t>Mode</w:t>
                  </w:r>
                  <w:r>
                    <w:rPr/>
                    <w:t>)</w:t>
                  </w:r>
                </w:p>
              </w:tc>
              <w:tc>
                <w:tcPr>
                  <w:tcW w:w="1042" w:type="dxa"/>
                  <w:tcBorders>
                    <w:top w:val="nil"/>
                    <w:bottom w:val="nil"/>
                  </w:tcBorders>
                </w:tcPr>
                <w:p>
                  <w:pPr>
                    <w:pStyle w:val="Compact"/>
                    <w:spacing w:before="36" w:after="36"/>
                    <w:jc w:val="center"/>
                    <w:rPr/>
                  </w:pPr>
                  <w:r>
                    <w:rPr/>
                    <w:t>2.00</w:t>
                  </w:r>
                </w:p>
              </w:tc>
              <w:tc>
                <w:tcPr>
                  <w:tcW w:w="1041" w:type="dxa"/>
                  <w:tcBorders>
                    <w:top w:val="nil"/>
                    <w:bottom w:val="nil"/>
                  </w:tcBorders>
                </w:tcPr>
                <w:p>
                  <w:pPr>
                    <w:pStyle w:val="Compact"/>
                    <w:spacing w:before="36" w:after="36"/>
                    <w:jc w:val="center"/>
                    <w:rPr/>
                  </w:pPr>
                  <w:r>
                    <w:rPr/>
                    <w:t>4.00</w:t>
                  </w:r>
                </w:p>
              </w:tc>
              <w:tc>
                <w:tcPr>
                  <w:tcW w:w="1041" w:type="dxa"/>
                  <w:tcBorders>
                    <w:top w:val="nil"/>
                    <w:bottom w:val="nil"/>
                  </w:tcBorders>
                </w:tcPr>
                <w:p>
                  <w:pPr>
                    <w:pStyle w:val="Compact"/>
                    <w:spacing w:before="36" w:after="36"/>
                    <w:jc w:val="center"/>
                    <w:rPr/>
                  </w:pPr>
                  <w:r>
                    <w:rPr/>
                    <w:t>3.00</w:t>
                  </w:r>
                </w:p>
              </w:tc>
              <w:tc>
                <w:tcPr>
                  <w:tcW w:w="1040" w:type="dxa"/>
                  <w:tcBorders>
                    <w:top w:val="nil"/>
                    <w:bottom w:val="nil"/>
                  </w:tcBorders>
                </w:tcPr>
                <w:p>
                  <w:pPr>
                    <w:pStyle w:val="Compact"/>
                    <w:spacing w:before="36" w:after="36"/>
                    <w:jc w:val="center"/>
                    <w:rPr/>
                  </w:pPr>
                  <w:r>
                    <w:rPr/>
                    <w:t>4.00</w:t>
                  </w:r>
                </w:p>
              </w:tc>
              <w:tc>
                <w:tcPr>
                  <w:tcW w:w="1041" w:type="dxa"/>
                  <w:tcBorders>
                    <w:top w:val="nil"/>
                    <w:bottom w:val="nil"/>
                  </w:tcBorders>
                </w:tcPr>
                <w:p>
                  <w:pPr>
                    <w:pStyle w:val="Compact"/>
                    <w:spacing w:before="36" w:after="36"/>
                    <w:jc w:val="center"/>
                    <w:rPr/>
                  </w:pPr>
                  <w:r>
                    <w:rPr/>
                    <w:t>1.00</w:t>
                  </w:r>
                </w:p>
              </w:tc>
              <w:tc>
                <w:tcPr>
                  <w:tcW w:w="1042" w:type="dxa"/>
                  <w:tcBorders>
                    <w:top w:val="nil"/>
                    <w:bottom w:val="nil"/>
                  </w:tcBorders>
                </w:tcPr>
                <w:p>
                  <w:pPr>
                    <w:pStyle w:val="Compact"/>
                    <w:spacing w:before="36" w:after="36"/>
                    <w:jc w:val="center"/>
                    <w:rPr/>
                  </w:pPr>
                  <w:r>
                    <w:rPr/>
                    <w:t>1.00</w:t>
                  </w:r>
                </w:p>
              </w:tc>
            </w:tr>
            <w:tr>
              <w:trPr/>
              <w:tc>
                <w:tcPr>
                  <w:tcW w:w="2894" w:type="dxa"/>
                  <w:tcBorders>
                    <w:top w:val="nil"/>
                    <w:bottom w:val="nil"/>
                  </w:tcBorders>
                </w:tcPr>
                <w:p>
                  <w:pPr>
                    <w:pStyle w:val="Compact"/>
                    <w:spacing w:before="36" w:after="36"/>
                    <w:jc w:val="left"/>
                    <w:rPr/>
                  </w:pPr>
                  <w:r>
                    <w:rPr/>
                    <w:t>(</w:t>
                  </w:r>
                  <w:r>
                    <w:rPr>
                      <w:i/>
                      <w:iCs/>
                    </w:rPr>
                    <w:t>SD</w:t>
                  </w:r>
                  <w:r>
                    <w:rPr/>
                    <w:t>)</w:t>
                  </w:r>
                </w:p>
              </w:tc>
              <w:tc>
                <w:tcPr>
                  <w:tcW w:w="1042" w:type="dxa"/>
                  <w:tcBorders>
                    <w:top w:val="nil"/>
                    <w:bottom w:val="nil"/>
                  </w:tcBorders>
                </w:tcPr>
                <w:p>
                  <w:pPr>
                    <w:pStyle w:val="Compact"/>
                    <w:spacing w:before="36" w:after="36"/>
                    <w:jc w:val="center"/>
                    <w:rPr/>
                  </w:pPr>
                  <w:r>
                    <w:rPr/>
                    <w:t>0.49</w:t>
                  </w:r>
                </w:p>
              </w:tc>
              <w:tc>
                <w:tcPr>
                  <w:tcW w:w="1041" w:type="dxa"/>
                  <w:tcBorders>
                    <w:top w:val="nil"/>
                    <w:bottom w:val="nil"/>
                  </w:tcBorders>
                </w:tcPr>
                <w:p>
                  <w:pPr>
                    <w:pStyle w:val="Compact"/>
                    <w:spacing w:before="36" w:after="36"/>
                    <w:jc w:val="center"/>
                    <w:rPr/>
                  </w:pPr>
                  <w:r>
                    <w:rPr/>
                    <w:t>1.13</w:t>
                  </w:r>
                </w:p>
              </w:tc>
              <w:tc>
                <w:tcPr>
                  <w:tcW w:w="1041" w:type="dxa"/>
                  <w:tcBorders>
                    <w:top w:val="nil"/>
                    <w:bottom w:val="nil"/>
                  </w:tcBorders>
                </w:tcPr>
                <w:p>
                  <w:pPr>
                    <w:pStyle w:val="Compact"/>
                    <w:spacing w:before="36" w:after="36"/>
                    <w:jc w:val="center"/>
                    <w:rPr/>
                  </w:pPr>
                  <w:r>
                    <w:rPr/>
                    <w:t>0.54</w:t>
                  </w:r>
                </w:p>
              </w:tc>
              <w:tc>
                <w:tcPr>
                  <w:tcW w:w="1040" w:type="dxa"/>
                  <w:tcBorders>
                    <w:top w:val="nil"/>
                    <w:bottom w:val="nil"/>
                  </w:tcBorders>
                </w:tcPr>
                <w:p>
                  <w:pPr>
                    <w:pStyle w:val="Compact"/>
                    <w:spacing w:before="36" w:after="36"/>
                    <w:jc w:val="center"/>
                    <w:rPr/>
                  </w:pPr>
                  <w:r>
                    <w:rPr/>
                    <w:t>1.59</w:t>
                  </w:r>
                </w:p>
              </w:tc>
              <w:tc>
                <w:tcPr>
                  <w:tcW w:w="1041" w:type="dxa"/>
                  <w:tcBorders>
                    <w:top w:val="nil"/>
                    <w:bottom w:val="nil"/>
                  </w:tcBorders>
                </w:tcPr>
                <w:p>
                  <w:pPr>
                    <w:pStyle w:val="Compact"/>
                    <w:spacing w:before="36" w:after="36"/>
                    <w:jc w:val="center"/>
                    <w:rPr/>
                  </w:pPr>
                  <w:r>
                    <w:rPr/>
                    <w:t>4.78</w:t>
                  </w:r>
                </w:p>
              </w:tc>
              <w:tc>
                <w:tcPr>
                  <w:tcW w:w="1042" w:type="dxa"/>
                  <w:tcBorders>
                    <w:top w:val="nil"/>
                    <w:bottom w:val="nil"/>
                  </w:tcBorders>
                </w:tcPr>
                <w:p>
                  <w:pPr>
                    <w:pStyle w:val="Compact"/>
                    <w:spacing w:before="36" w:after="36"/>
                    <w:jc w:val="center"/>
                    <w:rPr/>
                  </w:pPr>
                  <w:r>
                    <w:rPr/>
                    <w:t>0.61</w:t>
                  </w:r>
                </w:p>
              </w:tc>
            </w:tr>
            <w:tr>
              <w:trPr/>
              <w:tc>
                <w:tcPr>
                  <w:tcW w:w="2894" w:type="dxa"/>
                  <w:tcBorders>
                    <w:top w:val="nil"/>
                    <w:bottom w:val="nil"/>
                  </w:tcBorders>
                </w:tcPr>
                <w:p>
                  <w:pPr>
                    <w:pStyle w:val="Compact"/>
                    <w:spacing w:before="36" w:after="36"/>
                    <w:jc w:val="left"/>
                    <w:rPr/>
                  </w:pPr>
                  <w:r>
                    <w:rPr/>
                    <w:t>Sessions with one inspection</w:t>
                  </w:r>
                </w:p>
              </w:tc>
              <w:tc>
                <w:tcPr>
                  <w:tcW w:w="1042" w:type="dxa"/>
                  <w:tcBorders>
                    <w:top w:val="nil"/>
                    <w:bottom w:val="nil"/>
                  </w:tcBorders>
                </w:tcPr>
                <w:p>
                  <w:pPr>
                    <w:pStyle w:val="Compact"/>
                    <w:spacing w:before="36" w:after="36"/>
                    <w:jc w:val="center"/>
                    <w:rPr/>
                  </w:pPr>
                  <w:r>
                    <w:rPr/>
                    <w:t>37.4%</w:t>
                  </w:r>
                </w:p>
              </w:tc>
              <w:tc>
                <w:tcPr>
                  <w:tcW w:w="1041" w:type="dxa"/>
                  <w:tcBorders>
                    <w:top w:val="nil"/>
                    <w:bottom w:val="nil"/>
                  </w:tcBorders>
                </w:tcPr>
                <w:p>
                  <w:pPr>
                    <w:pStyle w:val="Compact"/>
                    <w:spacing w:before="36" w:after="36"/>
                    <w:jc w:val="center"/>
                    <w:rPr/>
                  </w:pPr>
                  <w:r>
                    <w:rPr/>
                    <w:t>0.2%</w:t>
                  </w:r>
                </w:p>
              </w:tc>
              <w:tc>
                <w:tcPr>
                  <w:tcW w:w="1041" w:type="dxa"/>
                  <w:tcBorders>
                    <w:top w:val="nil"/>
                    <w:bottom w:val="nil"/>
                  </w:tcBorders>
                </w:tcPr>
                <w:p>
                  <w:pPr>
                    <w:pStyle w:val="Compact"/>
                    <w:spacing w:before="36" w:after="36"/>
                    <w:jc w:val="center"/>
                    <w:rPr/>
                  </w:pPr>
                  <w:r>
                    <w:rPr/>
                    <w:t>0.8%</w:t>
                  </w:r>
                </w:p>
              </w:tc>
              <w:tc>
                <w:tcPr>
                  <w:tcW w:w="1040" w:type="dxa"/>
                  <w:tcBorders>
                    <w:top w:val="nil"/>
                    <w:bottom w:val="nil"/>
                  </w:tcBorders>
                </w:tcPr>
                <w:p>
                  <w:pPr>
                    <w:pStyle w:val="Compact"/>
                    <w:spacing w:before="36" w:after="36"/>
                    <w:jc w:val="center"/>
                    <w:rPr/>
                  </w:pPr>
                  <w:r>
                    <w:rPr/>
                    <w:t>2.6%</w:t>
                  </w:r>
                </w:p>
              </w:tc>
              <w:tc>
                <w:tcPr>
                  <w:tcW w:w="1041" w:type="dxa"/>
                  <w:tcBorders>
                    <w:top w:val="nil"/>
                    <w:bottom w:val="nil"/>
                  </w:tcBorders>
                </w:tcPr>
                <w:p>
                  <w:pPr>
                    <w:pStyle w:val="Compact"/>
                    <w:spacing w:before="36" w:after="36"/>
                    <w:jc w:val="center"/>
                    <w:rPr/>
                  </w:pPr>
                  <w:r>
                    <w:rPr/>
                    <w:t>20.8%</w:t>
                  </w:r>
                </w:p>
              </w:tc>
              <w:tc>
                <w:tcPr>
                  <w:tcW w:w="1042" w:type="dxa"/>
                  <w:tcBorders>
                    <w:top w:val="nil"/>
                    <w:bottom w:val="nil"/>
                  </w:tcBorders>
                </w:tcPr>
                <w:p>
                  <w:pPr>
                    <w:pStyle w:val="Compact"/>
                    <w:spacing w:before="36" w:after="36"/>
                    <w:jc w:val="center"/>
                    <w:rPr/>
                  </w:pPr>
                  <w:r>
                    <w:rPr/>
                    <w:t>93.0%</w:t>
                  </w:r>
                </w:p>
              </w:tc>
            </w:tr>
            <w:tr>
              <w:trPr/>
              <w:tc>
                <w:tcPr>
                  <w:tcW w:w="2894" w:type="dxa"/>
                  <w:tcBorders>
                    <w:top w:val="nil"/>
                    <w:bottom w:val="nil"/>
                  </w:tcBorders>
                </w:tcPr>
                <w:p>
                  <w:pPr>
                    <w:pStyle w:val="Compact"/>
                    <w:spacing w:before="36" w:after="36"/>
                    <w:jc w:val="left"/>
                    <w:rPr/>
                  </w:pPr>
                  <w:r>
                    <w:rPr/>
                    <w:t>Chose the first inspected hotel</w:t>
                  </w:r>
                </w:p>
              </w:tc>
              <w:tc>
                <w:tcPr>
                  <w:tcW w:w="1042" w:type="dxa"/>
                  <w:tcBorders>
                    <w:top w:val="nil"/>
                    <w:bottom w:val="nil"/>
                  </w:tcBorders>
                </w:tcPr>
                <w:p>
                  <w:pPr>
                    <w:pStyle w:val="Compact"/>
                    <w:spacing w:before="36" w:after="36"/>
                    <w:jc w:val="center"/>
                    <w:rPr/>
                  </w:pPr>
                  <w:r>
                    <w:rPr/>
                    <w:t>98.2%</w:t>
                  </w:r>
                </w:p>
              </w:tc>
              <w:tc>
                <w:tcPr>
                  <w:tcW w:w="1041" w:type="dxa"/>
                  <w:tcBorders>
                    <w:top w:val="nil"/>
                    <w:bottom w:val="nil"/>
                  </w:tcBorders>
                </w:tcPr>
                <w:p>
                  <w:pPr>
                    <w:pStyle w:val="Compact"/>
                    <w:spacing w:before="36" w:after="36"/>
                    <w:jc w:val="center"/>
                    <w:rPr/>
                  </w:pPr>
                  <w:r>
                    <w:rPr/>
                    <w:t>15.6%</w:t>
                  </w:r>
                </w:p>
              </w:tc>
              <w:tc>
                <w:tcPr>
                  <w:tcW w:w="1041" w:type="dxa"/>
                  <w:tcBorders>
                    <w:top w:val="nil"/>
                    <w:bottom w:val="nil"/>
                  </w:tcBorders>
                </w:tcPr>
                <w:p>
                  <w:pPr>
                    <w:pStyle w:val="Compact"/>
                    <w:spacing w:before="36" w:after="36"/>
                    <w:jc w:val="center"/>
                    <w:rPr/>
                  </w:pPr>
                  <w:r>
                    <w:rPr/>
                    <w:t>62.0%</w:t>
                  </w:r>
                </w:p>
              </w:tc>
              <w:tc>
                <w:tcPr>
                  <w:tcW w:w="1040" w:type="dxa"/>
                  <w:tcBorders>
                    <w:top w:val="nil"/>
                    <w:bottom w:val="nil"/>
                  </w:tcBorders>
                </w:tcPr>
                <w:p>
                  <w:pPr>
                    <w:pStyle w:val="Compact"/>
                    <w:spacing w:before="36" w:after="36"/>
                    <w:jc w:val="center"/>
                    <w:rPr/>
                  </w:pPr>
                  <w:r>
                    <w:rPr/>
                    <w:t>99.8%</w:t>
                  </w:r>
                </w:p>
              </w:tc>
              <w:tc>
                <w:tcPr>
                  <w:tcW w:w="1041" w:type="dxa"/>
                  <w:tcBorders>
                    <w:top w:val="nil"/>
                    <w:bottom w:val="nil"/>
                  </w:tcBorders>
                </w:tcPr>
                <w:p>
                  <w:pPr>
                    <w:pStyle w:val="Compact"/>
                    <w:spacing w:before="36" w:after="36"/>
                    <w:jc w:val="center"/>
                    <w:rPr/>
                  </w:pPr>
                  <w:r>
                    <w:rPr/>
                    <w:t>60.4%</w:t>
                  </w:r>
                </w:p>
              </w:tc>
              <w:tc>
                <w:tcPr>
                  <w:tcW w:w="1042" w:type="dxa"/>
                  <w:tcBorders>
                    <w:top w:val="nil"/>
                    <w:bottom w:val="nil"/>
                  </w:tcBorders>
                </w:tcPr>
                <w:p>
                  <w:pPr>
                    <w:pStyle w:val="Compact"/>
                    <w:spacing w:before="36" w:after="36"/>
                    <w:jc w:val="center"/>
                    <w:rPr/>
                  </w:pPr>
                  <w:r>
                    <w:rPr/>
                    <w:t>—</w:t>
                  </w:r>
                </w:p>
              </w:tc>
            </w:tr>
            <w:tr>
              <w:trPr/>
              <w:tc>
                <w:tcPr>
                  <w:tcW w:w="2894" w:type="dxa"/>
                  <w:tcBorders>
                    <w:top w:val="nil"/>
                    <w:bottom w:val="nil"/>
                  </w:tcBorders>
                </w:tcPr>
                <w:p>
                  <w:pPr>
                    <w:pStyle w:val="Compact"/>
                    <w:spacing w:before="36" w:after="36"/>
                    <w:jc w:val="left"/>
                    <w:rPr/>
                  </w:pPr>
                  <w:r>
                    <w:rPr/>
                    <w:t>Position of the chosen hotel (</w:t>
                  </w:r>
                  <w:r>
                    <w:rPr>
                      <w:i/>
                      <w:iCs/>
                    </w:rPr>
                    <w:t>M</w:t>
                  </w:r>
                  <w:r>
                    <w:rPr/>
                    <w:t>)</w:t>
                  </w:r>
                </w:p>
              </w:tc>
              <w:tc>
                <w:tcPr>
                  <w:tcW w:w="1042" w:type="dxa"/>
                  <w:tcBorders>
                    <w:top w:val="nil"/>
                    <w:bottom w:val="nil"/>
                  </w:tcBorders>
                </w:tcPr>
                <w:p>
                  <w:pPr>
                    <w:pStyle w:val="Compact"/>
                    <w:spacing w:before="36" w:after="36"/>
                    <w:jc w:val="center"/>
                    <w:rPr/>
                  </w:pPr>
                  <w:r>
                    <w:rPr/>
                    <w:t>47.58</w:t>
                  </w:r>
                </w:p>
              </w:tc>
              <w:tc>
                <w:tcPr>
                  <w:tcW w:w="1041" w:type="dxa"/>
                  <w:tcBorders>
                    <w:top w:val="nil"/>
                    <w:bottom w:val="nil"/>
                  </w:tcBorders>
                </w:tcPr>
                <w:p>
                  <w:pPr>
                    <w:pStyle w:val="Compact"/>
                    <w:spacing w:before="36" w:after="36"/>
                    <w:jc w:val="center"/>
                    <w:rPr/>
                  </w:pPr>
                  <w:r>
                    <w:rPr/>
                    <w:t>33.45</w:t>
                  </w:r>
                </w:p>
              </w:tc>
              <w:tc>
                <w:tcPr>
                  <w:tcW w:w="1041" w:type="dxa"/>
                  <w:tcBorders>
                    <w:top w:val="nil"/>
                    <w:bottom w:val="nil"/>
                  </w:tcBorders>
                </w:tcPr>
                <w:p>
                  <w:pPr>
                    <w:pStyle w:val="Compact"/>
                    <w:spacing w:before="36" w:after="36"/>
                    <w:jc w:val="center"/>
                    <w:rPr/>
                  </w:pPr>
                  <w:r>
                    <w:rPr/>
                    <w:t>43.97</w:t>
                  </w:r>
                </w:p>
              </w:tc>
              <w:tc>
                <w:tcPr>
                  <w:tcW w:w="1040" w:type="dxa"/>
                  <w:tcBorders>
                    <w:top w:val="nil"/>
                    <w:bottom w:val="nil"/>
                  </w:tcBorders>
                </w:tcPr>
                <w:p>
                  <w:pPr>
                    <w:pStyle w:val="Compact"/>
                    <w:spacing w:before="36" w:after="36"/>
                    <w:jc w:val="center"/>
                    <w:rPr/>
                  </w:pPr>
                  <w:r>
                    <w:rPr/>
                    <w:t>49.46</w:t>
                  </w:r>
                </w:p>
              </w:tc>
              <w:tc>
                <w:tcPr>
                  <w:tcW w:w="1041" w:type="dxa"/>
                  <w:tcBorders>
                    <w:top w:val="nil"/>
                    <w:bottom w:val="nil"/>
                  </w:tcBorders>
                </w:tcPr>
                <w:p>
                  <w:pPr>
                    <w:pStyle w:val="Compact"/>
                    <w:spacing w:before="36" w:after="36"/>
                    <w:jc w:val="center"/>
                    <w:rPr/>
                  </w:pPr>
                  <w:r>
                    <w:rPr/>
                    <w:t>49.72</w:t>
                  </w:r>
                </w:p>
              </w:tc>
              <w:tc>
                <w:tcPr>
                  <w:tcW w:w="1042" w:type="dxa"/>
                  <w:tcBorders>
                    <w:top w:val="nil"/>
                    <w:bottom w:val="nil"/>
                  </w:tcBorders>
                </w:tcPr>
                <w:p>
                  <w:pPr>
                    <w:pStyle w:val="Compact"/>
                    <w:spacing w:before="36" w:after="36"/>
                    <w:jc w:val="center"/>
                    <w:rPr/>
                  </w:pPr>
                  <w:r>
                    <w:rPr/>
                    <w:t>—</w:t>
                  </w:r>
                </w:p>
              </w:tc>
            </w:tr>
            <w:tr>
              <w:trPr/>
              <w:tc>
                <w:tcPr>
                  <w:tcW w:w="2894" w:type="dxa"/>
                  <w:tcBorders>
                    <w:top w:val="nil"/>
                    <w:bottom w:val="single" w:sz="12" w:space="0" w:color="000000"/>
                  </w:tcBorders>
                </w:tcPr>
                <w:p>
                  <w:pPr>
                    <w:pStyle w:val="Compact"/>
                    <w:spacing w:before="36" w:after="36"/>
                    <w:jc w:val="left"/>
                    <w:rPr/>
                  </w:pPr>
                  <w:r>
                    <w:rPr/>
                    <w:t>Modal choice proportion</w:t>
                  </w:r>
                </w:p>
              </w:tc>
              <w:tc>
                <w:tcPr>
                  <w:tcW w:w="1042" w:type="dxa"/>
                  <w:tcBorders>
                    <w:top w:val="nil"/>
                    <w:bottom w:val="single" w:sz="12" w:space="0" w:color="000000"/>
                  </w:tcBorders>
                </w:tcPr>
                <w:p>
                  <w:pPr>
                    <w:pStyle w:val="Compact"/>
                    <w:spacing w:before="36" w:after="36"/>
                    <w:jc w:val="center"/>
                    <w:rPr/>
                  </w:pPr>
                  <w:r>
                    <w:rPr/>
                    <w:t>95.8%</w:t>
                  </w:r>
                </w:p>
              </w:tc>
              <w:tc>
                <w:tcPr>
                  <w:tcW w:w="1041" w:type="dxa"/>
                  <w:tcBorders>
                    <w:top w:val="nil"/>
                    <w:bottom w:val="single" w:sz="12" w:space="0" w:color="000000"/>
                  </w:tcBorders>
                </w:tcPr>
                <w:p>
                  <w:pPr>
                    <w:pStyle w:val="Compact"/>
                    <w:spacing w:before="36" w:after="36"/>
                    <w:jc w:val="center"/>
                    <w:rPr/>
                  </w:pPr>
                  <w:r>
                    <w:rPr/>
                    <w:t>41.0%</w:t>
                  </w:r>
                </w:p>
              </w:tc>
              <w:tc>
                <w:tcPr>
                  <w:tcW w:w="1041" w:type="dxa"/>
                  <w:tcBorders>
                    <w:top w:val="nil"/>
                    <w:bottom w:val="single" w:sz="12" w:space="0" w:color="000000"/>
                  </w:tcBorders>
                </w:tcPr>
                <w:p>
                  <w:pPr>
                    <w:pStyle w:val="Compact"/>
                    <w:spacing w:before="36" w:after="36"/>
                    <w:jc w:val="center"/>
                    <w:rPr/>
                  </w:pPr>
                  <w:r>
                    <w:rPr/>
                    <w:t>61.4%</w:t>
                  </w:r>
                </w:p>
              </w:tc>
              <w:tc>
                <w:tcPr>
                  <w:tcW w:w="1040" w:type="dxa"/>
                  <w:tcBorders>
                    <w:top w:val="nil"/>
                    <w:bottom w:val="single" w:sz="12" w:space="0" w:color="000000"/>
                  </w:tcBorders>
                </w:tcPr>
                <w:p>
                  <w:pPr>
                    <w:pStyle w:val="Compact"/>
                    <w:spacing w:before="36" w:after="36"/>
                    <w:jc w:val="center"/>
                    <w:rPr/>
                  </w:pPr>
                  <w:r>
                    <w:rPr/>
                    <w:t>100.0%</w:t>
                  </w:r>
                </w:p>
              </w:tc>
              <w:tc>
                <w:tcPr>
                  <w:tcW w:w="1041" w:type="dxa"/>
                  <w:tcBorders>
                    <w:top w:val="nil"/>
                    <w:bottom w:val="single" w:sz="12" w:space="0" w:color="000000"/>
                  </w:tcBorders>
                </w:tcPr>
                <w:p>
                  <w:pPr>
                    <w:pStyle w:val="Compact"/>
                    <w:spacing w:before="36" w:after="36"/>
                    <w:jc w:val="center"/>
                    <w:rPr/>
                  </w:pPr>
                  <w:r>
                    <w:rPr/>
                    <w:t>55.4%</w:t>
                  </w:r>
                </w:p>
              </w:tc>
              <w:tc>
                <w:tcPr>
                  <w:tcW w:w="1042" w:type="dxa"/>
                  <w:tcBorders>
                    <w:top w:val="nil"/>
                    <w:bottom w:val="single" w:sz="12" w:space="0" w:color="000000"/>
                  </w:tcBorders>
                </w:tcPr>
                <w:p>
                  <w:pPr>
                    <w:pStyle w:val="Compact"/>
                    <w:spacing w:before="36" w:after="36"/>
                    <w:jc w:val="center"/>
                    <w:rPr/>
                  </w:pPr>
                  <w:r>
                    <w:rPr/>
                    <w:t>—</w:t>
                  </w:r>
                  <w:bookmarkStart w:id="7" w:name="tbl-descriptive-stats"/>
                  <w:bookmarkEnd w:id="7"/>
                </w:p>
              </w:tc>
            </w:tr>
          </w:tbl>
          <w:p>
            <w:pPr>
              <w:pStyle w:val="Normal"/>
              <w:spacing w:before="0" w:after="200"/>
              <w:jc w:val="left"/>
              <w:rPr>
                <w:sz w:val="24"/>
              </w:rPr>
            </w:pPr>
            <w:r>
              <w:rPr>
                <w:sz w:val="24"/>
              </w:rPr>
            </w:r>
          </w:p>
        </w:tc>
      </w:tr>
    </w:tbl>
    <w:p>
      <w:pPr>
        <w:pStyle w:val="TableNote"/>
        <w:rPr/>
      </w:pPr>
      <w:r>
        <w:rPr>
          <w:i/>
          <w:iCs/>
        </w:rPr>
        <w:t>Note.</w:t>
      </w:r>
      <w:r>
        <w:rPr/>
        <w:t xml:space="preserve"> LLMs are shown at their provider-default reasoning effort; statistics for all effort levels are reported in </w:t>
      </w:r>
      <w:hyperlink w:anchor="apptbl-effort-descriptive">
        <w:r>
          <w:rPr>
            <w:rStyle w:val="Hyperlink"/>
          </w:rPr>
          <w:t>Table W2</w:t>
        </w:r>
      </w:hyperlink>
      <w:r>
        <w:rPr/>
        <w:t>. Human benchmark data adapted from Ursu (2018), Table 1; the human sample includes only impressions with one or more clicks. Em-dashes (—) indicate metrics not available in the human field data. The distribution of Pro is right-skewed (</w:t>
      </w:r>
      <w:hyperlink w:anchor="appfig-insp-hist">
        <w:r>
          <w:rPr>
            <w:rStyle w:val="Hyperlink"/>
          </w:rPr>
          <w:t>Figure W1</w:t>
        </w:r>
      </w:hyperlink>
      <w:r>
        <w:rPr/>
        <w:t>).</w:t>
      </w:r>
    </w:p>
    <w:p>
      <w:pPr>
        <w:pStyle w:val="Heading3"/>
        <w:rPr/>
      </w:pPr>
      <w:bookmarkStart w:id="8" w:name="position-effect"/>
      <w:r>
        <w:rPr/>
        <w:t>Position effect</w:t>
      </w:r>
    </w:p>
    <w:p>
      <w:pPr>
        <w:pStyle w:val="FirstParagraph"/>
        <w:rPr/>
      </w:pPr>
      <w:r>
        <w:rPr/>
        <w:t xml:space="preserve">We estimate the effect of position with linear probability models (ordinary least squares regressions of a binary outcome) of </w:t>
      </w:r>
      <w:r>
        <w:rPr>
          <w:i/>
          <w:iCs/>
        </w:rPr>
        <w:t>Inspected</w:t>
      </w:r>
      <w:r>
        <w:rPr/>
        <w:t xml:space="preserve"> and </w:t>
      </w:r>
      <w:r>
        <w:rPr>
          <w:i/>
          <w:iCs/>
        </w:rPr>
        <w:t>Chosen</w:t>
      </w:r>
      <w:r>
        <w:rPr/>
        <w:t>, separately for each LLM × effort condition, controlling for price, review score, chain, and promotion. The coefficient on position in the linear specification measures the position penalty—the reduction in the probability of inspection or choice from moving a listing down by one rank—which is directly comparable with the human benchmark. Because the position penalty cannot distinguish a monotone decline from a U-shaped relationship, we also estimate a linear probability model that adds the square of position (rescaled to the unit interval) to measure the middle penalty. This quadratic term measures the extent to which listings in the middle of the page fall below the straight line between the top and the bottom, or the lost-in-the-middle effect (Liu et al. 2024).</w:t>
      </w:r>
      <w:r>
        <w:rPr>
          <w:rStyle w:val="FootnoteReference"/>
        </w:rPr>
        <w:footnoteReference w:id="3"/>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spacing w:before="36" w:after="36"/>
              <w:jc w:val="center"/>
              <w:rPr/>
            </w:pPr>
            <w:bookmarkStart w:id="9" w:name="fig-position-effect"/>
            <w:r>
              <w:rPr/>
              <w:drawing>
                <wp:inline distT="0" distB="0" distL="0" distR="0">
                  <wp:extent cx="5943600" cy="250698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5943600" cy="2506980"/>
                          </a:xfrm>
                          <a:prstGeom prst="rect">
                            <a:avLst/>
                          </a:prstGeom>
                          <a:noFill/>
                        </pic:spPr>
                      </pic:pic>
                    </a:graphicData>
                  </a:graphic>
                </wp:inline>
              </w:drawing>
            </w:r>
          </w:p>
          <w:p>
            <w:pPr>
              <w:pStyle w:val="ImageCaption"/>
              <w:keepNext w:val="true"/>
              <w:spacing w:before="240" w:after="120"/>
              <w:ind w:hanging="0" w:left="0"/>
              <w:jc w:val="left"/>
              <w:rPr/>
            </w:pPr>
            <w:r>
              <w:rPr>
                <w:b/>
                <w:bCs/>
                <w:i w:val="false"/>
                <w:iCs w:val="false"/>
              </w:rPr>
              <w:t>Fig. 1</w:t>
            </w:r>
            <w:r>
              <w:rPr>
                <w:i w:val="false"/>
                <w:iCs w:val="false"/>
              </w:rPr>
              <w:t xml:space="preserve"> Position effect on inspection and choice by reasoning effort, compared with human consumers</w:t>
            </w:r>
            <w:bookmarkEnd w:id="9"/>
          </w:p>
        </w:tc>
      </w:tr>
    </w:tbl>
    <w:p>
      <w:pPr>
        <w:pStyle w:val="TableNote"/>
        <w:rPr/>
      </w:pPr>
      <w:r>
        <w:rPr>
          <w:i/>
          <w:iCs/>
        </w:rPr>
        <w:t>Note.</w:t>
      </w:r>
      <w:r>
        <w:rPr/>
        <w:t xml:space="preserve"> Points are coefficients on position from linear probability models estimated separately for each LLM and reasoning effort level (</w:t>
      </w:r>
      <w:hyperlink w:anchor="apptbl-ols-inspected">
        <w:r>
          <w:rPr>
            <w:rStyle w:val="Hyperlink"/>
          </w:rPr>
          <w:t>Table W3</w:t>
        </w:r>
      </w:hyperlink>
      <w:r>
        <w:rPr/>
        <w:t xml:space="preserve">; </w:t>
      </w:r>
      <w:hyperlink w:anchor="apptbl-ols-chosen">
        <w:r>
          <w:rPr>
            <w:rStyle w:val="Hyperlink"/>
          </w:rPr>
          <w:t>Table W4</w:t>
        </w:r>
      </w:hyperlink>
      <w:r>
        <w:rPr/>
        <w:t>), expressed as the change in the probability of inspection or choice from moving a listing down by one rank. For inspection, a value of −0.0005 indicates that each rank lower reduces the probability that a listing is inspected by 0.05 percentage points. For choice, a value of −0.0001 indicates a reduction of 0.01 percentage points per rank. Models control for price, review score, chain, and promotion. The dashed line marks the human benchmark from Ursu (2018), Table 2. Error bars are 95% confidence intervals based on standard errors clustered at the session level.</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spacing w:before="36" w:after="36"/>
              <w:jc w:val="center"/>
              <w:rPr/>
            </w:pPr>
            <w:bookmarkStart w:id="10" w:name="fig-effort-emm"/>
            <w:r>
              <w:rPr/>
              <w:drawing>
                <wp:inline distT="0" distB="0" distL="0" distR="0">
                  <wp:extent cx="5943600" cy="250634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2506345"/>
                          </a:xfrm>
                          <a:prstGeom prst="rect">
                            <a:avLst/>
                          </a:prstGeom>
                          <a:noFill/>
                        </pic:spPr>
                      </pic:pic>
                    </a:graphicData>
                  </a:graphic>
                </wp:inline>
              </w:drawing>
            </w:r>
          </w:p>
          <w:p>
            <w:pPr>
              <w:pStyle w:val="ImageCaption"/>
              <w:keepNext w:val="true"/>
              <w:spacing w:before="240" w:after="120"/>
              <w:ind w:hanging="0" w:left="0"/>
              <w:jc w:val="left"/>
              <w:rPr/>
            </w:pPr>
            <w:r>
              <w:rPr>
                <w:b/>
                <w:bCs/>
                <w:i w:val="false"/>
                <w:iCs w:val="false"/>
              </w:rPr>
              <w:t>Fig. 2</w:t>
            </w:r>
            <w:r>
              <w:rPr>
                <w:i w:val="false"/>
                <w:iCs w:val="false"/>
              </w:rPr>
              <w:t xml:space="preserve"> Estimated marginal means of the quadratic position effect under varying reasoning effort levels</w:t>
            </w:r>
            <w:bookmarkEnd w:id="10"/>
          </w:p>
        </w:tc>
      </w:tr>
    </w:tbl>
    <w:p>
      <w:pPr>
        <w:pStyle w:val="TableNote"/>
        <w:rPr/>
      </w:pPr>
      <w:r>
        <w:rPr>
          <w:i/>
          <w:iCs/>
        </w:rPr>
        <w:t>Note.</w:t>
      </w:r>
      <w:r>
        <w:rPr/>
        <w:t xml:space="preserve"> Lines are predicted probabilities from linear probability models with position and position</w:t>
      </w:r>
      <w:r>
        <w:rPr/>
      </w:r>
      <m:oMath xmlns:m="http://schemas.openxmlformats.org/officeDocument/2006/math">
        <m:sSup>
          <m:e/>
          <m:sup>
            <m:r>
              <w:rPr>
                <w:rFonts w:ascii="Cambria Math" w:hAnsi="Cambria Math"/>
              </w:rPr>
              <m:t xml:space="preserve">2</m:t>
            </m:r>
          </m:sup>
        </m:sSup>
      </m:oMath>
      <w:r>
        <w:rPr/>
        <w:t xml:space="preserve"> (</w:t>
      </w:r>
      <w:hyperlink w:anchor="apptbl-effort-ols-sq-inspected">
        <w:r>
          <w:rPr>
            <w:rStyle w:val="Hyperlink"/>
          </w:rPr>
          <w:t>Table W5</w:t>
        </w:r>
      </w:hyperlink>
      <w:r>
        <w:rPr/>
        <w:t xml:space="preserve">; </w:t>
      </w:r>
      <w:hyperlink w:anchor="apptbl-effort-ols-sq-chosen">
        <w:r>
          <w:rPr>
            <w:rStyle w:val="Hyperlink"/>
          </w:rPr>
          <w:t>Table W6</w:t>
        </w:r>
      </w:hyperlink>
      <w:r>
        <w:rPr/>
        <w:t>), with controls held at their sample means. Shaded bands are 95% confidence intervals based on standard errors clustered at the session level.</w:t>
      </w:r>
    </w:p>
    <w:p>
      <w:pPr>
        <w:pStyle w:val="BodyText"/>
        <w:rPr/>
      </w:pPr>
      <w:r>
        <w:rPr/>
        <w:t>For inspection, the position penalty is small relative to that of human consumers. Moving a listing lower by one rank reduces its probability of inspection by at most 0.0008 for any LLM at any effort level, compared with 0.0019 for human consumers (</w:t>
      </w:r>
      <w:hyperlink w:anchor="fig-position-effect">
        <w:r>
          <w:rPr>
            <w:rStyle w:val="Hyperlink"/>
          </w:rPr>
          <w:t>Fig. 1</w:t>
        </w:r>
      </w:hyperlink>
      <w:r>
        <w:rPr/>
        <w:t xml:space="preserve">; </w:t>
      </w:r>
      <w:hyperlink w:anchor="apptbl-ols-inspected">
        <w:r>
          <w:rPr>
            <w:rStyle w:val="Hyperlink"/>
          </w:rPr>
          <w:t>Table W3</w:t>
        </w:r>
      </w:hyperlink>
      <w:r>
        <w:rPr/>
        <w:t>). For humans, the probability of clicking declines monotonically with rank, which makes the bottom of the listing page the least advantageous placement (</w:t>
      </w:r>
      <w:hyperlink w:anchor="apptbl-ols-inspected">
        <w:r>
          <w:rPr>
            <w:rStyle w:val="Hyperlink"/>
          </w:rPr>
          <w:t>Table W3</w:t>
        </w:r>
      </w:hyperlink>
      <w:r>
        <w:rPr/>
        <w:t>). In contrast, for AI agents, the probability of inspection reaches its minimum between ranks 62 and 81 and rises toward the bottom (</w:t>
      </w:r>
      <w:hyperlink w:anchor="fig-effort-emm">
        <w:r>
          <w:rPr>
            <w:rStyle w:val="Hyperlink"/>
          </w:rPr>
          <w:t>Fig. 2</w:t>
        </w:r>
      </w:hyperlink>
      <w:r>
        <w:rPr/>
        <w:t xml:space="preserve">), with a significant middle penalty in 12 of the 14 LLM × effort conditions (RQ1; </w:t>
      </w:r>
      <w:hyperlink w:anchor="apptbl-effort-ols-sq-inspected">
        <w:r>
          <w:rPr>
            <w:rStyle w:val="Hyperlink"/>
          </w:rPr>
          <w:t>Table W5</w:t>
        </w:r>
      </w:hyperlink>
      <w:r>
        <w:rPr/>
        <w:t>). Reasoning effort affects the middle penalty in inspection without a consistent direction.</w:t>
      </w:r>
      <w:r>
        <w:rPr>
          <w:rStyle w:val="FootnoteReference"/>
        </w:rPr>
        <w:footnoteReference w:id="4"/>
      </w:r>
    </w:p>
    <w:p>
      <w:pPr>
        <w:pStyle w:val="BodyText"/>
        <w:rPr/>
      </w:pPr>
      <w:r>
        <w:rPr/>
        <w:t>For choice, the position penalty ranges from statistically indistinguishable from zero to approximately three times that of human consumers (</w:t>
      </w:r>
      <w:hyperlink w:anchor="fig-position-effect">
        <w:r>
          <w:rPr>
            <w:rStyle w:val="Hyperlink"/>
          </w:rPr>
          <w:t>Fig. 1</w:t>
        </w:r>
      </w:hyperlink>
      <w:r>
        <w:rPr/>
        <w:t xml:space="preserve">; </w:t>
      </w:r>
      <w:hyperlink w:anchor="apptbl-ols-chosen">
        <w:r>
          <w:rPr>
            <w:rStyle w:val="Hyperlink"/>
          </w:rPr>
          <w:t>Table W4</w:t>
        </w:r>
      </w:hyperlink>
      <w:r>
        <w:rPr/>
        <w:t xml:space="preserve">). The middle penalty in choice is significant in 8 of the 14 conditions, predominantly at lower levels of reasoning effort, with the probability of choice reaching its minimum between ranks 60 and 90 (RQ2; </w:t>
      </w:r>
      <w:hyperlink w:anchor="fig-effort-emm">
        <w:r>
          <w:rPr>
            <w:rStyle w:val="Hyperlink"/>
          </w:rPr>
          <w:t>Fig. 2</w:t>
        </w:r>
      </w:hyperlink>
      <w:r>
        <w:rPr/>
        <w:t xml:space="preserve">; </w:t>
      </w:r>
      <w:hyperlink w:anchor="apptbl-effort-ols-sq-chosen">
        <w:r>
          <w:rPr>
            <w:rStyle w:val="Hyperlink"/>
          </w:rPr>
          <w:t>Table W6</w:t>
        </w:r>
      </w:hyperlink>
      <w:r>
        <w:rPr/>
        <w:t xml:space="preserve">). Importantly, higher reasoning effort reduces the middle penalty for every LLM that exhibits the penalty (Flash Lite, </w:t>
      </w:r>
      <w:r>
        <w:rPr/>
      </w:r>
      <m:oMath xmlns:m="http://schemas.openxmlformats.org/officeDocument/2006/math">
        <m:sSup>
          <m:e>
            <m:r>
              <w:rPr>
                <w:rFonts w:ascii="Cambria Math" w:hAnsi="Cambria Math"/>
              </w:rPr>
              <m:t xml:space="preserve">χ</m:t>
            </m:r>
          </m:e>
          <m:sup>
            <m:r>
              <w:rPr>
                <w:rFonts w:ascii="Cambria Math" w:hAnsi="Cambria Math"/>
              </w:rPr>
              <m:t xml:space="preserve">2</m:t>
            </m:r>
          </m:sup>
        </m:sSup>
      </m:oMath>
      <w:r>
        <w:rPr/>
        <w:t xml:space="preserve">(6) = 51.11; Pro, </w:t>
      </w:r>
      <w:r>
        <w:rPr/>
      </w:r>
      <m:oMath xmlns:m="http://schemas.openxmlformats.org/officeDocument/2006/math">
        <m:sSup>
          <m:e>
            <m:r>
              <w:rPr>
                <w:rFonts w:ascii="Cambria Math" w:hAnsi="Cambria Math"/>
              </w:rPr>
              <m:t xml:space="preserve">χ</m:t>
            </m:r>
          </m:e>
          <m:sup>
            <m:r>
              <w:rPr>
                <w:rFonts w:ascii="Cambria Math" w:hAnsi="Cambria Math"/>
              </w:rPr>
              <m:t xml:space="preserve">2</m:t>
            </m:r>
          </m:sup>
        </m:sSup>
      </m:oMath>
      <w:r>
        <w:rPr/>
        <w:t xml:space="preserve">(4) = 54.85; Sonnet, </w:t>
      </w:r>
      <w:r>
        <w:rPr/>
      </w:r>
      <m:oMath xmlns:m="http://schemas.openxmlformats.org/officeDocument/2006/math">
        <m:sSup>
          <m:e>
            <m:r>
              <w:rPr>
                <w:rFonts w:ascii="Cambria Math" w:hAnsi="Cambria Math"/>
              </w:rPr>
              <m:t xml:space="preserve">χ</m:t>
            </m:r>
          </m:e>
          <m:sup>
            <m:r>
              <w:rPr>
                <w:rFonts w:ascii="Cambria Math" w:hAnsi="Cambria Math"/>
              </w:rPr>
              <m:t xml:space="preserve">2</m:t>
            </m:r>
          </m:sup>
        </m:sSup>
      </m:oMath>
      <w:r>
        <w:rPr/>
        <w:t xml:space="preserve">(2) = 292.33; all </w:t>
      </w:r>
      <w:r>
        <w:rPr>
          <w:i/>
          <w:iCs/>
        </w:rPr>
        <w:t>p</w:t>
      </w:r>
      <w:r>
        <w:rPr/>
        <w:t xml:space="preserve">s &lt; 0.001; Luna, </w:t>
      </w:r>
      <w:r>
        <w:rPr/>
      </w:r>
      <m:oMath xmlns:m="http://schemas.openxmlformats.org/officeDocument/2006/math">
        <m:sSup>
          <m:e>
            <m:r>
              <w:rPr>
                <w:rFonts w:ascii="Cambria Math" w:hAnsi="Cambria Math"/>
              </w:rPr>
              <m:t xml:space="preserve">χ</m:t>
            </m:r>
          </m:e>
          <m:sup>
            <m:r>
              <w:rPr>
                <w:rFonts w:ascii="Cambria Math" w:hAnsi="Cambria Math"/>
              </w:rPr>
              <m:t xml:space="preserve">2</m:t>
            </m:r>
          </m:sup>
        </m:sSup>
      </m:oMath>
      <w:r>
        <w:rPr/>
        <w:t xml:space="preserve">(4) = 17.70, </w:t>
      </w:r>
      <w:r>
        <w:rPr>
          <w:i/>
          <w:iCs/>
        </w:rPr>
        <w:t>p</w:t>
      </w:r>
      <w:r>
        <w:rPr/>
        <w:t xml:space="preserve"> &lt; 0.01). The middle penalty becomes non-significant at the highest effort level for Flash Lite, Pro, and Sonnet and is reduced by 63% for Luna. Flash exhibits no middle penalty in choice at either effort level (RQ3).</w:t>
      </w:r>
      <w:bookmarkEnd w:id="8"/>
    </w:p>
    <w:p>
      <w:pPr>
        <w:pStyle w:val="Heading3"/>
        <w:rPr/>
      </w:pPr>
      <w:bookmarkStart w:id="11" w:name="cost-of-position-neutral-choice"/>
      <w:r>
        <w:rPr/>
        <w:t>Cost of position-neutral choice</w:t>
      </w:r>
    </w:p>
    <w:p>
      <w:pPr>
        <w:pStyle w:val="FirstParagraph"/>
        <w:rPr/>
      </w:pPr>
      <w:r>
        <w:rPr/>
        <w:t>For sellers and consumers, the relevant question is whether a delegated AI shopping agent’s choice depends on position at all. We define choice as position-neutral when the probability that a listing is chosen does not depend on its position on the listing page, conditional on its displayed attributes (price, review score, chain, and promotion). We assess this with a joint test that the coefficients on position and position</w:t>
      </w:r>
      <w:r>
        <w:rPr/>
      </w:r>
      <m:oMath xmlns:m="http://schemas.openxmlformats.org/officeDocument/2006/math">
        <m:sSup>
          <m:e/>
          <m:sup>
            <m:r>
              <w:rPr>
                <w:rFonts w:ascii="Cambria Math" w:hAnsi="Cambria Math"/>
              </w:rPr>
              <m:t xml:space="preserve">2</m:t>
            </m:r>
          </m:sup>
        </m:sSup>
      </m:oMath>
      <w:r>
        <w:rPr/>
        <w:t xml:space="preserve"> in the quadratic linear probability model of choice are both zero (</w:t>
      </w:r>
      <w:hyperlink w:anchor="apptbl-effort-cost">
        <w:r>
          <w:rPr>
            <w:rStyle w:val="Hyperlink"/>
          </w:rPr>
          <w:t>Table W11</w:t>
        </w:r>
      </w:hyperlink>
      <w:r>
        <w:rPr/>
        <w:t>). We treat a configuration as position-neutral when this test does not reject the null hypothesis at the 5% level, and position-dependent otherwise.</w:t>
      </w:r>
    </w:p>
    <w:p>
      <w:pPr>
        <w:pStyle w:val="BodyText"/>
        <w:rPr/>
      </w:pPr>
      <w:r>
        <w:rPr/>
        <w:t>Among these configurations, Flash Lite at high effort is the least expensive position-neutral configuration, at $0.011 per session, which amounts to 4% of the cost of Pro ($0.28) and 12% of the cost of Sonnet ($0.096) at high effort, whereas Pro at low effort remains strongly position-dependent (</w:t>
      </w:r>
      <w:r>
        <w:rPr/>
      </w:r>
      <m:oMath xmlns:m="http://schemas.openxmlformats.org/officeDocument/2006/math">
        <m:sSup>
          <m:e>
            <m:r>
              <w:rPr>
                <w:rFonts w:ascii="Cambria Math" w:hAnsi="Cambria Math"/>
              </w:rPr>
              <m:t xml:space="preserve">χ</m:t>
            </m:r>
          </m:e>
          <m:sup>
            <m:r>
              <w:rPr>
                <w:rFonts w:ascii="Cambria Math" w:hAnsi="Cambria Math"/>
              </w:rPr>
              <m:t xml:space="preserve">2</m:t>
            </m:r>
          </m:sup>
        </m:sSup>
      </m:oMath>
      <w:r>
        <w:rPr/>
        <w:t xml:space="preserve">(2) = 107.21, </w:t>
      </w:r>
      <w:r>
        <w:rPr>
          <w:i/>
          <w:iCs/>
        </w:rPr>
        <w:t>p</w:t>
      </w:r>
      <w:r>
        <w:rPr/>
        <w:t xml:space="preserve"> &lt; 0.001; </w:t>
      </w:r>
      <w:hyperlink w:anchor="apptbl-effort-cost">
        <w:r>
          <w:rPr>
            <w:rStyle w:val="Hyperlink"/>
          </w:rPr>
          <w:t>Table W11</w:t>
        </w:r>
      </w:hyperlink>
      <w:r>
        <w:rPr/>
        <w:t xml:space="preserve">). Raising the effort of Flash Lite from minimal to high does not increase its cost ($0.013 versus $0.011 per session), because the additional reasoning tokens are offset by fewer inspections (3.12 versus 1.91 per session). Luna, in contrast, remains position-dependent at every effort level (all </w:t>
      </w:r>
      <w:r>
        <w:rPr>
          <w:i/>
          <w:iCs/>
        </w:rPr>
        <w:t>p</w:t>
      </w:r>
      <w:r>
        <w:rPr/>
        <w:t>s &lt; 0.001).</w:t>
      </w:r>
      <w:bookmarkEnd w:id="11"/>
    </w:p>
    <w:p>
      <w:pPr>
        <w:pStyle w:val="Heading3"/>
        <w:rPr/>
      </w:pPr>
      <w:bookmarkStart w:id="12" w:name="robustness"/>
      <w:r>
        <w:rPr/>
        <w:t>Robustness</w:t>
      </w:r>
    </w:p>
    <w:p>
      <w:pPr>
        <w:pStyle w:val="FirstParagraph"/>
        <w:rPr/>
      </w:pPr>
      <w:r>
        <w:rPr/>
        <w:t>We next examine whether the wording of the prompt, the framing of the booking tool, and the display of hotel names could account for the main findings. Because replicating each check across all 14 LLM × effort conditions would require 21,000 additional sessions, we conduct each check at the default reasoning effort of the LLM that is most susceptible to the corresponding confound, where an artifact of the design would be most readily detected.</w:t>
      </w:r>
    </w:p>
    <w:p>
      <w:pPr>
        <w:pStyle w:val="BodyText"/>
        <w:rPr/>
      </w:pPr>
      <w:r>
        <w:rPr/>
        <w:t>A first concern is that two instructions in the main prompt (i.e., asking the agent which hotel it would book and instructing it to stop once it has sufficient information) may have shaped the AI agents’ behavior. The former instruction could inflate the conversion rate, while the latter could imply that several hotels should be examined, thereby increasing search relative to human consumers. We conducted this check with Flash Lite, whose significant curvilinear position effect on both inspection and choice at its default reasoning effort would make any artifact of the prompt most apparent.</w:t>
      </w:r>
    </w:p>
    <w:p>
      <w:pPr>
        <w:pStyle w:val="BodyText"/>
        <w:rPr/>
      </w:pPr>
      <w:r>
        <w:rPr/>
        <w:t>We executed 500 sessions with a reduced prompt that states the trip parameters and the two available tools but omits both instructions (</w:t>
      </w:r>
      <w:hyperlink w:anchor="tbl-prompt-comparison">
        <w:r>
          <w:rPr>
            <w:rStyle w:val="Hyperlink"/>
          </w:rPr>
          <w:t>Table 1</w:t>
        </w:r>
      </w:hyperlink>
      <w:r>
        <w:rPr/>
        <w:t>, Alternative). Under this prompt, the conversion rate remains at 100%, and search remains deeper than in the human benchmark (</w:t>
      </w:r>
      <w:hyperlink w:anchor="apptbl-robustness-descriptive">
        <w:r>
          <w:rPr>
            <w:rStyle w:val="Hyperlink"/>
          </w:rPr>
          <w:t>Table W7</w:t>
        </w:r>
      </w:hyperlink>
      <w:r>
        <w:rPr/>
        <w:t xml:space="preserve">). Moreover, the curvilinear position effect replicates for both inspection and choice, with a negative linear term and a positive quadratic term (all </w:t>
      </w:r>
      <w:r>
        <w:rPr>
          <w:i/>
          <w:iCs/>
        </w:rPr>
        <w:t>p</w:t>
      </w:r>
      <w:r>
        <w:rPr/>
        <w:t xml:space="preserve">s &lt; 0.001; </w:t>
      </w:r>
      <w:hyperlink w:anchor="apptbl-robustness-ols">
        <w:r>
          <w:rPr>
            <w:rStyle w:val="Hyperlink"/>
          </w:rPr>
          <w:t>Table W8</w:t>
        </w:r>
      </w:hyperlink>
      <w:r>
        <w:rPr/>
        <w:t>).</w:t>
      </w:r>
    </w:p>
    <w:p>
      <w:pPr>
        <w:pStyle w:val="BodyText"/>
        <w:rPr/>
      </w:pPr>
      <w:r>
        <w:rPr/>
        <w:t xml:space="preserve">A second concern is that, even in the absence of an explicit recommendation question, a tool named </w:t>
      </w:r>
      <w:r>
        <w:rPr>
          <w:i/>
          <w:iCs/>
        </w:rPr>
        <w:t>submit_choice</w:t>
      </w:r>
      <w:r>
        <w:rPr/>
        <w:t xml:space="preserve"> may frame the termination of a session as the act of choosing, thereby discouraging the outside option. Therefore, we tested the </w:t>
      </w:r>
      <w:r>
        <w:rPr>
          <w:i/>
          <w:iCs/>
        </w:rPr>
        <w:t>Finish</w:t>
      </w:r>
      <w:r>
        <w:rPr/>
        <w:t xml:space="preserve"> condition, in which we removed the booking instruction and replaced </w:t>
      </w:r>
      <w:r>
        <w:rPr>
          <w:i/>
          <w:iCs/>
        </w:rPr>
        <w:t>submit_choice</w:t>
      </w:r>
      <w:r>
        <w:rPr/>
        <w:t xml:space="preserve"> with a </w:t>
      </w:r>
      <w:r>
        <w:rPr>
          <w:i/>
          <w:iCs/>
        </w:rPr>
        <w:t>finish</w:t>
      </w:r>
      <w:r>
        <w:rPr/>
        <w:t xml:space="preserve"> tool whose hotel argument is optional, which allows the AI agent to end the session without booking (</w:t>
      </w:r>
      <w:hyperlink w:anchor="tbl-prompt-comparison">
        <w:r>
          <w:rPr>
            <w:rStyle w:val="Hyperlink"/>
          </w:rPr>
          <w:t>Table 1</w:t>
        </w:r>
      </w:hyperlink>
      <w:r>
        <w:rPr/>
        <w:t xml:space="preserve">, Finish). We conducted this test with Flash because its choices are concentrated on a single hotel under the </w:t>
      </w:r>
      <w:r>
        <w:rPr>
          <w:i/>
          <w:iCs/>
        </w:rPr>
        <w:t>Main</w:t>
      </w:r>
      <w:r>
        <w:rPr/>
        <w:t xml:space="preserve"> condition. Thus, any shift toward the outside option would be attributable to the framing of the booking tool.</w:t>
      </w:r>
    </w:p>
    <w:p>
      <w:pPr>
        <w:pStyle w:val="BodyText"/>
        <w:rPr/>
      </w:pPr>
      <w:r>
        <w:rPr/>
        <w:t>Across 500 sessions, all sessions concluded with a booking (</w:t>
      </w:r>
      <w:hyperlink w:anchor="apptbl-robustness-descriptive">
        <w:r>
          <w:rPr>
            <w:rStyle w:val="Hyperlink"/>
          </w:rPr>
          <w:t>Table W7</w:t>
        </w:r>
      </w:hyperlink>
      <w:r>
        <w:rPr/>
        <w:t xml:space="preserve">). The curvilinear effect of position on inspection persisted, with a negative linear and a positive quadratic term (both </w:t>
      </w:r>
      <w:r>
        <w:rPr>
          <w:i/>
          <w:iCs/>
        </w:rPr>
        <w:t>p</w:t>
      </w:r>
      <w:r>
        <w:rPr/>
        <w:t xml:space="preserve">s &lt; 0.001). Similar to the </w:t>
      </w:r>
      <w:r>
        <w:rPr>
          <w:i/>
          <w:iCs/>
        </w:rPr>
        <w:t>Main</w:t>
      </w:r>
      <w:r>
        <w:rPr/>
        <w:t xml:space="preserve"> condition, choice showed no detectable dependence on position (</w:t>
      </w:r>
      <w:r>
        <w:rPr/>
      </w:r>
      <m:oMath xmlns:m="http://schemas.openxmlformats.org/officeDocument/2006/math">
        <m:sSup>
          <m:e>
            <m:r>
              <w:rPr>
                <w:rFonts w:ascii="Cambria Math" w:hAnsi="Cambria Math"/>
              </w:rPr>
              <m:t xml:space="preserve">χ</m:t>
            </m:r>
          </m:e>
          <m:sup>
            <m:r>
              <w:rPr>
                <w:rFonts w:ascii="Cambria Math" w:hAnsi="Cambria Math"/>
              </w:rPr>
              <m:t xml:space="preserve">2</m:t>
            </m:r>
          </m:sup>
        </m:sSup>
      </m:oMath>
      <w:r>
        <w:rPr/>
        <w:t xml:space="preserve">(2) = 2.71, </w:t>
      </w:r>
      <w:r>
        <w:rPr>
          <w:i/>
          <w:iCs/>
        </w:rPr>
        <w:t>p</w:t>
      </w:r>
      <w:r>
        <w:rPr/>
        <w:t xml:space="preserve"> = 0.258; </w:t>
      </w:r>
      <w:hyperlink w:anchor="apptbl-robustness-ols">
        <w:r>
          <w:rPr>
            <w:rStyle w:val="Hyperlink"/>
          </w:rPr>
          <w:t>Table W8</w:t>
        </w:r>
      </w:hyperlink>
      <w:r>
        <w:rPr/>
        <w:t>). These results indicate that the absence of the outside option is not an artifact of the booking tool.</w:t>
      </w:r>
    </w:p>
    <w:p>
      <w:pPr>
        <w:pStyle w:val="BodyText"/>
        <w:rPr/>
      </w:pPr>
      <w:r>
        <w:rPr/>
        <w:t xml:space="preserve">A third concern is that the concentration of Flash’s choices on a single listing may reflect familiarity with the hotel’s brand, acquired during pretraining, rather than the hotel attributes displayed on the listing page. In the </w:t>
      </w:r>
      <w:r>
        <w:rPr>
          <w:i/>
          <w:iCs/>
        </w:rPr>
        <w:t>No name</w:t>
      </w:r>
      <w:r>
        <w:rPr/>
        <w:t xml:space="preserve"> condition, we therefore removed hotel names from the listing page while retaining every other attribute and the main prompt.</w:t>
      </w:r>
    </w:p>
    <w:p>
      <w:pPr>
        <w:pStyle w:val="BodyText"/>
        <w:rPr/>
      </w:pPr>
      <w:r>
        <w:rPr/>
        <w:t xml:space="preserve">The percentage of the modal hotel choice was 93.8%, compared with 100% under the </w:t>
      </w:r>
      <w:r>
        <w:rPr>
          <w:i/>
          <w:iCs/>
        </w:rPr>
        <w:t>Main</w:t>
      </w:r>
      <w:r>
        <w:rPr/>
        <w:t xml:space="preserve"> condition (</w:t>
      </w:r>
      <w:hyperlink w:anchor="apptbl-robustness-descriptive">
        <w:r>
          <w:rPr>
            <w:rStyle w:val="Hyperlink"/>
          </w:rPr>
          <w:t>Table W7</w:t>
        </w:r>
      </w:hyperlink>
      <w:r>
        <w:rPr/>
        <w:t>). As in the main condition, position reduced the probability of inspection but had no detectable effect on choice (</w:t>
      </w:r>
      <w:hyperlink w:anchor="apptbl-robustness-ols">
        <w:r>
          <w:rPr>
            <w:rStyle w:val="Hyperlink"/>
          </w:rPr>
          <w:t>Table W8</w:t>
        </w:r>
      </w:hyperlink>
      <w:r>
        <w:rPr/>
        <w:t>). This modest decline suggests that hotel names contribute partly to the choice but that the convergence on a single listing is driven predominantly by its displayed attributes.</w:t>
      </w:r>
      <w:bookmarkEnd w:id="12"/>
    </w:p>
    <w:p>
      <w:pPr>
        <w:pStyle w:val="Heading3"/>
        <w:rPr/>
      </w:pPr>
      <w:bookmarkStart w:id="13" w:name="open-weight-models"/>
      <w:r>
        <w:rPr/>
        <w:t>Open-weight models</w:t>
      </w:r>
    </w:p>
    <w:p>
      <w:pPr>
        <w:pStyle w:val="FirstParagraph"/>
        <w:rPr/>
      </w:pPr>
      <w:r>
        <w:rPr/>
        <w:t xml:space="preserve">To assess whether the findings extend beyond proprietary LLMs, we replicated the </w:t>
      </w:r>
      <w:r>
        <w:rPr>
          <w:i/>
          <w:iCs/>
        </w:rPr>
        <w:t>Main</w:t>
      </w:r>
      <w:r>
        <w:rPr/>
        <w:t xml:space="preserve"> condition with four open-weight LLMs: Meta’s Muse Glimmer 30B, NVIDIA’s Nemotron 3.5 Lightning 30B A3B, Alibaba Cloud’s Qwen3.8 27B, and Google’s Gemma 4 31B (500 sessions each; </w:t>
      </w:r>
      <w:hyperlink w:anchor="apptbl-open-descriptive">
        <w:r>
          <w:rPr>
            <w:rStyle w:val="Hyperlink"/>
          </w:rPr>
          <w:t>Table W9</w:t>
        </w:r>
      </w:hyperlink>
      <w:r>
        <w:rPr/>
        <w:t>).</w:t>
      </w:r>
    </w:p>
    <w:p>
      <w:pPr>
        <w:pStyle w:val="BodyText"/>
        <w:rPr/>
      </w:pPr>
      <w:r>
        <w:rPr/>
        <w:t xml:space="preserve">Search remains deeper than in the human benchmark, although the outside option is selected only by Nemotron, in 2.2% of sessions. For inspection, the linear term on position is negative and significant for every LLM (all </w:t>
      </w:r>
      <w:r>
        <w:rPr>
          <w:i/>
          <w:iCs/>
        </w:rPr>
        <w:t>p</w:t>
      </w:r>
      <w:r>
        <w:rPr/>
        <w:t>s &lt; 0.01), and the quadratic term is positive and significant for three of the four LLMs (</w:t>
      </w:r>
      <w:hyperlink w:anchor="apptbl-open-ols">
        <w:r>
          <w:rPr>
            <w:rStyle w:val="Hyperlink"/>
          </w:rPr>
          <w:t>Table W10</w:t>
        </w:r>
      </w:hyperlink>
      <w:r>
        <w:rPr/>
        <w:t>). At the choice stage, Muse Glimmer exhibits the curvilinear pattern observed for Flash Lite and Luna, whereas neither position term is significant for Gemma and Nemotron. Qwen shows a small positive linear term (</w:t>
      </w:r>
      <w:r>
        <w:rPr>
          <w:i/>
          <w:iCs/>
        </w:rPr>
        <w:t>p</w:t>
      </w:r>
      <w:r>
        <w:rPr/>
        <w:t xml:space="preserve"> &lt; 0.05).</w:t>
      </w:r>
      <w:bookmarkEnd w:id="1"/>
      <w:bookmarkEnd w:id="6"/>
      <w:bookmarkEnd w:id="13"/>
    </w:p>
    <w:p>
      <w:pPr>
        <w:pStyle w:val="Heading1"/>
        <w:ind w:hanging="0"/>
        <w:rPr/>
      </w:pPr>
      <w:bookmarkStart w:id="14" w:name="conclusion"/>
      <w:r>
        <w:rPr/>
        <w:t>Conclusion</w:t>
      </w:r>
    </w:p>
    <w:p>
      <w:pPr>
        <w:pStyle w:val="FirstParagraph"/>
        <w:rPr/>
      </w:pPr>
      <w:r>
        <w:rPr/>
        <w:t>By randomizing the order of the hotel listings presented to AI agents, this research studied the value of rank for AI shopping agents. We found that, similar to humans, AI shopping agents can display a position bias (RQ1 and RQ2), but the nature and ramifications of this bias are different. AI agents’ position bias is concentrated in the middle rather than at the bottom of the page (Ursu 2018; Liu et al. 2024). Moreover, unlike human consideration sets, which typically hold a single alternative, AI agents inspected several listings. As a result, position could shape the AI agents’ consideration sets without affecting their final choices, particularly at higher levels of reasoning effort (RQ2).</w:t>
      </w:r>
    </w:p>
    <w:p>
      <w:pPr>
        <w:pStyle w:val="BodyText"/>
        <w:rPr/>
      </w:pPr>
      <w:r>
        <w:rPr/>
        <w:t>For platforms and consumers, these findings suggest that position-neutral choice can be obtained more economically by raising the reasoning effort of a less capable LLM than by deploying a more capable one. For example, Pro, the most capable Google LLM tested, remained strongly position-dependent at low effort at a cost of $0.037 per session, whereas Flash Lite at high effort showed no detectable dependence on position at $0.011 per session. Similarly, Pro attained position-neutral choice only at high effort, at a cost of $0.28 per session, approximately 25 times that of Flash Lite at high effort. However, the mitigating effect of reasoning effort was not uniform across LLMs, as Luna remained position-dependent even at its highest effort level. Therefore, platforms and consumers should verify the susceptibility to position effects of the specific LLM and configuration they deploy.</w:t>
      </w:r>
    </w:p>
    <w:p>
      <w:pPr>
        <w:pStyle w:val="BodyText"/>
        <w:rPr/>
      </w:pPr>
      <w:r>
        <w:rPr/>
        <w:t>These findings carry implications beyond position effects. AI agents concentrated their bookings on listings with high review scores and low prices (</w:t>
      </w:r>
      <w:hyperlink w:anchor="apptbl-ols-chosen">
        <w:r>
          <w:rPr>
            <w:rStyle w:val="Hyperlink"/>
          </w:rPr>
          <w:t>Table W4</w:t>
        </w:r>
      </w:hyperlink>
      <w:r>
        <w:rPr/>
        <w:t>), which mirrors human consumers (Chevalier and Mayzlin 2006; Floyd et al. 2014) and is consistent with other studies of AI shopping agents (Allouah et al. 2026; Cherep et al. 2026; Kireyev 2026; Wadi and Ma 2026b). Sellers may therefore benefit more from strengthening these signals (e.g., by soliciting reviews; Godes and Mayzlin 2009; Burtch et al. 2018; Wadi et al. 2026c, a) than from improving their placement.</w:t>
      </w:r>
    </w:p>
    <w:p>
      <w:pPr>
        <w:pStyle w:val="BodyText"/>
        <w:rPr/>
      </w:pPr>
      <w:r>
        <w:rPr/>
        <w:t>Our study has several limitations. We examined a single booking task with a fixed query and destination. Categories that differ in the number or complexity of attributes may produce different position effects. Moreover, we observe a pattern consistent with the lost-in-the-middle phenomenon but do not identify retrieval as the mechanism, which would require access to the internal activations of the LLMs. Costs are based on list prices, which change over time and do not reflect prompt caching, and the LLMs tested are moving targets whose positional biases may change with future releases. Future research could examine sponsored and personalized rankings, multi-page results, and the strategies sellers adopt when they optimize listings for AI agents rather than for human consumers.</w:t>
      </w:r>
      <w:bookmarkEnd w:id="14"/>
    </w:p>
    <w:p>
      <w:pPr>
        <w:pStyle w:val="Heading1"/>
        <w:ind w:hanging="0"/>
        <w:rPr/>
      </w:pPr>
      <w:bookmarkStart w:id="15" w:name="data-availability-statement"/>
      <w:r>
        <w:rPr/>
        <w:t>Data availability statement</w:t>
      </w:r>
    </w:p>
    <w:p>
      <w:pPr>
        <w:pStyle w:val="FirstParagraph"/>
        <w:rPr/>
      </w:pPr>
      <w:r>
        <w:rPr/>
        <w:t xml:space="preserve">The data and the code to reproduce the analysis </w:t>
      </w:r>
      <w:r>
        <w:rPr/>
        <w:t>are</w:t>
      </w:r>
      <w:r>
        <w:rPr/>
        <w:t xml:space="preserve"> available at the following anonymous repository:</w:t>
      </w:r>
    </w:p>
    <w:p>
      <w:pPr>
        <w:pStyle w:val="BodyText"/>
        <w:rPr/>
      </w:pPr>
      <w:r>
        <w:rPr/>
        <w:t>https://osf.io/vg8sn/overview?view_only=93557b5ec07745ceb19bf61e88f65ee1</w:t>
      </w:r>
      <w:bookmarkEnd w:id="15"/>
    </w:p>
    <w:p>
      <w:pPr>
        <w:pStyle w:val="Heading1"/>
        <w:ind w:hanging="0"/>
        <w:rPr/>
      </w:pPr>
      <w:bookmarkStart w:id="16" w:name="references"/>
      <w:r>
        <w:rPr/>
        <w:t>References</w:t>
      </w:r>
    </w:p>
    <w:p>
      <w:pPr>
        <w:pStyle w:val="Bibliography"/>
        <w:rPr/>
      </w:pPr>
      <w:bookmarkStart w:id="17" w:name="refs"/>
      <w:bookmarkStart w:id="18" w:name="ref-akchen2026consider"/>
      <w:r>
        <w:rPr/>
        <w:t>Akchen Y-C, Mitrofanov D (2026) Consider or choose? The role and power of consideration sets. Management Science 72:6025–6042</w:t>
      </w:r>
      <w:bookmarkEnd w:id="18"/>
    </w:p>
    <w:p>
      <w:pPr>
        <w:pStyle w:val="Bibliography"/>
        <w:rPr/>
      </w:pPr>
      <w:bookmarkStart w:id="19" w:name="ref-allouah2026your"/>
      <w:r>
        <w:rPr/>
        <w:t>Allouah A, Besbes O, Figueroa JD, et al (2026) What is your AI agent buying? Evaluation, biases, model dependence, &amp; emerging implications of agentic e-commerce. In: Proceedings of the ACM web conference 2026. pp 8697–8700</w:t>
      </w:r>
      <w:bookmarkEnd w:id="19"/>
    </w:p>
    <w:p>
      <w:pPr>
        <w:pStyle w:val="Bibliography"/>
        <w:rPr/>
      </w:pPr>
      <w:bookmarkStart w:id="20" w:name="ref-alomrani2025reasoning"/>
      <w:r>
        <w:rPr/>
        <w:t>Alomrani MA, Zhang Y, Li D, et al (2025) Reasoning on a budget: A survey of adaptive and controllable test-time compute in llms. arXiv preprint arXiv:250702076</w:t>
      </w:r>
      <w:bookmarkEnd w:id="20"/>
    </w:p>
    <w:p>
      <w:pPr>
        <w:pStyle w:val="Bibliography"/>
        <w:rPr/>
      </w:pPr>
      <w:bookmarkStart w:id="21" w:name="ref-anthropic2026sampling"/>
      <w:r>
        <w:rPr/>
        <w:t xml:space="preserve">Anthropic (2026) Model deprecations: API parameter deprecations. </w:t>
      </w:r>
      <w:r>
        <w:fldChar w:fldCharType="begin"/>
      </w:r>
      <w:r>
        <w:rPr>
          <w:rStyle w:val="Hyperlink"/>
        </w:rPr>
        <w:instrText xml:space="preserve"> HYPERLINK "https://platform.claude.com/docs/en/about-claude/model-deprecations" \l "api-parameter-deprecations"</w:instrText>
      </w:r>
      <w:r>
        <w:rPr>
          <w:rStyle w:val="Hyperlink"/>
        </w:rPr>
        <w:fldChar w:fldCharType="separate"/>
      </w:r>
      <w:r>
        <w:rPr>
          <w:rStyle w:val="Hyperlink"/>
        </w:rPr>
        <w:t>https://platform.claude.com/docs/en/about-claude/model-deprecations#api-parameter-deprecations</w:t>
      </w:r>
      <w:r>
        <w:rPr>
          <w:rStyle w:val="Hyperlink"/>
        </w:rPr>
        <w:fldChar w:fldCharType="end"/>
      </w:r>
      <w:r>
        <w:rPr/>
        <w:t>. Accessed 17 July 2026</w:t>
      </w:r>
      <w:bookmarkEnd w:id="21"/>
    </w:p>
    <w:p>
      <w:pPr>
        <w:pStyle w:val="Bibliography"/>
        <w:rPr/>
      </w:pPr>
      <w:bookmarkStart w:id="22" w:name="ref-balaskas2026recommendations"/>
      <w:r>
        <w:rPr/>
        <w:t>Balaskas S (2026) From recommendations to delegation: A systematic review mapping agentic AI in e-commerce and its consumer effects. Inf 17:222</w:t>
      </w:r>
      <w:bookmarkEnd w:id="22"/>
    </w:p>
    <w:p>
      <w:pPr>
        <w:pStyle w:val="Bibliography"/>
        <w:rPr/>
      </w:pPr>
      <w:bookmarkStart w:id="23" w:name="ref-brady2025dual"/>
      <w:r>
        <w:rPr/>
        <w:t>Brady O, Nulty P, Zhang L, et al (2025) Dual-process theory and decision-making in large language models. Nature Reviews Psychology 4:777–792</w:t>
      </w:r>
      <w:bookmarkEnd w:id="23"/>
    </w:p>
    <w:p>
      <w:pPr>
        <w:pStyle w:val="Bibliography"/>
        <w:rPr/>
      </w:pPr>
      <w:bookmarkStart w:id="24" w:name="ref-burtch2018stimulating"/>
      <w:r>
        <w:rPr/>
        <w:t>Burtch G, Hong Y, Bapna R, Griskevicius V (2018) Stimulating online reviews by combining financial incentives and social norms. Management Science 64:2065–2082</w:t>
      </w:r>
      <w:bookmarkEnd w:id="24"/>
    </w:p>
    <w:p>
      <w:pPr>
        <w:pStyle w:val="Bibliography"/>
        <w:rPr/>
      </w:pPr>
      <w:bookmarkStart w:id="25" w:name="ref-cherep2026framework"/>
      <w:r>
        <w:rPr/>
        <w:t>Cherep M, Ma C, Xu A, et al (2026) A framework for studying ai agent behavior: Evidence from consumer choice experiments. In: International conference on learning representations. pp 63296–63326</w:t>
      </w:r>
      <w:bookmarkEnd w:id="25"/>
    </w:p>
    <w:p>
      <w:pPr>
        <w:pStyle w:val="Bibliography"/>
        <w:rPr/>
      </w:pPr>
      <w:bookmarkStart w:id="26" w:name="ref-chevalier2006effect"/>
      <w:r>
        <w:rPr/>
        <w:t>Chevalier JA, Mayzlin D (2006) The effect of word of mouth on sales: Online book reviews. Journal of marketing research 43:345–354</w:t>
      </w:r>
      <w:bookmarkEnd w:id="26"/>
    </w:p>
    <w:p>
      <w:pPr>
        <w:pStyle w:val="Bibliography"/>
        <w:rPr/>
      </w:pPr>
      <w:bookmarkStart w:id="27" w:name="ref-donnelly2024welfare"/>
      <w:r>
        <w:rPr/>
        <w:t>Donnelly R, Kanodia A, Morozov I (2024) Welfare effects of personalized rankings. Marketing Science 43:92–113</w:t>
      </w:r>
      <w:bookmarkEnd w:id="27"/>
    </w:p>
    <w:p>
      <w:pPr>
        <w:pStyle w:val="Bibliography"/>
        <w:rPr/>
      </w:pPr>
      <w:bookmarkStart w:id="28" w:name="ref-floyd2014online"/>
      <w:r>
        <w:rPr/>
        <w:t>Floyd K, Freling R, Alhoqail S, et al (2014) How online product reviews affect retail sales: A meta-analysis. Journal of retailing 90:217–232</w:t>
      </w:r>
      <w:bookmarkEnd w:id="28"/>
    </w:p>
    <w:p>
      <w:pPr>
        <w:pStyle w:val="Bibliography"/>
        <w:rPr/>
      </w:pPr>
      <w:bookmarkStart w:id="29" w:name="ref-godes2009firm"/>
      <w:r>
        <w:rPr/>
        <w:t>Godes D, Mayzlin D (2009) Firm-created word-of-mouth communication: Evidence from a field test. Marketing science 28:721–739</w:t>
      </w:r>
      <w:bookmarkEnd w:id="29"/>
    </w:p>
    <w:p>
      <w:pPr>
        <w:pStyle w:val="Bibliography"/>
        <w:rPr/>
      </w:pPr>
      <w:bookmarkStart w:id="30" w:name="ref-google2026sampling"/>
      <w:r>
        <w:rPr/>
        <w:t xml:space="preserve">Google (2026) Gemini models: Sampling parameter deprecation. </w:t>
      </w:r>
      <w:r>
        <w:fldChar w:fldCharType="begin"/>
      </w:r>
      <w:r>
        <w:rPr>
          <w:rStyle w:val="Hyperlink"/>
        </w:rPr>
        <w:instrText xml:space="preserve"> HYPERLINK "https://ai.google.dev/gemini-api/docs/latest-model" \l "sampling-parameter-deprecation"</w:instrText>
      </w:r>
      <w:r>
        <w:rPr>
          <w:rStyle w:val="Hyperlink"/>
        </w:rPr>
        <w:fldChar w:fldCharType="separate"/>
      </w:r>
      <w:r>
        <w:rPr>
          <w:rStyle w:val="Hyperlink"/>
        </w:rPr>
        <w:t>https://ai.google.dev/gemini-api/docs/latest-model#sampling-parameter-deprecation</w:t>
      </w:r>
      <w:r>
        <w:rPr>
          <w:rStyle w:val="Hyperlink"/>
        </w:rPr>
        <w:fldChar w:fldCharType="end"/>
      </w:r>
      <w:r>
        <w:rPr/>
        <w:t>. Accessed 17 July 2026</w:t>
      </w:r>
      <w:bookmarkEnd w:id="30"/>
    </w:p>
    <w:p>
      <w:pPr>
        <w:pStyle w:val="Bibliography"/>
        <w:rPr/>
      </w:pPr>
      <w:bookmarkStart w:id="31" w:name="ref-greminger2026trade"/>
      <w:r>
        <w:rPr/>
        <w:t>Greminger RP (2026) Trade-offs between ranking objectives: Descriptive evidence and structural estimation. Management Science</w:t>
      </w:r>
      <w:bookmarkEnd w:id="31"/>
    </w:p>
    <w:p>
      <w:pPr>
        <w:pStyle w:val="Bibliography"/>
        <w:rPr/>
      </w:pPr>
      <w:bookmarkStart w:id="32" w:name="ref-hasselwander2026toward"/>
      <w:r>
        <w:rPr/>
        <w:t>Hasselwander M, Sunio V, Lah O, Mogaji E (2026) Toward agentic AI: User acceptance of a deeply personalized AI super assistant (AISA). Journal of Retailing and Consumer Services 89:104620</w:t>
      </w:r>
      <w:bookmarkEnd w:id="32"/>
    </w:p>
    <w:p>
      <w:pPr>
        <w:pStyle w:val="Bibliography"/>
        <w:rPr/>
      </w:pPr>
      <w:bookmarkStart w:id="33" w:name="ref-hauser2014consideration"/>
      <w:r>
        <w:rPr/>
        <w:t>Hauser JR (2014) Consideration-set heuristics. Journal of Business Research 67:1688–1699</w:t>
      </w:r>
      <w:bookmarkEnd w:id="33"/>
    </w:p>
    <w:p>
      <w:pPr>
        <w:pStyle w:val="Bibliography"/>
        <w:rPr/>
      </w:pPr>
      <w:bookmarkStart w:id="34" w:name="ref-hengle2026can"/>
      <w:r>
        <w:rPr/>
        <w:t>Hengle A, Bajpai P, Dan S, Chakraborty T (2026) Can LLMs reason over extended multilingual contexts? Towards long-context evaluation beyond retrieval over haystacks. In: Proceedings of the 19th conference of the european chapter of the association for computational linguistics (volume 1: Long papers). pp 6128–6152</w:t>
      </w:r>
      <w:bookmarkEnd w:id="34"/>
    </w:p>
    <w:p>
      <w:pPr>
        <w:pStyle w:val="Bibliography"/>
        <w:rPr/>
      </w:pPr>
      <w:bookmarkStart w:id="35" w:name="ref-honka2024consumer"/>
      <w:r>
        <w:rPr/>
        <w:t>Honka E, Seiler S, Ursu R (2024) Consumer search: What can we learn from pre-purchase data? Journal of Retailing 100:114–129</w:t>
      </w:r>
      <w:bookmarkEnd w:id="35"/>
    </w:p>
    <w:p>
      <w:pPr>
        <w:pStyle w:val="Bibliography"/>
        <w:rPr/>
      </w:pPr>
      <w:bookmarkStart w:id="36" w:name="ref-joachims2007evaluating"/>
      <w:r>
        <w:rPr/>
        <w:t>Joachims T, Granka L, Pan B, et al (2007) Evaluating the accuracy of implicit feedback from clicks and query reformulations in web search. ACM Transactions on Information Systems (TOIS) 25:7–es</w:t>
      </w:r>
      <w:bookmarkEnd w:id="36"/>
    </w:p>
    <w:p>
      <w:pPr>
        <w:pStyle w:val="Bibliography"/>
        <w:rPr/>
      </w:pPr>
      <w:bookmarkStart w:id="37" w:name="ref-kireyev2026pricebench"/>
      <w:r>
        <w:rPr/>
        <w:t>Kireyev P (2026) PriceBench: A diagnostic benchmark for price, quality, and brand preferences in LLM booking agents. In: Forthcoming, proceedings of the 2026 conference on empirical methods in natural language processing: Industry track (EMNLP 2026)</w:t>
      </w:r>
      <w:bookmarkEnd w:id="37"/>
    </w:p>
    <w:p>
      <w:pPr>
        <w:pStyle w:val="Bibliography"/>
        <w:rPr/>
      </w:pPr>
      <w:bookmarkStart w:id="38" w:name="ref-kumar2026transformative"/>
      <w:r>
        <w:rPr/>
        <w:t>Kumar V, Kotler P, Kumar A (2026) Transformative marketing strategies in the era of new-age technologies: Principles, plan, purpose, and practice. Journal of the Academy of Marketing Science 54:1–27</w:t>
      </w:r>
      <w:bookmarkEnd w:id="38"/>
    </w:p>
    <w:p>
      <w:pPr>
        <w:pStyle w:val="Bibliography"/>
        <w:rPr/>
      </w:pPr>
      <w:bookmarkStart w:id="39" w:name="ref-lee2026semantic"/>
      <w:r>
        <w:rPr/>
        <w:t>Lee W-C, Lee J-S, Suh J (2026) Semantic divergence in AI-generated and human influencer product recommendations: A computational analysis of dual-agent communication in social commerce. Applied Sciences 16:2816</w:t>
      </w:r>
      <w:bookmarkEnd w:id="39"/>
    </w:p>
    <w:p>
      <w:pPr>
        <w:pStyle w:val="Bibliography"/>
        <w:rPr/>
      </w:pPr>
      <w:bookmarkStart w:id="40" w:name="ref-liu2024lost"/>
      <w:r>
        <w:rPr/>
        <w:t>Liu NF, Lin K, Hewitt J, et al (2024) Lost in the middle: How language models use long contexts. Transactions of the association for computational linguistics 12:157–173</w:t>
      </w:r>
      <w:bookmarkEnd w:id="40"/>
    </w:p>
    <w:p>
      <w:pPr>
        <w:pStyle w:val="Bibliography"/>
        <w:rPr/>
      </w:pPr>
      <w:bookmarkStart w:id="41" w:name="ref-macmillan2024ir"/>
      <w:r>
        <w:rPr/>
        <w:t>Macmillan-Scott O, Musolesi M (2024) (Ir) rationality and cognitive biases in large language models. Royal Society open science 11:</w:t>
      </w:r>
      <w:bookmarkEnd w:id="41"/>
    </w:p>
    <w:p>
      <w:pPr>
        <w:pStyle w:val="Bibliography"/>
        <w:rPr/>
      </w:pPr>
      <w:bookmarkStart w:id="42" w:name="ref-mogaji2024generative"/>
      <w:r>
        <w:rPr/>
        <w:t>Mogaji E, Jain V (2024) How generative AI is (will) change consumer behaviour: Postulating the potential impact and implications for research, practice, and policy. Journal of consumer behaviour 23:2379–2389</w:t>
      </w:r>
      <w:bookmarkEnd w:id="42"/>
    </w:p>
    <w:p>
      <w:pPr>
        <w:pStyle w:val="Bibliography"/>
        <w:rPr/>
      </w:pPr>
      <w:bookmarkStart w:id="43" w:name="ref-narayanan2015position"/>
      <w:r>
        <w:rPr/>
        <w:t>Narayanan S, Kalyanam K (2015) Position effects in search advertising and their moderators: A regression discontinuity approach. Marketing Science 34:388–407</w:t>
      </w:r>
      <w:bookmarkEnd w:id="43"/>
    </w:p>
    <w:p>
      <w:pPr>
        <w:pStyle w:val="Bibliography"/>
        <w:rPr/>
      </w:pPr>
      <w:bookmarkStart w:id="44" w:name="ref-adobe2025genai"/>
      <w:r>
        <w:rPr/>
        <w:t xml:space="preserve">Pandya V (2025) Generative AI-powered shopping rises with traffic to U.S. Retail sites up 4,700%. </w:t>
      </w:r>
      <w:hyperlink r:id="rId4">
        <w:r>
          <w:rPr>
            <w:rStyle w:val="Hyperlink"/>
          </w:rPr>
          <w:t>https://business.adobe.com/blog/generative-ai-powered-shopping-rises-with-traffic-to-retail-sites</w:t>
        </w:r>
      </w:hyperlink>
      <w:bookmarkEnd w:id="44"/>
    </w:p>
    <w:p>
      <w:pPr>
        <w:pStyle w:val="Bibliography"/>
        <w:rPr/>
      </w:pPr>
      <w:bookmarkStart w:id="45" w:name="ref-punj2009information"/>
      <w:r>
        <w:rPr/>
        <w:t>Punj G, Moore R (2009) Information search and consideration set formation in a web-based store environment. Journal of Business Research 62:644–650</w:t>
      </w:r>
      <w:bookmarkEnd w:id="45"/>
    </w:p>
    <w:p>
      <w:pPr>
        <w:pStyle w:val="Bibliography"/>
        <w:rPr/>
      </w:pPr>
      <w:bookmarkStart w:id="46" w:name="ref-su2024roformer"/>
      <w:r>
        <w:rPr/>
        <w:t>Su J, Ahmed M, Lu Y, et al (2024) Roformer: Enhanced transformer with rotary position embedding. Neurocomputing 568:127063</w:t>
      </w:r>
      <w:bookmarkEnd w:id="46"/>
    </w:p>
    <w:p>
      <w:pPr>
        <w:pStyle w:val="Bibliography"/>
        <w:rPr/>
      </w:pPr>
      <w:bookmarkStart w:id="47" w:name="ref-ursu2018power"/>
      <w:r>
        <w:rPr/>
        <w:t>Ursu RM (2018) The power of rankings: Quantifying the effect of rankings on online consumer search and purchase decisions. Marketing Science 37:530–552</w:t>
      </w:r>
      <w:bookmarkEnd w:id="47"/>
    </w:p>
    <w:p>
      <w:pPr>
        <w:pStyle w:val="Bibliography"/>
        <w:rPr/>
      </w:pPr>
      <w:bookmarkStart w:id="48" w:name="ref-ursu2023search"/>
      <w:r>
        <w:rPr/>
        <w:t>Ursu RM, Zhang Q, Honka E (2023) Search gaps and consumer fatigue. Marketing Science 42:110–136</w:t>
      </w:r>
      <w:bookmarkEnd w:id="48"/>
    </w:p>
    <w:p>
      <w:pPr>
        <w:pStyle w:val="Bibliography"/>
        <w:rPr/>
      </w:pPr>
      <w:bookmarkStart w:id="49" w:name="ref-wadi2025monte"/>
      <w:r>
        <w:rPr/>
        <w:t>Wadi D, Fredette M (2025) A monte-carlo sampling framework for reliable evaluation of large language models using behavioral analysis. Findings of the Association for Computational Linguistics: EMNLP 2025 9414–9432</w:t>
      </w:r>
      <w:bookmarkEnd w:id="49"/>
    </w:p>
    <w:p>
      <w:pPr>
        <w:pStyle w:val="Bibliography"/>
        <w:rPr/>
      </w:pPr>
      <w:bookmarkStart w:id="50" w:name="ref-wadi2026careful"/>
      <w:r>
        <w:rPr/>
        <w:t>Wadi D, Fredette M, Senecal S, Legoux R (2026a) Be careful what you pay for: The effect of performance contingent incentives on online product reviews. Journal of Research in Interactive Marketing 1–25</w:t>
      </w:r>
      <w:bookmarkEnd w:id="50"/>
    </w:p>
    <w:p>
      <w:pPr>
        <w:pStyle w:val="Bibliography"/>
        <w:rPr/>
      </w:pPr>
      <w:bookmarkStart w:id="51" w:name="ref-wadi2026every"/>
      <w:r>
        <w:rPr/>
        <w:t>Wadi D, Ghodrat M, Philp M (2026b) Every token counts: Exact likert-scale distributions for measuring LLM attitudes and biases. arXiv preprint arXiv:260810503</w:t>
      </w:r>
      <w:bookmarkEnd w:id="51"/>
    </w:p>
    <w:p>
      <w:pPr>
        <w:pStyle w:val="Bibliography"/>
        <w:rPr/>
      </w:pPr>
      <w:bookmarkStart w:id="52" w:name="ref-wadi2026interplay"/>
      <w:r>
        <w:rPr/>
        <w:t>Wadi D, Legoux R, Fredette M, Sénécal S (2026c) The interplay of altruism and financial incentives: Maximizing online reviews through effective messaging. Journal of Electronic Commerce Research 27:</w:t>
      </w:r>
      <w:bookmarkEnd w:id="52"/>
    </w:p>
    <w:p>
      <w:pPr>
        <w:pStyle w:val="Bibliography"/>
        <w:rPr/>
      </w:pPr>
      <w:bookmarkStart w:id="53" w:name="ref-wadi2026whom"/>
      <w:r>
        <w:rPr/>
        <w:t>Wadi D, Ma Y (2026b) Whom do AI agents work for? Role assignment induces sponsorship bias in LLM recommenders. arXiv preprint arXiv:260917989</w:t>
      </w:r>
      <w:bookmarkEnd w:id="53"/>
    </w:p>
    <w:p>
      <w:pPr>
        <w:pStyle w:val="Bibliography"/>
        <w:rPr/>
      </w:pPr>
      <w:bookmarkStart w:id="54" w:name="ref-wadi2026shopping"/>
      <w:r>
        <w:rPr/>
        <w:t>Wadi D, Ma Y (2026a) Shopping by algorithm: How agentic AI deploys human heuristics as a surrogate consumer</w:t>
      </w:r>
      <w:bookmarkEnd w:id="54"/>
    </w:p>
    <w:p>
      <w:pPr>
        <w:pStyle w:val="Bibliography"/>
        <w:rPr/>
      </w:pPr>
      <w:bookmarkStart w:id="55" w:name="ref-xu2025toward"/>
      <w:r>
        <w:rPr/>
        <w:t>Xu F, Hao Q, Shao C, et al (2025) Toward large reasoning models: A survey of reinforced reasoning with large language models. Patterns 6:</w:t>
      </w:r>
      <w:bookmarkEnd w:id="17"/>
      <w:bookmarkEnd w:id="55"/>
    </w:p>
    <w:p>
      <w:pPr>
        <w:pStyle w:val="Normal"/>
        <w:spacing w:before="0" w:after="200"/>
        <w:rPr/>
      </w:pPr>
      <w:r>
        <w:rPr/>
      </w:r>
      <w:bookmarkEnd w:id="16"/>
    </w:p>
    <w:sectPr>
      <w:footerReference w:type="even" r:id="rId5"/>
      <w:footerReference w:type="default" r:id="rId6"/>
      <w:footerReference w:type="first" r:id="rId7"/>
      <w:footnotePr>
        <w:numFmt w:val="decimal"/>
      </w:footnotePr>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Consolas">
    <w:charset w:val="01"/>
    <w:family w:val="roman"/>
    <w:pitch w:val="variable"/>
  </w:font>
  <w:font w:name="Liberation Sans">
    <w:altName w:val="Arial"/>
    <w:charset w:val="01"/>
    <w:family w:val="swiss"/>
    <w:pitch w:val="variable"/>
  </w:font>
  <w:font w:name="Aptos Display">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fldChar w:fldCharType="begin"/>
    </w:r>
    <w:r>
      <w:rPr/>
      <w:instrText xml:space="preserve"> PAGE </w:instrText>
    </w:r>
    <w:r>
      <w:rPr/>
      <w:fldChar w:fldCharType="separate"/>
    </w:r>
    <w:r>
      <w:rPr/>
      <w:t>21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fldChar w:fldCharType="begin"/>
    </w:r>
    <w:r>
      <w:rPr/>
      <w:instrText xml:space="preserve"> PAGE </w:instrText>
    </w:r>
    <w:r>
      <w:rPr/>
      <w:fldChar w:fldCharType="separate"/>
    </w:r>
    <w:r>
      <w:rPr/>
      <w:t>21</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before="0" w:after="200"/>
        <w:ind w:hanging="0"/>
        <w:rPr/>
      </w:pPr>
      <w:r>
        <w:rPr>
          <w:rStyle w:val="FootnoteCharacters"/>
        </w:rPr>
        <w:footnoteRef/>
      </w:r>
      <w:r>
        <w:rPr/>
        <w:t xml:space="preserve"> </w:t>
      </w:r>
      <w:r>
        <w:rPr/>
        <w:t xml:space="preserve">The human benchmark displays approximately 27 listings per results page, includes only impressions with at least one click, and controls for query characteristics and destination, which our design holds fixed. The two environments are compared in </w:t>
      </w:r>
      <w:hyperlink w:anchor="apptbl-env-attributes">
        <w:r>
          <w:rPr>
            <w:rStyle w:val="Hyperlink"/>
          </w:rPr>
          <w:t>Table W1</w:t>
        </w:r>
      </w:hyperlink>
      <w:r>
        <w:rPr/>
        <w:t>.</w:t>
      </w:r>
    </w:p>
  </w:footnote>
  <w:footnote w:id="3">
    <w:p>
      <w:pPr>
        <w:pStyle w:val="FootnoteText"/>
        <w:spacing w:before="0" w:after="200"/>
        <w:ind w:hanging="0"/>
        <w:rPr/>
      </w:pPr>
      <w:r>
        <w:rPr>
          <w:rStyle w:val="FootnoteCharacters"/>
        </w:rPr>
        <w:footnoteRef/>
      </w:r>
      <w:r>
        <w:rPr/>
        <w:t xml:space="preserve"> </w:t>
      </w:r>
      <w:r>
        <w:rPr/>
        <w:t xml:space="preserve">With position </w:t>
      </w:r>
      <w:r>
        <w:rPr/>
      </w:r>
      <m:oMath xmlns:m="http://schemas.openxmlformats.org/officeDocument/2006/math">
        <m:r>
          <w:rPr>
            <w:rFonts w:ascii="Cambria Math" w:hAnsi="Cambria Math"/>
          </w:rPr>
          <m:t xml:space="preserve">x</m:t>
        </m:r>
      </m:oMath>
      <w:r>
        <w:rPr/>
        <w:t xml:space="preserve"> scaled to the unit interval, the predicted probability is </w:t>
      </w:r>
      <w:r>
        <w:rPr/>
      </w:r>
      <m:oMath xmlns:m="http://schemas.openxmlformats.org/officeDocument/2006/math">
        <m:r>
          <w:rPr>
            <w:rFonts w:ascii="Cambria Math" w:hAnsi="Cambria Math"/>
          </w:rPr>
          <m:t xml:space="preserve">f</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x</m:t>
        </m:r>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sSup>
          <m:e>
            <m:r>
              <w:rPr>
                <w:rFonts w:ascii="Cambria Math" w:hAnsi="Cambria Math"/>
              </w:rPr>
              <m:t xml:space="preserve">x</m:t>
            </m:r>
          </m:e>
          <m:sup>
            <m:r>
              <w:rPr>
                <w:rFonts w:ascii="Cambria Math" w:hAnsi="Cambria Math"/>
              </w:rPr>
              <m:t xml:space="preserve">2</m:t>
            </m:r>
          </m:sup>
        </m:sSup>
      </m:oMath>
      <w:r>
        <w:rPr/>
        <w:t xml:space="preserve"> plus the remaining terms of the model. The decline from the top to the bottom of the page is </w:t>
      </w:r>
      <w:r>
        <w:rPr/>
      </w:r>
      <m:oMath xmlns:m="http://schemas.openxmlformats.org/officeDocument/2006/math">
        <m:r>
          <w:rPr>
            <w:rFonts w:ascii="Cambria Math" w:hAnsi="Cambria Math"/>
          </w:rPr>
          <m:t xml:space="preserve">f</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r>
          <w:rPr>
            <w:rFonts w:ascii="Cambria Math" w:hAnsi="Cambria Math"/>
          </w:rPr>
          <m:t xml:space="preserve">)</m:t>
        </m:r>
      </m:oMath>
      <w:r>
        <w:rPr/>
        <w:t xml:space="preserve">, which equals 100 times the position penalty because position is randomized uniformly. The middle penalty—the shortfall of the midpoint relative to the straight line between the top and the bottom—is </w:t>
      </w:r>
      <w:r>
        <w:rPr/>
      </w:r>
      <m:oMath xmlns:m="http://schemas.openxmlformats.org/officeDocument/2006/math">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m:t>
            </m:r>
          </m:num>
          <m:den>
            <m:r>
              <w:rPr>
                <w:rFonts w:ascii="Cambria Math" w:hAnsi="Cambria Math"/>
              </w:rPr>
              <m:t xml:space="preserve">2</m:t>
            </m:r>
          </m:den>
        </m:f>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0.5</m:t>
        </m:r>
        <m:r>
          <w:rPr>
            <w:rFonts w:ascii="Cambria Math" w:hAnsi="Cambria Math"/>
          </w:rPr>
          <m:t xml:space="preserve">)</m:t>
        </m:r>
        <m:r>
          <w:rPr>
            <w:rFonts w:ascii="Cambria Math" w:hAnsi="Cambria Math"/>
          </w:rPr>
          <m:t xml:space="preserve">=</m:t>
        </m:r>
        <m:f>
          <m:fPr>
            <m:type m:val="lin"/>
          </m:fPr>
          <m:num>
            <m:sSub>
              <m:e>
                <m:r>
                  <w:rPr>
                    <w:rFonts w:ascii="Cambria Math" w:hAnsi="Cambria Math"/>
                  </w:rPr>
                  <m:t xml:space="preserve">β</m:t>
                </m:r>
              </m:e>
              <m:sub>
                <m:r>
                  <w:rPr>
                    <w:rFonts w:ascii="Cambria Math" w:hAnsi="Cambria Math"/>
                  </w:rPr>
                  <m:t xml:space="preserve">2</m:t>
                </m:r>
              </m:sub>
            </m:sSub>
          </m:num>
          <m:den>
            <m:r>
              <w:rPr>
                <w:rFonts w:ascii="Cambria Math" w:hAnsi="Cambria Math"/>
              </w:rPr>
              <m:t xml:space="preserve">4</m:t>
            </m:r>
          </m:den>
        </m:f>
      </m:oMath>
      <w:r>
        <w:rPr/>
        <w:t>.</w:t>
      </w:r>
    </w:p>
  </w:footnote>
  <w:footnote w:id="4">
    <w:p>
      <w:pPr>
        <w:pStyle w:val="FootnoteText"/>
        <w:spacing w:before="0" w:after="200"/>
        <w:ind w:hanging="0"/>
        <w:rPr/>
      </w:pPr>
      <w:r>
        <w:rPr>
          <w:rStyle w:val="FootnoteCharacters"/>
        </w:rPr>
        <w:footnoteRef/>
      </w:r>
      <w:r>
        <w:rPr/>
        <w:t xml:space="preserve"> </w:t>
      </w:r>
      <w:r>
        <w:rPr/>
        <w:t>To test whether reasoning effort alters the middle penalty, we pool all effort levels of each LLM into a single linear probability model in which the position terms are interacted with effort. Effort is treated as a categorical variable with the lowest level as the reference. A joint Wald test then assesses whether these interactions differ from zero.</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suff w:val="space"/>
      <w:lvlText w:val="%1."/>
      <w:lvlJc w:val="left"/>
      <w:pPr>
        <w:tabs>
          <w:tab w:val="num" w:pos="0"/>
        </w:tabs>
        <w:ind w:left="0" w:hanging="0"/>
      </w:pPr>
      <w:rPr/>
    </w:lvl>
    <w:lvl w:ilvl="1">
      <w:start w:val="1"/>
      <w:numFmt w:val="decimal"/>
      <w:pStyle w:val="Heading2"/>
      <w:suff w:val="space"/>
      <w:lvlText w:val="%1.%2."/>
      <w:lvlJc w:val="left"/>
      <w:pPr>
        <w:tabs>
          <w:tab w:val="num" w:pos="0"/>
        </w:tabs>
        <w:ind w:left="0" w:hanging="0"/>
      </w:pPr>
      <w:rPr/>
    </w:lvl>
    <w:lvl w:ilvl="2">
      <w:start w:val="1"/>
      <w:numFmt w:val="decimal"/>
      <w:pStyle w:val="Heading3"/>
      <w:suff w:val="space"/>
      <w:lvlText w:val="%1.%2.%3."/>
      <w:lvlJc w:val="left"/>
      <w:pPr>
        <w:tabs>
          <w:tab w:val="num" w:pos="0"/>
        </w:tabs>
        <w:ind w:left="0" w:hanging="0"/>
      </w:pPr>
      <w:rPr/>
    </w:lvl>
    <w:lvl w:ilvl="3">
      <w:start w:val="1"/>
      <w:numFmt w:val="decimal"/>
      <w:pStyle w:val="Heading4"/>
      <w:suff w:val="space"/>
      <w:lvlText w:val="%1.%2.%3.%4."/>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embedSystemFonts/>
  <w:stylePaneFormatFilter w:val="0004"/>
  <w:defaultTabStop w:val="720"/>
  <w:autoHyphenation w:val="true"/>
  <w:hyphenationZone w:val="0"/>
  <w:footnotePr>
    <w:numFmt w:val="decimal"/>
    <w:footnote w:id="0"/>
    <w:footnote w:id="1"/>
  </w:footnotePr>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uiPriority w:val="0"/>
    <w:qFormat/>
    <w:rsid w:val="02a945fd"/>
    <w:pPr>
      <w:widowControl/>
      <w:suppressAutoHyphens w:val="true"/>
      <w:bidi w:val="0"/>
      <w:spacing w:before="0" w:after="200"/>
      <w:ind w:firstLine="72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BodyText"/>
    <w:link w:val="Heading1Char"/>
    <w:uiPriority w:val="9"/>
    <w:qFormat/>
    <w:rsid w:val="02a945fd"/>
    <w:pPr>
      <w:keepNext w:val="true"/>
      <w:keepLines/>
      <w:numPr>
        <w:ilvl w:val="0"/>
        <w:numId w:val="1"/>
      </w:numPr>
      <w:spacing w:lineRule="auto" w:line="480" w:before="360" w:after="80"/>
      <w:ind w:hanging="0"/>
      <w:outlineLvl w:val="0"/>
    </w:pPr>
    <w:rPr>
      <w:b/>
      <w:bCs/>
      <w:color w:themeColor="text1" w:val="000000"/>
      <w:sz w:val="24"/>
      <w:szCs w:val="28"/>
    </w:rPr>
  </w:style>
  <w:style w:type="paragraph" w:styleId="Heading2">
    <w:name w:val="heading 2"/>
    <w:basedOn w:val="Normal"/>
    <w:next w:val="BodyText"/>
    <w:link w:val="Heading2Char"/>
    <w:uiPriority w:val="9"/>
    <w:semiHidden/>
    <w:unhideWhenUsed/>
    <w:qFormat/>
    <w:rsid w:val="02a945fd"/>
    <w:pPr>
      <w:keepNext w:val="true"/>
      <w:keepLines/>
      <w:numPr>
        <w:ilvl w:val="1"/>
        <w:numId w:val="1"/>
      </w:numPr>
      <w:spacing w:lineRule="auto" w:line="480" w:before="160" w:after="80"/>
      <w:ind w:hanging="0"/>
      <w:outlineLvl w:val="1"/>
    </w:pPr>
    <w:rPr>
      <w:b w:val="false"/>
      <w:bCs/>
      <w:i/>
      <w:color w:themeColor="text1" w:val="000000"/>
    </w:rPr>
  </w:style>
  <w:style w:type="paragraph" w:styleId="Heading3">
    <w:name w:val="heading 3"/>
    <w:basedOn w:val="Normal"/>
    <w:next w:val="BodyText"/>
    <w:link w:val="Heading3Char"/>
    <w:uiPriority w:val="9"/>
    <w:semiHidden/>
    <w:unhideWhenUsed/>
    <w:qFormat/>
    <w:rsid w:val="02a945fd"/>
    <w:pPr>
      <w:keepNext w:val="true"/>
      <w:keepLines/>
      <w:numPr>
        <w:ilvl w:val="2"/>
        <w:numId w:val="1"/>
      </w:numPr>
      <w:spacing w:lineRule="auto" w:line="480" w:before="160" w:after="80"/>
      <w:outlineLvl w:val="2"/>
    </w:pPr>
    <w:rPr>
      <w:rFonts w:eastAsia="" w:cs="" w:cstheme="majorBidi" w:eastAsiaTheme="majorEastAsia"/>
      <w:i/>
      <w:color w:val="000000"/>
      <w:sz w:val="24"/>
      <w:szCs w:val="28"/>
    </w:rPr>
  </w:style>
  <w:style w:type="paragraph" w:styleId="Heading4">
    <w:name w:val="heading 4"/>
    <w:basedOn w:val="Normal"/>
    <w:next w:val="BodyText"/>
    <w:link w:val="Heading4Char"/>
    <w:uiPriority w:val="9"/>
    <w:semiHidden/>
    <w:unhideWhenUsed/>
    <w:qFormat/>
    <w:rsid w:val="02a945fd"/>
    <w:pPr>
      <w:keepNext w:val="true"/>
      <w:keepLines/>
      <w:numPr>
        <w:ilvl w:val="3"/>
        <w:numId w:val="1"/>
      </w:numPr>
      <w:spacing w:lineRule="auto" w:line="480" w:before="80" w:after="40"/>
      <w:outlineLvl w:val="3"/>
    </w:pPr>
    <w:rPr>
      <w:rFonts w:eastAsia="" w:cs="" w:cstheme="majorBidi" w:eastAsiaTheme="majorEastAsia"/>
      <w:i/>
      <w:iCs/>
      <w:color w:val="000000"/>
    </w:rPr>
  </w:style>
  <w:style w:type="paragraph" w:styleId="Heading5">
    <w:name w:val="heading 5"/>
    <w:basedOn w:val="Normal"/>
    <w:next w:val="BodyText"/>
    <w:link w:val="Heading5Char"/>
    <w:uiPriority w:val="9"/>
    <w:semiHidden/>
    <w:unhideWhenUsed/>
    <w:qFormat/>
    <w:rsid w:val="02a945f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2a945f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2a945f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2a945fd"/>
    <w:pPr>
      <w:keepNext w:val="true"/>
      <w:keepLines/>
      <w:spacing w:before="0" w:after="0"/>
      <w:outlineLvl w:val="7"/>
    </w:pPr>
    <w:rPr>
      <w:rFonts w:eastAsia="" w:cs="" w:cstheme="majorBidi" w:eastAsiaTheme="majorEastAsia"/>
      <w:i/>
      <w:iCs/>
      <w:color w:val="272727"/>
    </w:rPr>
  </w:style>
  <w:style w:type="paragraph" w:styleId="Heading9">
    <w:name w:val="heading 9"/>
    <w:basedOn w:val="Normal"/>
    <w:next w:val="BodyText"/>
    <w:link w:val="Heading9Char"/>
    <w:uiPriority w:val="9"/>
    <w:semiHidden/>
    <w:unhideWhenUsed/>
    <w:qFormat/>
    <w:rsid w:val="02a945fd"/>
    <w:pPr>
      <w:keepNext w:val="true"/>
      <w:keepLines/>
      <w:spacing w:before="0" w:after="0"/>
      <w:outlineLvl w:val="8"/>
    </w:pPr>
    <w:rPr>
      <w:rFonts w:eastAsia="" w:cs="" w:cstheme="majorBidi" w:eastAsiaTheme="majorEastAsia"/>
      <w:color w:val="272727"/>
    </w:rPr>
  </w:style>
  <w:style w:type="character" w:styleId="TitleChar" w:customStyle="1">
    <w:name w:val="Title Char"/>
    <w:basedOn w:val="DefaultParagraphFont"/>
    <w:link w:val="Title"/>
    <w:uiPriority w:val="10"/>
    <w:qFormat/>
    <w:rsid w:val="02a945fd"/>
    <w:rPr>
      <w:rFonts w:ascii="Times New Roman" w:hAnsi="Times New Roman" w:eastAsia="Times New Roman" w:cs="Times New Roman"/>
      <w:b/>
      <w:bCs/>
      <w:sz w:val="28"/>
      <w:szCs w:val="28"/>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2a945fd"/>
    <w:rPr>
      <w:rFonts w:ascii="Times New Roman" w:hAnsi="Times New Roman" w:eastAsia="Times New Roman" w:cs="Times New Roman"/>
      <w:b/>
      <w:bCs/>
      <w:color w:themeColor="text1" w:val="000000"/>
      <w:sz w:val="28"/>
      <w:szCs w:val="28"/>
    </w:rPr>
  </w:style>
  <w:style w:type="character" w:styleId="Heading2Char" w:customStyle="1">
    <w:name w:val="Heading 2 Char"/>
    <w:basedOn w:val="DefaultParagraphFont"/>
    <w:link w:val="Heading2"/>
    <w:uiPriority w:val="9"/>
    <w:semiHidden/>
    <w:qFormat/>
    <w:rsid w:val="02a945fd"/>
    <w:rPr>
      <w:rFonts w:ascii="Times New Roman" w:hAnsi="Times New Roman" w:eastAsia="Times New Roman" w:cs="Times New Roman"/>
      <w:b/>
      <w:bCs/>
      <w:color w:themeColor="text1" w:val="000000"/>
      <w:sz w:val="24"/>
      <w:szCs w:val="24"/>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character" w:styleId="EndnoteCharacters">
    <w:name w:val="Endnote Characters"/>
    <w:rPr>
      <w:vertAlign w:val="superscript"/>
    </w:rPr>
  </w:style>
  <w:style w:type="character" w:styleId="EndnoteCharactersuser">
    <w:name w:val="Endnote Characters (user)"/>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qFormat/>
    <w:rsid w:val="02a945fd"/>
    <w:pPr>
      <w:spacing w:lineRule="auto" w:line="480" w:before="180" w:after="180"/>
      <w:jc w:val="both"/>
    </w:pPr>
    <w:rPr/>
  </w:style>
  <w:style w:type="paragraph" w:styleId="List">
    <w:name w:val="List"/>
    <w:basedOn w:val="BodyText"/>
    <w:pPr/>
    <w:rPr>
      <w:rFonts w:cs="Noto Sans Devanagari"/>
    </w:rPr>
  </w:style>
  <w:style w:type="paragraph" w:styleId="Caption">
    <w:name w:val="caption"/>
    <w:basedOn w:val="Normal"/>
    <w:link w:val="BodyTextChar"/>
    <w:uiPriority w:val="1"/>
    <w:qFormat/>
    <w:rsid w:val="02a945fd"/>
    <w:pPr>
      <w:spacing w:before="0" w:after="120"/>
      <w:ind w:hanging="0"/>
    </w:pPr>
    <w:rPr>
      <w:i/>
      <w:iCs/>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uiPriority w:val="1"/>
    <w:qFormat/>
    <w:rsid w:val="02a945fd"/>
    <w:pPr>
      <w:spacing w:before="36" w:after="36"/>
      <w:ind w:hanging="0"/>
      <w:jc w:val="left"/>
    </w:pPr>
    <w:rPr>
      <w:rFonts w:ascii="Times New Roman" w:hAnsi="Times New Roman" w:eastAsia="Times New Roman" w:cs="Times New Roman"/>
      <w:sz w:val="20"/>
      <w:szCs w:val="24"/>
    </w:rPr>
  </w:style>
  <w:style w:type="paragraph" w:styleId="Title">
    <w:name w:val="Title"/>
    <w:basedOn w:val="Normal"/>
    <w:next w:val="BodyText"/>
    <w:link w:val="TitleChar"/>
    <w:uiPriority w:val="10"/>
    <w:qFormat/>
    <w:rsid w:val="02a945fd"/>
    <w:pPr>
      <w:spacing w:lineRule="auto" w:line="240" w:before="0" w:after="80"/>
      <w:ind w:hanging="0"/>
      <w:contextualSpacing/>
      <w:jc w:val="left"/>
    </w:pPr>
    <w:rPr>
      <w:b/>
      <w:bCs/>
      <w:sz w:val="28"/>
      <w:szCs w:val="28"/>
    </w:rPr>
  </w:style>
  <w:style w:type="paragraph" w:styleId="Subtitle">
    <w:name w:val="Subtitle"/>
    <w:basedOn w:val="Title"/>
    <w:next w:val="BodyText"/>
    <w:link w:val="SubtitleChar"/>
    <w:uiPriority w:val="11"/>
    <w:qFormat/>
    <w:rsid w:val="02a945fd"/>
    <w:pPr/>
    <w:rPr>
      <w:rFonts w:eastAsia="" w:cs="" w:cstheme="majorBidi" w:eastAsiaTheme="majorEastAsia"/>
    </w:rPr>
  </w:style>
  <w:style w:type="paragraph" w:styleId="Author" w:customStyle="1">
    <w:name w:val="Author"/>
    <w:basedOn w:val="Title"/>
    <w:next w:val="BodyText"/>
    <w:uiPriority w:val="1"/>
    <w:qFormat/>
    <w:rsid w:val="02a945fd"/>
    <w:pPr>
      <w:keepNext w:val="true"/>
      <w:keepLines/>
    </w:pPr>
    <w:rPr>
      <w:sz w:val="24"/>
      <w:szCs w:val="24"/>
    </w:rPr>
  </w:style>
  <w:style w:type="paragraph" w:styleId="Date">
    <w:name w:val="Date"/>
    <w:basedOn w:val="Title"/>
    <w:next w:val="BodyText"/>
    <w:uiPriority w:val="1"/>
    <w:qFormat/>
    <w:rsid w:val="02a945fd"/>
    <w:pPr>
      <w:keepNext w:val="true"/>
      <w:keepLines/>
    </w:pPr>
    <w:rPr>
      <w:sz w:val="24"/>
      <w:szCs w:val="24"/>
    </w:rPr>
  </w:style>
  <w:style w:type="paragraph" w:styleId="AbstractTitle" w:customStyle="1">
    <w:name w:val="Abstract Title"/>
    <w:basedOn w:val="Normal"/>
    <w:next w:val="Abstract"/>
    <w:uiPriority w:val="1"/>
    <w:qFormat/>
    <w:rsid w:val="02a945fd"/>
    <w:pPr>
      <w:keepNext w:val="true"/>
      <w:keepLines/>
      <w:spacing w:before="300" w:after="0"/>
      <w:ind w:hanging="0"/>
      <w:jc w:val="left"/>
    </w:pPr>
    <w:rPr>
      <w:b/>
      <w:bCs/>
    </w:rPr>
  </w:style>
  <w:style w:type="paragraph" w:styleId="Abstract" w:customStyle="1">
    <w:name w:val="Abstract"/>
    <w:basedOn w:val="Normal"/>
    <w:next w:val="BodyText"/>
    <w:uiPriority w:val="1"/>
    <w:qFormat/>
    <w:rsid w:val="02a945fd"/>
    <w:pPr>
      <w:keepNext w:val="true"/>
      <w:keepLines/>
      <w:spacing w:before="100" w:after="300"/>
      <w:jc w:val="both"/>
    </w:pPr>
    <w:rPr/>
  </w:style>
  <w:style w:type="paragraph" w:styleId="Bibliography">
    <w:name w:val="Bibliography"/>
    <w:basedOn w:val="Normal"/>
    <w:uiPriority w:val="1"/>
    <w:qFormat/>
    <w:rsid w:val="02a945fd"/>
    <w:pPr>
      <w:tabs>
        <w:tab w:val="clear" w:pos="720"/>
      </w:tabs>
      <w:ind w:hanging="720" w:left="720" w:right="0"/>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rsid w:val="02a945fd"/>
    <w:pPr>
      <w:ind w:hanging="0"/>
    </w:pPr>
    <w:rPr>
      <w:sz w:val="20"/>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uiPriority w:val="1"/>
    <w:qFormat/>
    <w:rsid w:val="02a945fd"/>
    <w:pPr>
      <w:keepNext w:val="true"/>
      <w:keepLines/>
      <w:spacing w:before="0" w:after="0"/>
    </w:pPr>
    <w:rPr>
      <w:b/>
      <w:bCs/>
    </w:rPr>
  </w:style>
  <w:style w:type="paragraph" w:styleId="Definition" w:customStyle="1">
    <w:name w:val="Definition"/>
    <w:basedOn w:val="Normal"/>
    <w:uiPriority w:val="1"/>
    <w:qFormat/>
    <w:rsid w:val="02a945fd"/>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i w:val="false"/>
    </w:rPr>
  </w:style>
  <w:style w:type="paragraph" w:styleId="Figure" w:customStyle="1">
    <w:name w:val="Figure"/>
    <w:basedOn w:val="Normal"/>
    <w:uiPriority w:val="1"/>
    <w:qFormat/>
    <w:rsid w:val="02a945fd"/>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rsid w:val="02a945fd"/>
    <w:pPr>
      <w:numPr>
        <w:ilvl w:val="0"/>
        <w:numId w:val="0"/>
      </w:numPr>
      <w:spacing w:lineRule="auto" w:line="259" w:before="240" w:after="80"/>
      <w:ind w:hanging="0"/>
      <w:outlineLvl w:val="9"/>
    </w:pPr>
    <w:rPr>
      <w:rFonts w:ascii="Aptos Display" w:hAnsi="Aptos Display" w:eastAsia="" w:cs="" w:asciiTheme="majorAscii" w:cstheme="majorBidi" w:eastAsiaTheme="majorEastAsia" w:hAnsiTheme="majorAscii"/>
      <w:b w:val="false"/>
      <w:bCs w:val="false"/>
      <w:color w:themeColor="accent1" w:themeShade="bf" w:val="0F4761"/>
    </w:rPr>
  </w:style>
  <w:style w:type="paragraph" w:styleId="SourceCode" w:customStyle="1">
    <w:name w:val="Source Code"/>
    <w:basedOn w:val="Normal"/>
    <w:link w:val="VerbatimChar"/>
    <w:uiPriority w:val="1"/>
    <w:qFormat/>
    <w:rsid w:val="02a945fd"/>
    <w:pPr>
      <w:shd w:val="clear" w:color="auto" w:fill="F1F3F5"/>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ableNote" w:customStyle="1">
    <w:name w:val="Table Note"/>
    <w:basedOn w:val="BodyText"/>
    <w:qFormat/>
    <w:pPr>
      <w:ind w:hanging="0"/>
      <w:jc w:val="left"/>
    </w:pPr>
    <w:rPr>
      <w:sz w:val="20"/>
    </w:rPr>
  </w:style>
  <w:style w:type="paragraph" w:styleId="HeaderandFooter">
    <w:name w:val="Header and Footer"/>
    <w:basedOn w:val="Normal"/>
    <w:pPr/>
    <w:rPr/>
  </w:style>
  <w:style w:type="paragraph" w:styleId="Footer">
    <w:name w:val="footer"/>
    <w:basedOn w:val="HeaderandFooter"/>
    <w:pPr/>
    <w:rPr/>
  </w:style>
  <w:style w:type="table" w:default="1" w:styleId="Table">
    <w:name w:val="Table"/>
    <w:basedOn w:val="TableNormal"/>
    <w:semiHidden/>
    <w:unhideWhenUsed/>
    <w:qFormat/>
    <w:tblPr>
      <w:tblCellMar>
        <w:top w:w="0" w:type="dxa"/>
        <w:left w:w="108" w:type="dxa"/>
        <w:bottom w:w="0" w:type="dxa"/>
        <w:right w:w="108" w:type="dxa"/>
      </w:tblCellMar>
    </w:tblPr>
  </w:style>
  <w:style w:type="table" w:customStyle="1" w:styleId="APATable">
    <w:name w:val="APATable"/>
    <w:basedOn w:val="TableNormal"/>
    <w:uiPriority w:val="99"/>
    <w:tblPr>
      <w:tblBorders>
        <w:top w:val="single" w:color="auto" w:sz="6" w:space="0"/>
        <w:left w:val="none"/>
        <w:bottom w:val="single" w:color="auto" w:sz="6" w:space="0"/>
        <w:right w:val="none"/>
        <w:insideH w:val="none"/>
        <w:insideV w:val="none"/>
      </w:tblBorders>
    </w:tblPr>
    <w:tblStylePr w:type="firstRow">
      <w:tblPr/>
      <w:tcPr>
        <w:tcBorders>
          <w:top w:val="single" w:color="auto" w:sz="6" w:space="0"/>
          <w:left w:val="none"/>
          <w:bottom w:val="single" w:color="auto" w:sz="6" w:space="0"/>
          <w:right w:val="none"/>
          <w:insideH w:val="none"/>
          <w:insideV w:val="none"/>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business.adobe.com/blog/generative-ai-powered-shopping-rises-with-traffic-to-retail-sites"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notes" Target="footnote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LibreOffice/26.8.0.3$Linux_X86_64 LibreOffice_project/e34ffb33db0c92181c79084d759a90d6bf45d9b3</Application>
  <AppVersion>15.0000</AppVersion>
  <Pages>21</Pages>
  <Words>5579</Words>
  <Characters>30370</Characters>
  <CharactersWithSpaces>35714</CharactersWithSpaces>
  <Paragraphs>202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2026-10-07T18:26:10Z</dcterms:created>
  <dc:creator/>
  <dc:description/>
  <dc:language>en-CA</dc:language>
  <cp:lastModifiedBy/>
  <dcterms:modified xsi:type="dcterms:W3CDTF">2026-10-07T11:39:26Z</dcterms:modified>
  <cp:revision>8</cp:revision>
  <dc:subject/>
  <dc:title>Does Rank Still Matter? Position Bias When AI Agents Shop on Our Behalf</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ption-location">
    <vt:lpwstr>bottom</vt:lpwstr>
  </property>
  <property fmtid="{D5CDD505-2E9C-101B-9397-08002B2CF9AE}" pid="5" name="crossref">
    <vt:lpwstr/>
  </property>
  <property fmtid="{D5CDD505-2E9C-101B-9397-08002B2CF9AE}" pid="6" name="csl">
    <vt:lpwstr>springer-basic-author-date.csl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language">
    <vt:lpwstr/>
  </property>
  <property fmtid="{D5CDD505-2E9C-101B-9397-08002B2CF9AE}" pid="12" name="toc-title">
    <vt:lpwstr>Table of contents</vt:lpwstr>
  </property>
</Properties>
</file>