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b/>
          <w:bCs/>
          <w:color w:val="1F3A5F"/>
          <w:sz w:val="46"/>
          <w:szCs w:val="46"/>
        </w:rPr>
        <w:t xml:space="preserve">MANUEL DE DÉTECTION</w:t>
      </w:r>
    </w:p>
    <w:p>
      <w:pPr>
        <w:spacing w:after="120"/>
        <w:jc w:val="center"/>
      </w:pPr>
      <w:r>
        <w:rPr>
          <w:i/>
          <w:iCs/>
          <w:color w:val="2E5E8C"/>
          <w:sz w:val="26"/>
          <w:szCs w:val="26"/>
        </w:rPr>
        <w:t xml:space="preserve">Les indicateurs SMC / ICT — comment les repérer et les tracer</w:t>
      </w:r>
    </w:p>
    <w:p>
      <w:pPr>
        <w:pBdr>
          <w:bottom w:val="single" w:color="C0392B" w:sz="8"/>
        </w:pBdr>
        <w:spacing w:after="400"/>
        <w:jc w:val="center"/>
      </w:pP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Fiches pratiques de repérage — annexe de la synthèse stratégie</w:t>
      </w:r>
    </w:p>
    <w:p>
      <w:pPr>
        <w:spacing w:after="600"/>
        <w:jc w:val="center"/>
      </w:pPr>
      <w:r>
        <w:rPr>
          <w:i/>
          <w:iCs/>
          <w:color w:val="555555"/>
          <w:sz w:val="19"/>
          <w:szCs w:val="19"/>
        </w:rPr>
        <w:t xml:space="preserve">FVG · IFVG · BPR · OB · Breaker · Mitigation · Rejection · Liquidité · CHOCH · BOS · Premium/Discount · OTE · Inducement</w:t>
      </w: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Comment lire ce manuel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Chaque fiche suit la même structure : Définition → Détection étape par étape → Tracé → Piège à éviter.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L'objectif est purement pratique : savoir reconnaître chaque élément sur un graphique en bougies japonaises, quel que soit l'actif ou l'unité de temps.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La couleur des bougies n'a presque jamais d'importance : ce sont les positions (open, high, low, close) qui comptent. C'est répété dans presque toutes les fiches.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1. Structure &amp; tendance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1.1 Sommet / Creux (swing high / swing low)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point pivot autour duquel se construit toute la structure de marché. Base de tout le reste (liquidité, CHOCH, BOS).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Un sommet (swing high) = une bougie dont le high est plus haut que celui des bougies qui l'entourent.</w:t>
            </w:r>
          </w:p>
          <w:p>
            <w:pPr>
              <w:spacing w:after="50" w:line="256"/>
            </w:pPr>
            <w:r>
              <w:rPr>
                <w:b/>
                <w:bCs/>
                <w:sz w:val="20"/>
                <w:szCs w:val="20"/>
              </w:rPr>
              <w:t xml:space="preserve">Règle des deux bougies (fiabilité) : </w:t>
            </w:r>
            <w:r>
              <w:rPr>
                <w:sz w:val="20"/>
                <w:szCs w:val="20"/>
              </w:rPr>
              <w:t xml:space="preserve">ne valider un sommet qu'après 2 bougies baissières consécutives qui suivent la montée (inverse pour un creux : 2 bougies haussières consécutives).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Une seule bougie de retournement ne suffit pas — c'est ce qui crée les faux sommets/creux.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Marquer le niveau horizontal du high (sommet) ou du low (creux). C'est ce niveau qui servira de référence de liquidité et de structure.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Ne pas tracer un sommet/creux sur une simple mèche isolée non confirmée : c'est la source n°1 de fausses lectures de structure.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1.2 Structure externe (majeure) vs interne (mineure)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la structure externe définit le biais directionnel réel ; la structure interne n'est que du "bruit" (recherche de liquidité) à l'intérieur.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b/>
                <w:bCs/>
                <w:sz w:val="20"/>
                <w:szCs w:val="20"/>
              </w:rPr>
              <w:t xml:space="preserve">Structure externe : </w:t>
            </w:r>
            <w:r>
              <w:rPr>
                <w:sz w:val="20"/>
                <w:szCs w:val="20"/>
              </w:rPr>
              <w:t xml:space="preserve">les sommets/creux de référence les plus significatifs (théorie de Dow — HH/HL = haussier, LL/LH = baissier).</w:t>
            </w:r>
          </w:p>
          <w:p>
            <w:pPr>
              <w:spacing w:after="50" w:line="256"/>
            </w:pPr>
            <w:r>
              <w:rPr>
                <w:b/>
                <w:bCs/>
                <w:sz w:val="20"/>
                <w:szCs w:val="20"/>
              </w:rPr>
              <w:t xml:space="preserve">Structure interne : </w:t>
            </w:r>
            <w:r>
              <w:rPr>
                <w:sz w:val="20"/>
                <w:szCs w:val="20"/>
              </w:rPr>
              <w:t xml:space="preserve">tous les petits mouvements situés entre un sommet majeur et un creux majeur.</w:t>
            </w:r>
          </w:p>
          <w:p>
            <w:pPr>
              <w:spacing w:after="0" w:line="256"/>
            </w:pPr>
            <w:r>
              <w:rPr>
                <w:b/>
                <w:bCs/>
                <w:sz w:val="20"/>
                <w:szCs w:val="20"/>
              </w:rPr>
              <w:t xml:space="preserve">Astuce de séparation : </w:t>
            </w:r>
            <w:r>
              <w:rPr>
                <w:sz w:val="20"/>
                <w:szCs w:val="20"/>
              </w:rPr>
              <w:t xml:space="preserve">utiliser une UT supérieure pour la structure externe et une UT inférieure pour observer l'interne — plus simple que de tout lire sur un seul graphique.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Confondre une cassure interne avec un vrai retournement : c'est ce qui pousse à trader à contre-tendance. Tant que le niveau de référence majeur n'est pas cassé, le biais ne change pas.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1.3 CHOCH (Change of Character)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première cassure à contre-tendance = premier signal d'un possible retournement / début de nouvelle tendance.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Identifier la tendance en cours (suite de HH/HL ou LL/LH).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Repérer la PREMIÈRE cassure qui va à l'encontre de cette séquence : en tendance haussière, la cassure du dernier creux ; en tendance baissière, la cassure du dernier sommet.</w:t>
            </w:r>
          </w:p>
          <w:p>
            <w:pPr>
              <w:spacing w:after="0" w:line="256"/>
            </w:pPr>
            <w:r>
              <w:rPr>
                <w:b/>
                <w:bCs/>
                <w:sz w:val="20"/>
                <w:szCs w:val="20"/>
              </w:rPr>
              <w:t xml:space="preserve">Clôture ou mèche : </w:t>
            </w:r>
            <w:r>
              <w:rPr>
                <w:sz w:val="20"/>
                <w:szCs w:val="20"/>
              </w:rPr>
              <w:t xml:space="preserve">au choix — clôture au-delà du niveau (conservateur) ou simple mèche (agressif).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Marquer une ligne horizontale sur le sommet/creux cassé, et annoter "CHOCH" au point de cassure.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Un CHOCH n'est pas automatiquement fiable : il peut n'être qu'une prise de liquidité ou une structure interne. Le confirmer avec le contexte de l'UT supérieure.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1.4 BOS (Break of Structure)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cassure de structure confirmant la CONTINUATION d'une tendance déjà établie (à distinguer du CHOCH qui, lui, amorce un retournement).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Dans une tendance établie (après un CHOCH), repérer chaque cassure d'un sommet (haussier) ou d'un creux (baissier) DANS le sens de la tendance.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Chaque cassure de ce type = un BOS = confirmation que la tendance se poursuit.</w:t>
            </w:r>
          </w:p>
          <w:p>
            <w:pPr>
              <w:spacing w:after="0" w:line="256"/>
            </w:pPr>
            <w:r>
              <w:rPr>
                <w:b/>
                <w:bCs/>
                <w:sz w:val="20"/>
                <w:szCs w:val="20"/>
              </w:rPr>
              <w:t xml:space="preserve">Mémo : </w:t>
            </w:r>
            <w:r>
              <w:rPr>
                <w:sz w:val="20"/>
                <w:szCs w:val="20"/>
              </w:rPr>
              <w:t xml:space="preserve">CHOCH = début de tendance ; BOS = poursuite de tendance.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Marquer le niveau cassé et annoter "BOS". Une suite de BOS dans le même sens = tendance saine.</w:t>
            </w:r>
          </w:p>
        </w:tc>
      </w:tr>
    </w:tbl>
    <w:p>
      <w:pPr>
        <w:spacing w:after="60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2. Liquidité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2.1 BSL — Buy Side Liquidity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liquidité située AU-DESSUS d'un sommet (stops des vendeurs + ordres d'achat). Le marché va souvent la "chercher" avant de repartir à la baisse.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Repérer un sommet, un double sommet, ou une série de sommets alignés.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La zone juste au-dessus de ce/ces sommet(s) = BSL.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Plus le niveau a été testé de fois, plus la liquidité accumulée au-dessus est importante.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Tracer une ligne horizontale sur le sommet, prolongée vers la droite. Annoter "BSL".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Ne pas confondre la simple présence d'un sommet avec une prise de liquidité : la BSL n'est "prise" que lorsque le prix la balaie (sweep).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2.2 SSL — Sell Side Liquidity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liquidité située EN DESSOUS d'un creux (stops des acheteurs). Le marché va souvent la chercher avant de repartir à la hausse.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Repérer un creux, un double creux, ou une série de creux alignés.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La zone juste en dessous = SSL.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Sources multiples possibles : lignes de tendance obliques, bornes basses de range, doubles creux.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Tracer une ligne horizontale sur le creux, prolongée vers la droite. Annoter "SSL".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Sur petite UT, les niveaux de liquidité sont plus nombreux et plus cruciaux — les mettre en contexte avec l'UT supérieure.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2.3 Sweep (prise de liquidité)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le moment où le prix balaie une BSL ou une SSL — généralement une mèche qui dépasse le niveau puis réintègre. C'est le déclencheur d'un mouvement.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Surveiller une BSL/SSL identifiée.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Un sweep = le prix dépasse le niveau (souvent par une mèche marquée) PUIS réintègre de l'autre côté.</w:t>
            </w:r>
          </w:p>
          <w:p>
            <w:pPr>
              <w:spacing w:after="0" w:line="256"/>
            </w:pPr>
            <w:r>
              <w:rPr>
                <w:b/>
                <w:bCs/>
                <w:sz w:val="20"/>
                <w:szCs w:val="20"/>
              </w:rPr>
              <w:t xml:space="preserve">Séquence complète recherchée : </w:t>
            </w:r>
            <w:r>
              <w:rPr>
                <w:sz w:val="20"/>
                <w:szCs w:val="20"/>
              </w:rPr>
              <w:t xml:space="preserve">Liquidité → Sweep → Réaction → Réintégration.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Annoter la mèche de dépassement "sweep". C'est le point de départ du scénario de retournement.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Un dépassement qui CLÔTURE franchement au-delà (sans réintégrer) n'est pas un sweep mais une vraie cassure. Distinguer les deux.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2.4 Inducement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liquidité "piège" placée juste AVANT une vraie zone d'intérêt (POI), destinée à attirer les entrées prématurées.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Repérer la vraie zone d'intérêt visée (OB, FVG, demande/offre).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Chercher, juste en amont dans le sens du mouvement, un petit niveau attractif (double creux/sommet, structure mineure) où des traders placeraient une entrée avec stop serré.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Ce niveau intermédiaire = inducement : le prix va souvent le prendre avant d'atteindre le vrai POI.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Marquer ce niveau intermédiaire distinctement du POI réel, pour ne pas y placer son stop trop près.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Placer son stop juste derrière l'inducement = se faire sortir juste avant que le scénario correct ne se réalise. Cause n°1 de "j'avais raison mais j'ai été stoppé".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3. Zones d'imbalance (FVG &amp; dérivés)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3.1 FVG — Fair Value Gap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écart/inefficience laissé par un mouvement brusque, sur une formation de 3 bougies. Traduit un déséquilibre acheteurs/vendeurs.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Prendre 3 bougies consécutives (bougie 1, 2, 3).</w:t>
            </w:r>
          </w:p>
          <w:p>
            <w:pPr>
              <w:spacing w:after="50" w:line="256"/>
            </w:pPr>
            <w:r>
              <w:rPr>
                <w:b/>
                <w:bCs/>
                <w:sz w:val="20"/>
                <w:szCs w:val="20"/>
              </w:rPr>
              <w:t xml:space="preserve">FVG haussier : </w:t>
            </w:r>
            <w:r>
              <w:rPr>
                <w:sz w:val="20"/>
                <w:szCs w:val="20"/>
              </w:rPr>
              <w:t xml:space="preserve">le LOW de la bougie 3 est au-dessus du HIGH de la bougie 1 → un espace vide subsiste (aucun contact des mèches).</w:t>
            </w:r>
          </w:p>
          <w:p>
            <w:pPr>
              <w:spacing w:after="50" w:line="256"/>
            </w:pPr>
            <w:r>
              <w:rPr>
                <w:b/>
                <w:bCs/>
                <w:sz w:val="20"/>
                <w:szCs w:val="20"/>
              </w:rPr>
              <w:t xml:space="preserve">FVG baissier : </w:t>
            </w:r>
            <w:r>
              <w:rPr>
                <w:sz w:val="20"/>
                <w:szCs w:val="20"/>
              </w:rPr>
              <w:t xml:space="preserve">le HIGH de la bougie 3 est en dessous du LOW de la bougie 1.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La couleur des bougies n'a AUCUNE importance — seule compte la position des mèches.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S'il y a chevauchement (contact) entre bougie 1 et bougie 3 → pas de FVG.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Tracer un rectangle entre le high de la bougie 1 et le low de la bougie 3 (ou inverse selon le sens), dans l'espace non comblé, prolongé vers la droite.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Un FVG isolé n'est pas un setup. Il doit s'inscrire dans un contexte (liquidité + structure + biais).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3.2 IFVG — Inverted Fair Value Gap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une FVG qui n'est plus respectée et se retourne : elle passe d'un signal de continuation à un signal de retournement.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Partir d'une FVG existante.</w:t>
            </w:r>
          </w:p>
          <w:p>
            <w:pPr>
              <w:spacing w:after="50" w:line="256"/>
            </w:pPr>
            <w:r>
              <w:rPr>
                <w:b/>
                <w:bCs/>
                <w:sz w:val="20"/>
                <w:szCs w:val="20"/>
              </w:rPr>
              <w:t xml:space="preserve">Confirmation stricte : </w:t>
            </w:r>
            <w:r>
              <w:rPr>
                <w:sz w:val="20"/>
                <w:szCs w:val="20"/>
              </w:rPr>
              <w:t xml:space="preserve">il faut une CLÔTURE de bougie de l'autre côté de la FVG (une mèche qui traverse ne suffit pas).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FVG haussière cassée + clôture en dessous → IFVG baissier. FVG baissière cassée + clôture au-dessus → IFVG haussier.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Ré-annoter l'ancienne FVG en "IFVG" ; elle devient une nouvelle zone de retest (logique de support devenu résistance ou inverse).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Ne pas valider sur une simple mèche : sans clôture de l'autre côté, la FVG n'est pas "inversée".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3.3 BPR — Balance Price Range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zone d'équilibre formée par le CHEVAUCHEMENT d'une FVG haussière et d'une FVG baissière opposées.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Repérer 2 FVG opposées successives (ex. une FVG haussière puis une FVG baissière).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La seconde doit casser la première avec une clôture de l'autre côté (= confirmation IFVG).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Le BPR = la zone COMMUNE (le chevauchement) entre les deux FVG — pas l'ensemble des deux.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Tracer un rectangle sur la seule zone de chevauchement des deux FVG. Prolonger vers la droite. Annoter "BPR".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Plus fiable en confluence avec un sweep de liquidité juste avant sa formation. Seul, il reste une zone parmi d'autres.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4. Order Blocks &amp; blocs dérivés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4.1 OB — Order Block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trace de l'intervention de la Smart Money : la dernière bougie opposée avant un mouvement impulsif.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b/>
                <w:bCs/>
                <w:sz w:val="20"/>
                <w:szCs w:val="20"/>
              </w:rPr>
              <w:t xml:space="preserve">OB haussier (demande) : </w:t>
            </w:r>
            <w:r>
              <w:rPr>
                <w:sz w:val="20"/>
                <w:szCs w:val="20"/>
              </w:rPr>
              <w:t xml:space="preserve">la DERNIÈRE bougie de baisse avant la hausse impulsive ("dernier sell avant le buy").</w:t>
            </w:r>
          </w:p>
          <w:p>
            <w:pPr>
              <w:spacing w:after="50" w:line="256"/>
            </w:pPr>
            <w:r>
              <w:rPr>
                <w:b/>
                <w:bCs/>
                <w:sz w:val="20"/>
                <w:szCs w:val="20"/>
              </w:rPr>
              <w:t xml:space="preserve">OB baissier (offre) : </w:t>
            </w:r>
            <w:r>
              <w:rPr>
                <w:sz w:val="20"/>
                <w:szCs w:val="20"/>
              </w:rPr>
              <w:t xml:space="preserve">la DERNIÈRE bougie de hausse avant la baisse impulsive ("dernier buy avant le sell").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La couleur de la bougie n'est pas déterminante.</w:t>
            </w:r>
          </w:p>
          <w:p>
            <w:pPr>
              <w:spacing w:after="0" w:line="256"/>
            </w:pPr>
            <w:r>
              <w:rPr>
                <w:b/>
                <w:bCs/>
                <w:sz w:val="20"/>
                <w:szCs w:val="20"/>
              </w:rPr>
              <w:t xml:space="preserve">Critère de qualité : </w:t>
            </w:r>
            <w:r>
              <w:rPr>
                <w:sz w:val="20"/>
                <w:szCs w:val="20"/>
              </w:rPr>
              <w:t xml:space="preserve">un OB est meilleur s'il est à l'origine d'un BOS (cassure de structure).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Tracer un rectangle entre le HIGH et le LOW de cette bougie, prolongé vers la droite. Option : entrer sur la ligne médiane (50%) de la zone pour un meilleur ratio.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3 OB à éviter (Smart Money Trap) : (1) OB à contre-tendance pure ; (2) OB sans prise de liquidité préalable ; (3) OB déjà testé/mitigé. Un OB frais et non testé est le plus fiable.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4.2 Order Block 2.0 (affinage)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technique pour resserrer l'entrée : identifier un OB mineur à l'intérieur d'un OB majeur, via une UT inférieure.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Identifier l'OB majeur sur l'UT de travail.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Descendre sur une UT inférieure et chercher, à l'intérieur de la zone majeure, un OB mineur (souvent avec sa propre FVG).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Entrer sur cet OB mineur plutôt que sur toute la zone majeure.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Tracer le petit rectangle de l'OB mineur à l'intérieur du grand. C'est lui qui porte l'entrée et le stop.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Stop plus serré = plus souvent touché, et risque que le prix réagisse dès l'entrée de la zone majeure sans jamais atteindre l'OB mineur. C'est un arbitrage, pas un gain gratuit.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4.3 Breaker Block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un Order Block cassé, alors que la structure CONTINUE — il change alors de rôle (support ↔ résistance).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Séquence : BOS confirmant la tendance, puis CHOCH.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Identifier l'OB à l'origine du BOS.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Cet OB, une fois cassé par le CHOCH, devient le Breaker Block — attendu pour un retest dans le sens du CHOCH.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Conserver le rectangle de l'OB d'origine ; il sert désormais de zone de retest dans le sens opposé. Annoter "Breaker".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À distinguer du Mitigation Block : le Breaker apparaît quand la structure fait un nouveau plus haut/bas (continuation), le Mitigation quand elle ne le fait PAS.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4.4 Mitigation Block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zone où des positions perdantes sont neutralisées (ramenées à l'équilibre) avant un retournement. Apparaît quand la structure NE continue PAS.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En tendance baissière : au lieu d'un nouveau creux plus bas, le marché forme un creux PLUS HAUT que le précédent (pas de continuation).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Puis cassure du sommet correspondant → les positions de vente de cette zone deviennent perdantes.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La zone de ces positions = Mitigation Block (elles sont clôturées à l'équilibre, générant le mouvement inverse).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Logique symétrique pour une tendance haussière.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Tracer la zone de la bougie/consolidation d'origine des positions neutralisées. Annoter "MB".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Toujours contextualiser (confluence multi-timeframe). Et ne pas entrer avant le retracement effectif sur la zone (FOMO).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4.5 Rejection Block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la zone de la MÈCHE d'une bougie de rejet, dans une zone clé. C'est la mèche elle-même qui constitue le bloc.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Repérer une zone de réaction (demande/offre, borne de range).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Y observer une bougie de rejet avec une mèche marquée.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L'espace entre le corps et l'extrémité de la mèche = Rejection Block.</w:t>
            </w:r>
          </w:p>
          <w:p>
            <w:pPr>
              <w:spacing w:after="0" w:line="256"/>
            </w:pPr>
            <w:r>
              <w:rPr>
                <w:b/>
                <w:bCs/>
                <w:sz w:val="20"/>
                <w:szCs w:val="20"/>
              </w:rPr>
              <w:t xml:space="preserve">Validation : </w:t>
            </w:r>
            <w:r>
              <w:rPr>
                <w:sz w:val="20"/>
                <w:szCs w:val="20"/>
              </w:rPr>
              <w:t xml:space="preserve">confirmée par au moins 2 bougies dans le sens opposé qui établissent le creux/sommet.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Tracer un rectangle sur l'espace de la mèche (le corps compte plus que la longueur exacte de la mèche, variable selon les brokers). Entrée possible aux 50% de la mèche.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Très fréquent aux bornes de range (fausse cassure + rejet). Un ordre en attente placé trop tôt peut être piégé par la mèche : préférer une confirmation.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5. Zones de prix (Premium / Discount / OTE)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5.1 Premium / Discount (Dealing Range)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division d'un range en deux moitiés par le niveau 50%. Premium = moitié haute (vendre) ; Discount = moitié basse (acheter).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Identifier un sommet de référence et un creux de référence (dans le sens du biais).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Appliquer un retracement de Fibonacci entre les deux ; ne garder que le niveau 50%.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Au-dessus de 50% = Premium (zone de vente). En dessous = Discount (zone d'achat).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Outils : retracement Fibonacci (niveau 50% seul) ou "Gann Box" (MetaTrader 5 / TradingView). Le sommet = BSL, le creux = SSL.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Nécessite un biais/tendance déjà établi pour tracer correctement les bornes. À ne pas utiliser sans référence de tendance.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5.2 OTE — Optimal Trade Entry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zone de retracement profonde (62–79%), version plus stricte et sélective que le simple filtre Premium/Discount.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Nécessite d'abord une cassure de structure pour définir la "jambe" d'impulsion à mesurer.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Appliquer le Fibonacci sur cette jambe (du creux vers le sommet, ou inverse).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Conserver la zone entre 0,618 (61,8%) et 0,786 (78,6%) — centre optimal ~0,705 (70,5%).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Marquer la bande 62–79%. Extensions utiles pour les cibles : 23,6% / 61,8% / 100% / 200%. Chercher une confluence OB/FVG à l'intérieur.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Filtre très strict = peu d'opportunités. Ne pas sur-optimiser en empilant trop de conditions dans cette zone.</w:t>
            </w:r>
          </w:p>
        </w:tc>
      </w:tr>
    </w:tbl>
    <w:p>
      <w:pPr>
        <w:spacing w:after="140"/>
      </w:pP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6. Repères temporels &amp; divergence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6.1 Range Asiatique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range basé sur le TEMPS (23h–7h Paris), et non sur une figure de prix. Sert de zone d'accumulation quotidienne.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Délimiter la fenêtre 23h–7h (heure de Paris).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Repérer le point le plus haut (borne haute) et le plus bas (borne basse) de cette fenêtre — un seul de chaque.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Surtout pertinent sur paires européennes (EUR, GBP, CHF), peu volatiles la nuit.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Tracer deux lignes horizontales (borne haute / borne basse) prolongées sur la session de Londres. Ce sont des niveaux de liquidité, pas des points d'entrée directs.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Ne se trade PAS directement : c'est un contexte pour la session européenne (ouverture Londres ~9h Paris).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6.2 SMT Divergence</w:t>
      </w:r>
    </w:p>
    <w:p>
      <w:pPr>
        <w:spacing w:after="90" w:line="264"/>
      </w:pPr>
      <w:r>
        <w:rPr>
          <w:b/>
          <w:bCs/>
          <w:color w:val="1F3A5F"/>
          <w:sz w:val="21"/>
          <w:szCs w:val="21"/>
        </w:rPr>
        <w:t xml:space="preserve">Définition — </w:t>
      </w:r>
      <w:r>
        <w:rPr>
          <w:sz w:val="21"/>
          <w:szCs w:val="21"/>
        </w:rPr>
        <w:t xml:space="preserve">divergence de comportement entre deux actifs corrélés, lue directement sur les prix (pas un indicateur type RSI).</w:t>
      </w:r>
    </w:p>
    <w:p>
      <w:pPr>
        <w:spacing w:after="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🔍 Détection — étape par étape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Choisir deux actifs corrélés (ex. S&amp;P500/Nasdaq = corrélation + ; USDX/EUR-USD = corrélation −).</w:t>
            </w:r>
          </w:p>
          <w:p>
            <w:pPr>
              <w:spacing w:after="50" w:line="256"/>
            </w:pPr>
            <w:r>
              <w:rPr>
                <w:sz w:val="20"/>
                <w:szCs w:val="20"/>
              </w:rPr>
              <w:t xml:space="preserve">Comparer les sommets/creux formés au MÊME horodatage (même minute, ou 5 min près).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Si l'un respecte la structure attendue et l'autre non (ex. sommet plus haut vs sommet plus bas) → divergence.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✏️ Tracé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Marquer les deux sommets/creux comparés sur les deux graphiques, au même instant.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Piège à éviter</w:t>
            </w:r>
          </w:p>
          <w:p>
            <w:pPr>
              <w:spacing w:after="0" w:line="256"/>
            </w:pPr>
            <w:r>
              <w:rPr>
                <w:sz w:val="20"/>
                <w:szCs w:val="20"/>
              </w:rPr>
              <w:t xml:space="preserve">N'est PAS un signal d'entrée en soi — seulement une CONFIRMATION d'un biais déjà établi sur l'actif tradé.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7. Tableau récapitulatif express</w:t>
      </w:r>
    </w:p>
    <w:p>
      <w:pPr>
        <w:spacing w:after="90" w:line="264"/>
      </w:pPr>
      <w:r>
        <w:rPr>
          <w:i/>
          <w:iCs/>
          <w:color w:val="555555"/>
          <w:sz w:val="21"/>
          <w:szCs w:val="21"/>
        </w:rPr>
        <w:t xml:space="preserve">La règle de détection la plus courte pour chaque élément.</w:t>
      </w:r>
    </w:p>
    <w:p>
      <w:pPr>
        <w:spacing w:after="60"/>
      </w:pPr>
    </w:p>
    <w:tbl>
      <w:tblPr>
        <w:tblW w:type="dxa" w:w="9360"/>
        <w:tblBorders>
          <w:top w:val="single" w:color="2E5E8C" w:sz="2"/>
          <w:left w:val="single" w:color="2E5E8C" w:sz="2"/>
          <w:bottom w:val="single" w:color="2E5E8C" w:sz="2"/>
          <w:right w:val="single" w:color="2E5E8C" w:sz="2"/>
          <w:insideH w:val="single" w:color="BBBBBB" w:sz="1"/>
          <w:insideV w:val="single" w:color="BBBBBB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76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Règle de détection en une phrase</w:t>
            </w:r>
          </w:p>
        </w:tc>
      </w:tr>
      <w:tr>
        <w:tc>
          <w:tcPr>
            <w:tcW w:type="dxa" w:w="26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Sommet/Creux</w:t>
            </w:r>
          </w:p>
        </w:tc>
        <w:tc>
          <w:tcPr>
            <w:tcW w:type="dxa" w:w="67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High/low local, validé après 2 bougies opposées consécutives.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CHOCH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1re cassure à contre-tendance (dernier creux en hausse / dernier sommet en baisse).</w:t>
            </w:r>
          </w:p>
        </w:tc>
      </w:tr>
      <w:tr>
        <w:tc>
          <w:tcPr>
            <w:tcW w:type="dxa" w:w="26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BOS</w:t>
            </w:r>
          </w:p>
        </w:tc>
        <w:tc>
          <w:tcPr>
            <w:tcW w:type="dxa" w:w="67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Cassure dans le sens de la tendance établie (continuation).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BSL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au-dessus d'un sommet (liquidité d'achat).</w:t>
            </w:r>
          </w:p>
        </w:tc>
      </w:tr>
      <w:tr>
        <w:tc>
          <w:tcPr>
            <w:tcW w:type="dxa" w:w="26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SSL</w:t>
            </w:r>
          </w:p>
        </w:tc>
        <w:tc>
          <w:tcPr>
            <w:tcW w:type="dxa" w:w="67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en dessous d'un creux (liquidité de vente).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Sweep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Mèche qui dépasse une BSL/SSL puis réintègre.</w:t>
            </w:r>
          </w:p>
        </w:tc>
      </w:tr>
      <w:tr>
        <w:tc>
          <w:tcPr>
            <w:tcW w:type="dxa" w:w="26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Inducement</w:t>
            </w:r>
          </w:p>
        </w:tc>
        <w:tc>
          <w:tcPr>
            <w:tcW w:type="dxa" w:w="67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Petit niveau attractif juste avant le vrai POI (piège à stops).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FVG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bougies : espace non comblé entre high bougie 1 et low bougie 3 (ou inverse).</w:t>
            </w:r>
          </w:p>
        </w:tc>
      </w:tr>
      <w:tr>
        <w:tc>
          <w:tcPr>
            <w:tcW w:type="dxa" w:w="26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IFVG</w:t>
            </w:r>
          </w:p>
        </w:tc>
        <w:tc>
          <w:tcPr>
            <w:tcW w:type="dxa" w:w="67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FVG cassée par une CLÔTURE de l'autre côté → rôle inversé.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BPR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Chevauchement d'une FVG haussière et d'une FVG baissière opposées.</w:t>
            </w:r>
          </w:p>
        </w:tc>
      </w:tr>
      <w:tr>
        <w:tc>
          <w:tcPr>
            <w:tcW w:type="dxa" w:w="26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Order Block</w:t>
            </w:r>
          </w:p>
        </w:tc>
        <w:tc>
          <w:tcPr>
            <w:tcW w:type="dxa" w:w="67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Dernière bougie opposée avant le mouvement impulsif.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 2.0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 mineur (UT inférieure) à l'intérieur d'un OB majeur.</w:t>
            </w:r>
          </w:p>
        </w:tc>
      </w:tr>
      <w:tr>
        <w:tc>
          <w:tcPr>
            <w:tcW w:type="dxa" w:w="26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Breaker Block</w:t>
            </w:r>
          </w:p>
        </w:tc>
        <w:tc>
          <w:tcPr>
            <w:tcW w:type="dxa" w:w="67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 cassé pendant que la structure CONTINUE → change de rôle.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Mitigation Block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 de neutralisation quand la structure NE continue PAS (creux plus haut).</w:t>
            </w:r>
          </w:p>
        </w:tc>
      </w:tr>
      <w:tr>
        <w:tc>
          <w:tcPr>
            <w:tcW w:type="dxa" w:w="26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Rejection Block</w:t>
            </w:r>
          </w:p>
        </w:tc>
        <w:tc>
          <w:tcPr>
            <w:tcW w:type="dxa" w:w="67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zone de la mèche d'une bougie de rejet.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Premium/Discount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Au-dessus / en dessous du niveau 50% d'un range.</w:t>
            </w:r>
          </w:p>
        </w:tc>
      </w:tr>
      <w:tr>
        <w:tc>
          <w:tcPr>
            <w:tcW w:type="dxa" w:w="26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OTE</w:t>
            </w:r>
          </w:p>
        </w:tc>
        <w:tc>
          <w:tcPr>
            <w:tcW w:type="dxa" w:w="67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Retracement 62–79% (centre 70,5%).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Range Asiatique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Haut/bas de la fenêtre 23h–7h Paris.</w:t>
            </w:r>
          </w:p>
        </w:tc>
      </w:tr>
      <w:tr>
        <w:tc>
          <w:tcPr>
            <w:tcW w:type="dxa" w:w="26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SMT Divergence</w:t>
            </w:r>
          </w:p>
        </w:tc>
        <w:tc>
          <w:tcPr>
            <w:tcW w:type="dxa" w:w="67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Deux actifs corrélés divergent au même horodatage.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20"/>
      </w:pPr>
    </w:p>
    <w:p>
      <w:pPr>
        <w:spacing w:after="90" w:line="264"/>
        <w:jc w:val="center"/>
      </w:pPr>
      <w:r>
        <w:rPr>
          <w:i/>
          <w:iCs/>
          <w:color w:val="555555"/>
          <w:sz w:val="18"/>
          <w:szCs w:val="18"/>
        </w:rPr>
        <w:t xml:space="preserve">Annexe de détection — à lire conjointement avec la synthèse stratégie V3. Chaque règle de repérage doit être vérifiée sur graphique et validée par un backtest personnel.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de détection des indicateurs SMC/ICT</dc:title>
  <dc:creator>Manuel de détection SMC</dc:creator>
  <cp:lastModifiedBy>Un-named</cp:lastModifiedBy>
  <cp:revision>1</cp:revision>
  <dcterms:created xsi:type="dcterms:W3CDTF">2026-08-25T14:41:28.718Z</dcterms:created>
  <dcterms:modified xsi:type="dcterms:W3CDTF">2026-08-25T14:41:28.731Z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