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Rutiere, Mecatronic</w:t>
            </w:r>
            <w:r>
              <w:rPr>
                <w:b/>
                <w:sz w:val="22"/>
                <w:szCs w:val="22"/>
              </w:rPr>
              <w:t xml:space="preserve">ă și </w:t>
            </w:r>
            <w:r>
              <w:rPr>
                <w:b/>
                <w:sz w:val="22"/>
                <w:szCs w:val="22"/>
                <w:lang w:val="en-US"/>
              </w:rPr>
              <w:t>Mecanic</w:t>
            </w:r>
            <w:r>
              <w:rPr>
                <w:b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World company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avizării în Consiliul Departamentului ART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aprobării în Consiliul Facultății ARMM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EDF339B"/>
    <w:rsid w:val="56FAC7CD"/>
    <w:rsid w:val="58FF778A"/>
    <w:rsid w:val="85FBD87F"/>
    <w:rsid w:val="A85F397C"/>
    <w:rsid w:val="ABF57EDC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21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2022-09-25T13:27:00Z</dcterms:created>
  <dc:creator>Raluca</dc:creator>
  <cp:lastModifiedBy>vlad</cp:lastModifiedBy>
  <dcterms:modified xsi:type="dcterms:W3CDTF">2022-10-21T13:10:44Z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