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Projektbeschrieb</w:t>
      </w:r>
    </w:p>
    <w:p>
      <w:r>
        <w:t>Überbauung Seefeld — Neubau Wohn- und Geschäftshaus</w:t>
      </w:r>
    </w:p>
    <w:p>
      <w:r>
        <w:t>Seefeldstrasse 128, 8008 Zürich</w:t>
      </w:r>
    </w:p>
    <w:p/>
    <w:p>
      <w:pPr>
        <w:pStyle w:val="Heading1"/>
      </w:pPr>
      <w:r>
        <w:t>1. Ausgangslage</w:t>
      </w:r>
    </w:p>
    <w:p>
      <w:r>
        <w:t>Auf dem Grundstück Kat.-Nr. 8008-1247 an der Seefeldstrasse 128 in Zürich befindet sich derzeit ein zweigeschossiges Gewerbegebäude aus den 1960er-Jahren, das nicht mehr den heutigen Anforderungen an Energieeffizienz und Nutzung entspricht. Das Grundstück liegt in der Wohnzone W5 gemäss BZO der Stadt Zürich und ist dem ISOS-Gebiet «Seefeld» zugeordnet. Die Seefeld Immobilien AG beabsichtigt den Abbruch des Bestandsgebäudes und die Errichtung eines zeitgemässen Wohn- und Geschäftshauses.</w:t>
      </w:r>
    </w:p>
    <w:p>
      <w:pPr>
        <w:pStyle w:val="Heading1"/>
      </w:pPr>
      <w:r>
        <w:t>2. Projektkonzept</w:t>
      </w:r>
    </w:p>
    <w:p>
      <w:r>
        <w:t>Der Neubau umfasst sieben Obergeschosse, ein Attikageschoss mit Dachterrassen sowie zwei Untergeschosse für Tiefgarage und Haustechnik. Die Architektur orientiert sich an der für das Seefeld-Quartier typischen Blockrandbebauung und integriert einen begrünten Innenhof, der allen Bewohnern als gemeinschaftlicher Freiraum dient.</w:t>
      </w:r>
    </w:p>
    <w:p>
      <w:pPr>
        <w:pStyle w:val="Heading2"/>
      </w:pPr>
      <w:r>
        <w:t>2.1 Nutzungskonzept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Geschoss</w:t>
            </w:r>
          </w:p>
        </w:tc>
        <w:tc>
          <w:tcPr>
            <w:tcW w:type="dxa" w:w="2160"/>
          </w:tcPr>
          <w:p>
            <w:r>
              <w:t>Nutzung</w:t>
            </w:r>
          </w:p>
        </w:tc>
        <w:tc>
          <w:tcPr>
            <w:tcW w:type="dxa" w:w="2160"/>
          </w:tcPr>
          <w:p>
            <w:r>
              <w:t>Fläche (m²)</w:t>
            </w:r>
          </w:p>
        </w:tc>
        <w:tc>
          <w:tcPr>
            <w:tcW w:type="dxa" w:w="2160"/>
          </w:tcPr>
          <w:p>
            <w:r>
              <w:t>Bemerkung</w:t>
            </w:r>
          </w:p>
        </w:tc>
      </w:tr>
      <w:tr>
        <w:tc>
          <w:tcPr>
            <w:tcW w:type="dxa" w:w="2160"/>
          </w:tcPr>
          <w:p>
            <w:r>
              <w:t>EG</w:t>
            </w:r>
          </w:p>
        </w:tc>
        <w:tc>
          <w:tcPr>
            <w:tcW w:type="dxa" w:w="2160"/>
          </w:tcPr>
          <w:p>
            <w:r>
              <w:t>Gewerbe / Detailhandel</w:t>
            </w:r>
          </w:p>
        </w:tc>
        <w:tc>
          <w:tcPr>
            <w:tcW w:type="dxa" w:w="2160"/>
          </w:tcPr>
          <w:p>
            <w:r>
              <w:t>680</w:t>
            </w:r>
          </w:p>
        </w:tc>
        <w:tc>
          <w:tcPr>
            <w:tcW w:type="dxa" w:w="2160"/>
          </w:tcPr>
          <w:p>
            <w:r>
              <w:t>Drei Ladenlokale, Zugang Innenhof</w:t>
            </w:r>
          </w:p>
        </w:tc>
      </w:tr>
      <w:tr>
        <w:tc>
          <w:tcPr>
            <w:tcW w:type="dxa" w:w="2160"/>
          </w:tcPr>
          <w:p>
            <w:r>
              <w:t>1.–3. OG</w:t>
            </w:r>
          </w:p>
        </w:tc>
        <w:tc>
          <w:tcPr>
            <w:tcW w:type="dxa" w:w="2160"/>
          </w:tcPr>
          <w:p>
            <w:r>
              <w:t>Mietwohnungen</w:t>
            </w:r>
          </w:p>
        </w:tc>
        <w:tc>
          <w:tcPr>
            <w:tcW w:type="dxa" w:w="2160"/>
          </w:tcPr>
          <w:p>
            <w:r>
              <w:t>3 × 920</w:t>
            </w:r>
          </w:p>
        </w:tc>
        <w:tc>
          <w:tcPr>
            <w:tcW w:type="dxa" w:w="2160"/>
          </w:tcPr>
          <w:p>
            <w:r>
              <w:t>18 Wohnungen (2.5–4.5 Zi.)</w:t>
            </w:r>
          </w:p>
        </w:tc>
      </w:tr>
      <w:tr>
        <w:tc>
          <w:tcPr>
            <w:tcW w:type="dxa" w:w="2160"/>
          </w:tcPr>
          <w:p>
            <w:r>
              <w:t>4.–5. OG</w:t>
            </w:r>
          </w:p>
        </w:tc>
        <w:tc>
          <w:tcPr>
            <w:tcW w:type="dxa" w:w="2160"/>
          </w:tcPr>
          <w:p>
            <w:r>
              <w:t>Mietwohnungen</w:t>
            </w:r>
          </w:p>
        </w:tc>
        <w:tc>
          <w:tcPr>
            <w:tcW w:type="dxa" w:w="2160"/>
          </w:tcPr>
          <w:p>
            <w:r>
              <w:t>2 × 880</w:t>
            </w:r>
          </w:p>
        </w:tc>
        <w:tc>
          <w:tcPr>
            <w:tcW w:type="dxa" w:w="2160"/>
          </w:tcPr>
          <w:p>
            <w:r>
              <w:t>12 Wohnungen (3.5–5.5 Zi.)</w:t>
            </w:r>
          </w:p>
        </w:tc>
      </w:tr>
      <w:tr>
        <w:tc>
          <w:tcPr>
            <w:tcW w:type="dxa" w:w="2160"/>
          </w:tcPr>
          <w:p>
            <w:r>
              <w:t>6. OG</w:t>
            </w:r>
          </w:p>
        </w:tc>
        <w:tc>
          <w:tcPr>
            <w:tcW w:type="dxa" w:w="2160"/>
          </w:tcPr>
          <w:p>
            <w:r>
              <w:t>Mietwohnungen</w:t>
            </w:r>
          </w:p>
        </w:tc>
        <w:tc>
          <w:tcPr>
            <w:tcW w:type="dxa" w:w="2160"/>
          </w:tcPr>
          <w:p>
            <w:r>
              <w:t>760</w:t>
            </w:r>
          </w:p>
        </w:tc>
        <w:tc>
          <w:tcPr>
            <w:tcW w:type="dxa" w:w="2160"/>
          </w:tcPr>
          <w:p>
            <w:r>
              <w:t>6 Wohnungen (4.5–5.5 Zi.)</w:t>
            </w:r>
          </w:p>
        </w:tc>
      </w:tr>
      <w:tr>
        <w:tc>
          <w:tcPr>
            <w:tcW w:type="dxa" w:w="2160"/>
          </w:tcPr>
          <w:p>
            <w:r>
              <w:t>Attika</w:t>
            </w:r>
          </w:p>
        </w:tc>
        <w:tc>
          <w:tcPr>
            <w:tcW w:type="dxa" w:w="2160"/>
          </w:tcPr>
          <w:p>
            <w:r>
              <w:t>Mietwohnungen</w:t>
            </w:r>
          </w:p>
        </w:tc>
        <w:tc>
          <w:tcPr>
            <w:tcW w:type="dxa" w:w="2160"/>
          </w:tcPr>
          <w:p>
            <w:r>
              <w:t>520</w:t>
            </w:r>
          </w:p>
        </w:tc>
        <w:tc>
          <w:tcPr>
            <w:tcW w:type="dxa" w:w="2160"/>
          </w:tcPr>
          <w:p>
            <w:r>
              <w:t>4 Attika-Wohnungen mit Terrasse</w:t>
            </w:r>
          </w:p>
        </w:tc>
      </w:tr>
      <w:tr>
        <w:tc>
          <w:tcPr>
            <w:tcW w:type="dxa" w:w="2160"/>
          </w:tcPr>
          <w:p>
            <w:r>
              <w:t>1. UG</w:t>
            </w:r>
          </w:p>
        </w:tc>
        <w:tc>
          <w:tcPr>
            <w:tcW w:type="dxa" w:w="2160"/>
          </w:tcPr>
          <w:p>
            <w:r>
              <w:t>Tiefgarage</w:t>
            </w:r>
          </w:p>
        </w:tc>
        <w:tc>
          <w:tcPr>
            <w:tcW w:type="dxa" w:w="2160"/>
          </w:tcPr>
          <w:p>
            <w:r>
              <w:t>2 400</w:t>
            </w:r>
          </w:p>
        </w:tc>
        <w:tc>
          <w:tcPr>
            <w:tcW w:type="dxa" w:w="2160"/>
          </w:tcPr>
          <w:p>
            <w:r>
              <w:t>68 Parkplätze, Veloraum</w:t>
            </w:r>
          </w:p>
        </w:tc>
      </w:tr>
      <w:tr>
        <w:tc>
          <w:tcPr>
            <w:tcW w:type="dxa" w:w="2160"/>
          </w:tcPr>
          <w:p>
            <w:r>
              <w:t>2. UG</w:t>
            </w:r>
          </w:p>
        </w:tc>
        <w:tc>
          <w:tcPr>
            <w:tcW w:type="dxa" w:w="2160"/>
          </w:tcPr>
          <w:p>
            <w:r>
              <w:t>Haustechnik / Keller</w:t>
            </w:r>
          </w:p>
        </w:tc>
        <w:tc>
          <w:tcPr>
            <w:tcW w:type="dxa" w:w="2160"/>
          </w:tcPr>
          <w:p>
            <w:r>
              <w:t>1 800</w:t>
            </w:r>
          </w:p>
        </w:tc>
        <w:tc>
          <w:tcPr>
            <w:tcW w:type="dxa" w:w="2160"/>
          </w:tcPr>
          <w:p>
            <w:r>
              <w:t>Technikzentrale, Kellerabteile</w:t>
            </w:r>
          </w:p>
        </w:tc>
      </w:tr>
      <w:tr>
        <w:tc>
          <w:tcPr>
            <w:tcW w:type="dxa" w:w="2160"/>
          </w:tcPr>
          <w:p>
            <w:r>
              <w:t>Dach</w:t>
            </w:r>
          </w:p>
        </w:tc>
        <w:tc>
          <w:tcPr>
            <w:tcW w:type="dxa" w:w="2160"/>
          </w:tcPr>
          <w:p>
            <w:r>
              <w:t>PV-Anlage / Begrünung</w:t>
            </w:r>
          </w:p>
        </w:tc>
        <w:tc>
          <w:tcPr>
            <w:tcW w:type="dxa" w:w="2160"/>
          </w:tcPr>
          <w:p>
            <w:r>
              <w:t>950</w:t>
            </w:r>
          </w:p>
        </w:tc>
        <w:tc>
          <w:tcPr>
            <w:tcW w:type="dxa" w:w="2160"/>
          </w:tcPr>
          <w:p>
            <w:r>
              <w:t>Biodiversitätsdach</w:t>
            </w:r>
          </w:p>
        </w:tc>
      </w:tr>
    </w:tbl>
    <w:p>
      <w:pPr>
        <w:pStyle w:val="Heading2"/>
      </w:pPr>
      <w:r>
        <w:t>2.2 Konstruktion und Materialisierung</w:t>
      </w:r>
    </w:p>
    <w:p>
      <w:r>
        <w:t>Tragstruktur: Stahlbetonskelettkonstruktion mit aussteifenden Kernen (Treppenhäuser, Liftschächte). Geschossdecken als Flachdecken d=26 cm. Gründung auf Bohrpfählen (Ø 80 cm, Länge ca. 18 m bis Obere Süsswassermolasse).</w:t>
      </w:r>
    </w:p>
    <w:p>
      <w:r>
        <w:t>Fassade: Vorfabrizierte Sichtbetonelemente (Besenstrich-Struktur, Farbton «Sandstein hell») mit Holz-Metall-Fenstern (3-fach-Verglasung, Uw ≤ 0.9 W/m²K). Aussenliegender, textiler Sonnenschutz mit Windautomatik.</w:t>
      </w:r>
    </w:p>
    <w:p>
      <w:r>
        <w:t>Innenausbau: Anhydrit-Unterlagsboden mit Fussbodenheizung, Eichenparkett in Wohnräumen, Feinsteinzeug in Nasszellen. Küchen mit Naturstein-Abdeckung und Markengeräten.</w:t>
      </w:r>
    </w:p>
    <w:p>
      <w:pPr>
        <w:pStyle w:val="Heading2"/>
      </w:pPr>
      <w:r>
        <w:t>2.3 Energie und Nachhaltigkeit</w:t>
      </w:r>
    </w:p>
    <w:p>
      <w:r>
        <w:t>Das Gebäude wird nach dem Standard Minergie-P-ECO zertifiziert. Die Wärmeversorgung erfolgt über Erdsonden-Wärmepumpen (16 Bohrungen à 250 m). Auf der Dachfläche wird eine Photovoltaik-Anlage mit 180 kWp installiert, die zusammen mit einer Batterie (150 kWh) den Eigenverbrauch optimiert. Eine kontrollierte Wohnungslüftung mit Wärmerückgewinnung (η ≥ 82%) ist in allen Wohneinheiten vorgesehen.</w:t>
      </w:r>
    </w:p>
    <w:p>
      <w:pPr>
        <w:pStyle w:val="ListBullet"/>
      </w:pPr>
      <w:r>
        <w:t>Heizwärmebedarf: ≤ 20 kWh/m²a</w:t>
      </w:r>
    </w:p>
    <w:p>
      <w:pPr>
        <w:pStyle w:val="ListBullet"/>
      </w:pPr>
      <w:r>
        <w:t>Primärenergie nicht erneuerbar: ≤ 60 kWh/m²a</w:t>
      </w:r>
    </w:p>
    <w:p>
      <w:pPr>
        <w:pStyle w:val="ListBullet"/>
      </w:pPr>
      <w:r>
        <w:t>CO₂-Emissionen: ≤ 4.0 kg/m²a</w:t>
      </w:r>
    </w:p>
    <w:p>
      <w:pPr>
        <w:pStyle w:val="ListBullet"/>
      </w:pPr>
      <w:r>
        <w:t>Eigenversorgungsgrad Strom: ca. 45%</w:t>
      </w:r>
    </w:p>
    <w:p>
      <w:pPr>
        <w:pStyle w:val="ListBullet"/>
      </w:pPr>
      <w:r>
        <w:t>Graue Energie: Optimierung durch Recyclingbeton (RC-C 30/37)</w:t>
      </w:r>
    </w:p>
    <w:p>
      <w:pPr>
        <w:pStyle w:val="Heading1"/>
      </w:pPr>
      <w:r>
        <w:t>3. Umgebungsgestaltung</w:t>
      </w:r>
    </w:p>
    <w:p>
      <w:r>
        <w:t>Der Innenhof (ca. 320 m²) wird als naturnaher Begegnungsraum gestaltet mit heimischen Baumarten (Feldahorn, Hainbuche), extensiver Begrünung und einem Spielbereich. Die Zufahrt zur Tiefgarage erfolgt über die Seitenstrasse (Bellerivestrasse). Die Vorzonen entlang der Seefeldstrasse werden als Sitzplätze für die Gewerbeeinheiten genutzt.</w:t>
      </w:r>
    </w:p>
    <w:p>
      <w:pPr>
        <w:pStyle w:val="Heading1"/>
      </w:pPr>
      <w:r>
        <w:t>4. Termine und Budget</w:t>
      </w:r>
    </w:p>
    <w:p>
      <w:r>
        <w:t>Die Bauzeit beträgt voraussichtlich 28 Monate. Der Bezug der Wohnungen ist für Juni 2028 geplant. Die Anlagekosten (BKP 1–9) belaufen sich auf CHF 62,8 Mio.</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Zeitraum</w:t>
            </w:r>
          </w:p>
        </w:tc>
        <w:tc>
          <w:tcPr>
            <w:tcW w:type="dxa" w:w="2880"/>
          </w:tcPr>
          <w:p>
            <w:r>
              <w:t>Dauer</w:t>
            </w:r>
          </w:p>
        </w:tc>
      </w:tr>
      <w:tr>
        <w:tc>
          <w:tcPr>
            <w:tcW w:type="dxa" w:w="2880"/>
          </w:tcPr>
          <w:p>
            <w:r>
              <w:t>Abbruch Bestandsgebäude</w:t>
            </w:r>
          </w:p>
        </w:tc>
        <w:tc>
          <w:tcPr>
            <w:tcW w:type="dxa" w:w="2880"/>
          </w:tcPr>
          <w:p>
            <w:r>
              <w:t>Feb – Mär 2026</w:t>
            </w:r>
          </w:p>
        </w:tc>
        <w:tc>
          <w:tcPr>
            <w:tcW w:type="dxa" w:w="2880"/>
          </w:tcPr>
          <w:p>
            <w:r>
              <w:t>6 Wochen</w:t>
            </w:r>
          </w:p>
        </w:tc>
      </w:tr>
      <w:tr>
        <w:tc>
          <w:tcPr>
            <w:tcW w:type="dxa" w:w="2880"/>
          </w:tcPr>
          <w:p>
            <w:r>
              <w:t>Baugrube und Spezialtiefbau</w:t>
            </w:r>
          </w:p>
        </w:tc>
        <w:tc>
          <w:tcPr>
            <w:tcW w:type="dxa" w:w="2880"/>
          </w:tcPr>
          <w:p>
            <w:r>
              <w:t>Mär – Jun 2026</w:t>
            </w:r>
          </w:p>
        </w:tc>
        <w:tc>
          <w:tcPr>
            <w:tcW w:type="dxa" w:w="2880"/>
          </w:tcPr>
          <w:p>
            <w:r>
              <w:t>14 Wochen</w:t>
            </w:r>
          </w:p>
        </w:tc>
      </w:tr>
      <w:tr>
        <w:tc>
          <w:tcPr>
            <w:tcW w:type="dxa" w:w="2880"/>
          </w:tcPr>
          <w:p>
            <w:r>
              <w:t>Rohbau</w:t>
            </w:r>
          </w:p>
        </w:tc>
        <w:tc>
          <w:tcPr>
            <w:tcW w:type="dxa" w:w="2880"/>
          </w:tcPr>
          <w:p>
            <w:r>
              <w:t>Jul 2026 – Apr 2027</w:t>
            </w:r>
          </w:p>
        </w:tc>
        <w:tc>
          <w:tcPr>
            <w:tcW w:type="dxa" w:w="2880"/>
          </w:tcPr>
          <w:p>
            <w:r>
              <w:t>10 Monate</w:t>
            </w:r>
          </w:p>
        </w:tc>
      </w:tr>
      <w:tr>
        <w:tc>
          <w:tcPr>
            <w:tcW w:type="dxa" w:w="2880"/>
          </w:tcPr>
          <w:p>
            <w:r>
              <w:t>Fassade und Dach</w:t>
            </w:r>
          </w:p>
        </w:tc>
        <w:tc>
          <w:tcPr>
            <w:tcW w:type="dxa" w:w="2880"/>
          </w:tcPr>
          <w:p>
            <w:r>
              <w:t>Mai – Sep 2027</w:t>
            </w:r>
          </w:p>
        </w:tc>
        <w:tc>
          <w:tcPr>
            <w:tcW w:type="dxa" w:w="2880"/>
          </w:tcPr>
          <w:p>
            <w:r>
              <w:t>5 Monate</w:t>
            </w:r>
          </w:p>
        </w:tc>
      </w:tr>
      <w:tr>
        <w:tc>
          <w:tcPr>
            <w:tcW w:type="dxa" w:w="2880"/>
          </w:tcPr>
          <w:p>
            <w:r>
              <w:t>Innenausbau und Haustechnik</w:t>
            </w:r>
          </w:p>
        </w:tc>
        <w:tc>
          <w:tcPr>
            <w:tcW w:type="dxa" w:w="2880"/>
          </w:tcPr>
          <w:p>
            <w:r>
              <w:t>Okt 2027 – Apr 2028</w:t>
            </w:r>
          </w:p>
        </w:tc>
        <w:tc>
          <w:tcPr>
            <w:tcW w:type="dxa" w:w="2880"/>
          </w:tcPr>
          <w:p>
            <w:r>
              <w:t>7 Monate</w:t>
            </w:r>
          </w:p>
        </w:tc>
      </w:tr>
      <w:tr>
        <w:tc>
          <w:tcPr>
            <w:tcW w:type="dxa" w:w="2880"/>
          </w:tcPr>
          <w:p>
            <w:r>
              <w:t>Umgebung und Abnahmen</w:t>
            </w:r>
          </w:p>
        </w:tc>
        <w:tc>
          <w:tcPr>
            <w:tcW w:type="dxa" w:w="2880"/>
          </w:tcPr>
          <w:p>
            <w:r>
              <w:t>Mai – Jun 2028</w:t>
            </w:r>
          </w:p>
        </w:tc>
        <w:tc>
          <w:tcPr>
            <w:tcW w:type="dxa" w:w="2880"/>
          </w:tcPr>
          <w:p>
            <w:r>
              <w:t>8 Wochen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