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Brandschutzkonzept</w:t>
      </w:r>
    </w:p>
    <w:p>
      <w:r>
        <w:t>Überbauung Seefeld, Seefeldstrasse 128, 8008 Zürich</w:t>
      </w:r>
    </w:p>
    <w:p>
      <w:r>
        <w:t>Erstellt: Brandschutzfachmann VKF, Büro Aegis Sicherheit AG</w:t>
      </w:r>
    </w:p>
    <w:p>
      <w:r>
        <w:t>Stand: Dezember 2025</w:t>
      </w:r>
    </w:p>
    <w:p/>
    <w:p>
      <w:pPr>
        <w:pStyle w:val="Heading1"/>
      </w:pPr>
      <w:r>
        <w:t>Gebäudekategorie</w:t>
      </w:r>
    </w:p>
    <w:p>
      <w:r>
        <w:t>Gebäude mit mittlerer Höhe (Oberkante oberste Nutzfläche ≤ 25 m). Wohn- und Geschäftshaus, Nutzung gemischt (Wohnen, Gewerbe, Tiefgarage). Einordnung nach VKF-Brandschutzrichtlinie als Gebäude mit erhöhten Anforderungen aufgrund Mischnutzung und Tiefgarage.</w:t>
      </w:r>
    </w:p>
    <w:p>
      <w:pPr>
        <w:pStyle w:val="Heading1"/>
      </w:pPr>
      <w:r>
        <w:t>Flucht- und Rettungswege</w:t>
      </w:r>
    </w:p>
    <w:p>
      <w:r>
        <w:t>Jedes Geschoss verfügt über zwei unabhängige Treppenhäuser (Treppenhaus Nord und Treppenhaus Süd) als vertikale Fluchtwege. Die Fluchtweglänge beträgt maximal 35 m von jedem Punkt der Nutzfläche. Die Treppenhäuser werden als Sicherheitstreppenhäuser mit Rauchschutz-Druckanlage (RDA) ausgeführt. Ein Feuerwehrlift (Treppenhaus Nord) ermöglicht den Feuerwehrzugang zu allen Geschossen.</w:t>
      </w:r>
    </w:p>
    <w:p>
      <w:pPr>
        <w:pStyle w:val="Heading1"/>
      </w:pPr>
      <w:r>
        <w:t>Brandabschnitte</w:t>
      </w:r>
    </w:p>
    <w:p>
      <w:r>
        <w:t>Jede Wohnung bildet einen eigenen Brandabschnitt (REI 60). Die Gewerbeeinheiten im EG sind als separate Brandabschnitte mit REI 90 Abtrennung ausgeführt. Tiefgarage: eigener Brandabschnitt mit REI 90, Abschlüsse mit T30-Brandschutztüren. Die Haustechnikzentrale im 2. UG bildet einen separaten Brandabschnitt (REI 120).</w:t>
      </w:r>
    </w:p>
    <w:p>
      <w:pPr>
        <w:pStyle w:val="Heading1"/>
      </w:pPr>
      <w:r>
        <w:t>Löscheinrichtungen</w:t>
      </w:r>
    </w:p>
    <w:p>
      <w:r>
        <w:t>Nass-Steigleitung in beiden Treppenhäusern mit Wandhydranten auf jedem Geschoss. Tiefgarage: Sprinkleranlage gemäss VKF-Richtlinie und SES-Richtlinie. Feuerlöscher (ABC-Pulver) in den Fluren jedes Geschosses. Externe Löscheinspeisung an der Seefeldstrasse für die Feuerwehr.</w:t>
      </w:r>
    </w:p>
    <w:p>
      <w:pPr>
        <w:pStyle w:val="Heading1"/>
      </w:pPr>
      <w:r>
        <w:t>Brandmeldeanlage</w:t>
      </w:r>
    </w:p>
    <w:p>
      <w:r>
        <w:t>Vollschutz-Brandmeldeanlage mit automatischer Aufschaltung zur Einsatzzentrale Berufsfeuerwehr Zürich. Optische Rauchmelder in allen Fluren, Technikräumen und der Tiefgarage. Linienförmige Wärmemelder in der Tiefgarage zusätzlich zu Rauchmeldern. Handfeuermelder an allen Treppenhauseingängen und Fluchtwegausgängen.</w:t>
      </w:r>
    </w:p>
    <w:p>
      <w:pPr>
        <w:pStyle w:val="Heading1"/>
      </w:pPr>
      <w:r>
        <w:t>Rauch- und Wärmeabzug</w:t>
      </w:r>
    </w:p>
    <w:p>
      <w:r>
        <w:t>Natürliche Rauch- und Wärmeabzugsanlage (NRWA) in den Treppenhäusern über motorisch betriebene Dachluken (je 1.5 m²). Maschinelle Entrauchung der Tiefgarage über Jetfans und Abluftkanal ins Freie. Rauchfreihaltung der Eingangshalle im EG über Überdruckbelüftung.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