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Generalplanervertrag (Entwurf)</w:t>
      </w:r>
    </w:p>
    <w:p/>
    <w:p>
      <w:r>
        <w:t>zwischen</w:t>
      </w:r>
    </w:p>
    <w:p>
      <w:r>
        <w:t>Seefeld Immobilien AG, Seefeldstrasse 42, 8008 Zürich</w:t>
      </w:r>
    </w:p>
    <w:p>
      <w:r>
        <w:t>(nachfolgend «Auftraggeberin»)</w:t>
      </w:r>
    </w:p>
    <w:p/>
    <w:p>
      <w:r>
        <w:t>und</w:t>
      </w:r>
    </w:p>
    <w:p>
      <w:r>
        <w:t>Baumschlager Eberle Architekten AG, Limmatstrasse 65, 8005 Zürich</w:t>
      </w:r>
    </w:p>
    <w:p>
      <w:r>
        <w:t>(nachfolgend «Auftragnehmerin»)</w:t>
      </w:r>
    </w:p>
    <w:p/>
    <w:p>
      <w:pPr>
        <w:pStyle w:val="Heading1"/>
      </w:pPr>
      <w:r>
        <w:t>Art. 1 Gegenstand</w:t>
      </w:r>
    </w:p>
    <w:p>
      <w:r>
        <w:t>Die Auftragnehmerin erbringt die Generalplanerleistungen für den Neubau eines Wohn- und Geschäftshauses auf der Liegenschaft Seefeldstrasse 128, 8008 Zürich, gemäss den Leistungsphasen 1–6 nach SIA 112 (Modell Bauplanung).</w:t>
      </w:r>
    </w:p>
    <w:p>
      <w:pPr>
        <w:pStyle w:val="Heading1"/>
      </w:pPr>
      <w:r>
        <w:t>Art. 2 Leistungsumfang</w:t>
      </w:r>
    </w:p>
    <w:p>
      <w:r>
        <w:t>Die Generalplanerin koordiniert folgende Fachplanungen:</w:t>
        <w:br/>
        <w:t>– Architektur (Eigenleistung)</w:t>
        <w:br/>
        <w:t>– Tragwerksplanung (Schnetzer Puskas Ingenieure)</w:t>
        <w:br/>
        <w:t>– HLKS-Planung (Amstein + Walthert AG)</w:t>
        <w:br/>
        <w:t>– Elektroplanung (Burkhalter Technics AG)</w:t>
        <w:br/>
        <w:t>– Bauphysik (Gartenmann Engineering)</w:t>
        <w:br/>
        <w:t>– Brandschutz (Aegis Sicherheit AG)</w:t>
        <w:br/>
        <w:t>– Landschaftsarchitektur (Ganz Landschaftsarchitekten)</w:t>
      </w:r>
    </w:p>
    <w:p>
      <w:pPr>
        <w:pStyle w:val="Heading1"/>
      </w:pPr>
      <w:r>
        <w:t>Art. 3 Honorar</w:t>
      </w:r>
    </w:p>
    <w:p>
      <w:r>
        <w:t>Das Honorar wird auf Grundlage der SIA-Honorarordnung 102/103 berechnet:</w:t>
        <w:br/>
        <w:t>– Auftragsvolumen (BKP 2): CHF 42.6 Mio.</w:t>
        <w:br/>
        <w:t>– Honorarsatz Generalplanung: 12.8%</w:t>
        <w:br/>
        <w:t>– Geschätztes Gesamthonorar: ca. CHF 5.45 Mio. (exkl. MwSt.)</w:t>
        <w:br/>
        <w:br/>
        <w:t>Die Abrechnung erfolgt nach Leistungsfortschritt gemäss SIA 112.</w:t>
      </w:r>
    </w:p>
    <w:p>
      <w:pPr>
        <w:pStyle w:val="Heading1"/>
      </w:pPr>
      <w:r>
        <w:t>Art. 4 Termine</w:t>
      </w:r>
    </w:p>
    <w:p>
      <w:r>
        <w:t>Die Generalplanerin verpflichtet sich, die Planungsleistungen gemäss dem vereinbarten Terminplan zu erbringen. Wesentliche Planungsfristen:</w:t>
        <w:br/>
        <w:t>– Bauprojekt (Phase 31): abgeschlossen</w:t>
        <w:br/>
        <w:t>– Bewilligungsplanung (Phase 32): abgeschlossen</w:t>
        <w:br/>
        <w:t>– Ausführungsplanung (Phase 41): laufend, Abschluss bis 30.06.2026</w:t>
        <w:br/>
        <w:t>– Ausschreibung (Phase 51): rollierend nach Gewerk</w:t>
      </w:r>
    </w:p>
    <w:p>
      <w:pPr>
        <w:pStyle w:val="Heading1"/>
      </w:pPr>
      <w:r>
        <w:t>Art. 5 Haftung und Versicherung</w:t>
      </w:r>
    </w:p>
    <w:p>
      <w:r>
        <w:t>Die Auftragnehmerin haftet für die sorgfältige Erbringung ihrer Leistungen gemäss den anerkannten Regeln der Baukunde und den SIA-Normen. Sie unterhält eine Berufshaftpflichtversicherung mit einer Deckungssumme von mindestens CHF 10 Mio. pro Schadensfall.</w:t>
      </w:r>
    </w:p>
    <w:p>
      <w:pPr>
        <w:pStyle w:val="Heading1"/>
      </w:pPr>
      <w:r>
        <w:t>Art. 6 Gerichtsstand</w:t>
      </w:r>
    </w:p>
    <w:p>
      <w:r>
        <w:t>Für Streitigkeiten aus diesem Vertrag sind die Gerichte am Sitz der Auftraggeberin (Zürich) zuständig. Es gilt Schweizer Recht.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