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Architekturbriefing</w:t>
      </w:r>
    </w:p>
    <w:p>
      <w:r>
        <w:t>Grundlage für die architektonische Gestaltung des Neubaus "TechPark München Ost", Messestraße 42, 81829 München.</w:t>
      </w:r>
    </w:p>
    <w:p>
      <w:pPr>
        <w:pStyle w:val="Heading2"/>
      </w:pPr>
      <w:r>
        <w:t>Gestaltungskonzept</w:t>
      </w:r>
    </w:p>
    <w:p>
      <w:r>
        <w:t>Das Gebäude soll als modernes, transparentes Bürogebäude in Erscheinung treten und sich harmonisch in den entstehenden TechPark einfügen. Leitgedanke ist eine offene, kommunikationsfördernde Architektur mit hoher Aufenthaltsqualität.</w:t>
      </w:r>
    </w:p>
    <w:p>
      <w:pPr>
        <w:pStyle w:val="ListBullet"/>
      </w:pPr>
      <w:r>
        <w:t>Klare Kubatur mit horizontaler Gliederung</w:t>
      </w:r>
    </w:p>
    <w:p>
      <w:pPr>
        <w:pStyle w:val="ListBullet"/>
      </w:pPr>
      <w:r>
        <w:t>Großzügige Glasflächen für maximalen Tageslichteinfall</w:t>
      </w:r>
    </w:p>
    <w:p>
      <w:pPr>
        <w:pStyle w:val="ListBullet"/>
      </w:pPr>
      <w:r>
        <w:t>Rücksprung im 5. OG mit begrünter Dachterrasse</w:t>
      </w:r>
    </w:p>
    <w:p>
      <w:pPr>
        <w:pStyle w:val="ListBullet"/>
      </w:pPr>
      <w:r>
        <w:t>Repräsentativer Eingangsbereich mit doppelter Raumhöhe</w:t>
      </w:r>
    </w:p>
    <w:p>
      <w:pPr>
        <w:pStyle w:val="ListBullet"/>
      </w:pPr>
      <w:r>
        <w:t>Sichtbare Holzelemente im Innenbereich als Kontrast zu Glas und Beton</w:t>
      </w:r>
    </w:p>
    <w:p>
      <w:pPr>
        <w:pStyle w:val="Heading2"/>
      </w:pPr>
      <w:r>
        <w:t>Materialien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Bauteil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2880"/>
          </w:tcPr>
          <w:p>
            <w:r>
              <w:t>Tragwerk</w:t>
            </w:r>
          </w:p>
        </w:tc>
        <w:tc>
          <w:tcPr>
            <w:tcW w:type="dxa" w:w="2880"/>
          </w:tcPr>
          <w:p>
            <w:r>
              <w:t>Stahlbeton C30/37</w:t>
            </w:r>
          </w:p>
        </w:tc>
        <w:tc>
          <w:tcPr>
            <w:tcW w:type="dxa" w:w="2880"/>
          </w:tcPr>
          <w:p>
            <w:r>
              <w:t>Flachdeckensystem</w:t>
            </w:r>
          </w:p>
        </w:tc>
      </w:tr>
      <w:tr>
        <w:tc>
          <w:tcPr>
            <w:tcW w:type="dxa" w:w="2880"/>
          </w:tcPr>
          <w:p>
            <w:r>
              <w:t>Fassade</w:t>
            </w:r>
          </w:p>
        </w:tc>
        <w:tc>
          <w:tcPr>
            <w:tcW w:type="dxa" w:w="2880"/>
          </w:tcPr>
          <w:p>
            <w:r>
              <w:t>Aluminium-Glas-Elementfassade</w:t>
            </w:r>
          </w:p>
        </w:tc>
        <w:tc>
          <w:tcPr>
            <w:tcW w:type="dxa" w:w="2880"/>
          </w:tcPr>
          <w:p>
            <w:r>
              <w:t>Dreifachverglasung, Uw ≤ 0,9</w:t>
            </w:r>
          </w:p>
        </w:tc>
      </w:tr>
      <w:tr>
        <w:tc>
          <w:tcPr>
            <w:tcW w:type="dxa" w:w="2880"/>
          </w:tcPr>
          <w:p>
            <w:r>
              <w:t>Sonnenschutz</w:t>
            </w:r>
          </w:p>
        </w:tc>
        <w:tc>
          <w:tcPr>
            <w:tcW w:type="dxa" w:w="2880"/>
          </w:tcPr>
          <w:p>
            <w:r>
              <w:t>Außenraffstore, elektrisch</w:t>
            </w:r>
          </w:p>
        </w:tc>
        <w:tc>
          <w:tcPr>
            <w:tcW w:type="dxa" w:w="2880"/>
          </w:tcPr>
          <w:p>
            <w:r>
              <w:t>Windwächter-gesteuert</w:t>
            </w:r>
          </w:p>
        </w:tc>
      </w:tr>
      <w:tr>
        <w:tc>
          <w:tcPr>
            <w:tcW w:type="dxa" w:w="2880"/>
          </w:tcPr>
          <w:p>
            <w:r>
              <w:t>Bodenbeläge Büro</w:t>
            </w:r>
          </w:p>
        </w:tc>
        <w:tc>
          <w:tcPr>
            <w:tcW w:type="dxa" w:w="2880"/>
          </w:tcPr>
          <w:p>
            <w:r>
              <w:t>Doppelboden mit Teppichfliesen</w:t>
            </w:r>
          </w:p>
        </w:tc>
        <w:tc>
          <w:tcPr>
            <w:tcW w:type="dxa" w:w="2880"/>
          </w:tcPr>
          <w:p>
            <w:r>
              <w:t>Hohlraumhöhe 15 cm</w:t>
            </w:r>
          </w:p>
        </w:tc>
      </w:tr>
      <w:tr>
        <w:tc>
          <w:tcPr>
            <w:tcW w:type="dxa" w:w="2880"/>
          </w:tcPr>
          <w:p>
            <w:r>
              <w:t>Bodenbeläge Foyer</w:t>
            </w:r>
          </w:p>
        </w:tc>
        <w:tc>
          <w:tcPr>
            <w:tcW w:type="dxa" w:w="2880"/>
          </w:tcPr>
          <w:p>
            <w:r>
              <w:t>Naturstein (Jura-Kalkstein)</w:t>
            </w:r>
          </w:p>
        </w:tc>
        <w:tc>
          <w:tcPr>
            <w:tcW w:type="dxa" w:w="2880"/>
          </w:tcPr>
          <w:p>
            <w:r>
              <w:t>Rutschklasse R10</w:t>
            </w:r>
          </w:p>
        </w:tc>
      </w:tr>
      <w:tr>
        <w:tc>
          <w:tcPr>
            <w:tcW w:type="dxa" w:w="2880"/>
          </w:tcPr>
          <w:p>
            <w:r>
              <w:t>Innenwände</w:t>
            </w:r>
          </w:p>
        </w:tc>
        <w:tc>
          <w:tcPr>
            <w:tcW w:type="dxa" w:w="2880"/>
          </w:tcPr>
          <w:p>
            <w:r>
              <w:t>Trockenbau / Systemtrennwände</w:t>
            </w:r>
          </w:p>
        </w:tc>
        <w:tc>
          <w:tcPr>
            <w:tcW w:type="dxa" w:w="2880"/>
          </w:tcPr>
          <w:p>
            <w:r>
              <w:t>Flexible Raumaufteilung</w:t>
            </w:r>
          </w:p>
        </w:tc>
      </w:tr>
      <w:tr>
        <w:tc>
          <w:tcPr>
            <w:tcW w:type="dxa" w:w="2880"/>
          </w:tcPr>
          <w:p>
            <w:r>
              <w:t>Dach</w:t>
            </w:r>
          </w:p>
        </w:tc>
        <w:tc>
          <w:tcPr>
            <w:tcW w:type="dxa" w:w="2880"/>
          </w:tcPr>
          <w:p>
            <w:r>
              <w:t>Flachdach, extensiv begrünt</w:t>
            </w:r>
          </w:p>
        </w:tc>
        <w:tc>
          <w:tcPr>
            <w:tcW w:type="dxa" w:w="2880"/>
          </w:tcPr>
          <w:p>
            <w:r>
              <w:t>Retentionsdach mit PV-Aufständerung</w:t>
            </w:r>
          </w:p>
        </w:tc>
      </w:tr>
    </w:tbl>
    <w:p>
      <w:pPr>
        <w:pStyle w:val="Heading2"/>
      </w:pPr>
      <w:r>
        <w:t>Nachhaltigkeitsanforderungen</w:t>
      </w:r>
    </w:p>
    <w:p>
      <w:pPr>
        <w:pStyle w:val="ListBullet"/>
      </w:pPr>
      <w:r>
        <w:t>KfW-Effizienzhaus 40 (Primärenergiebedarf ≤ 40 % des Referenzgebäudes)</w:t>
      </w:r>
    </w:p>
    <w:p>
      <w:pPr>
        <w:pStyle w:val="ListBullet"/>
      </w:pPr>
      <w:r>
        <w:t>DGNB-Zertifizierung in Gold angestrebt</w:t>
      </w:r>
    </w:p>
    <w:p>
      <w:pPr>
        <w:pStyle w:val="ListBullet"/>
      </w:pPr>
      <w:r>
        <w:t>Ökobilanz (LCA) für die Tragkonstruktion erforderlich</w:t>
      </w:r>
    </w:p>
    <w:p>
      <w:pPr>
        <w:pStyle w:val="ListBullet"/>
      </w:pPr>
      <w:r>
        <w:t>Recyclingfähige Materialien bevorzugen (Cradle-to-Cradle wo möglich)</w:t>
      </w:r>
    </w:p>
    <w:p>
      <w:pPr>
        <w:pStyle w:val="ListBullet"/>
      </w:pPr>
      <w:r>
        <w:t>Regenwassermanagement: Retentionsdach + Zisterne für Grauwassernutzung</w:t>
      </w:r>
    </w:p>
    <w:p>
      <w:pPr>
        <w:pStyle w:val="ListBullet"/>
      </w:pPr>
      <w:r>
        <w:t>Barrierefreiheit nach DIN 18040-1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