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Projektbeschreibung</w:t>
      </w:r>
    </w:p>
    <w:p/>
    <w:p>
      <w:r>
        <w:rPr>
          <w:b/>
        </w:rPr>
        <w:t xml:space="preserve">Projekt: </w:t>
      </w:r>
      <w:r>
        <w:t>Neubau Bürogebäude "TechPark München Ost"</w:t>
      </w:r>
    </w:p>
    <w:p>
      <w:r>
        <w:rPr>
          <w:b/>
        </w:rPr>
        <w:t xml:space="preserve">Bauherr: </w:t>
      </w:r>
      <w:r>
        <w:t>Müller &amp; Schmidt Immobilien GmbH</w:t>
      </w:r>
    </w:p>
    <w:p>
      <w:r>
        <w:rPr>
          <w:b/>
        </w:rPr>
        <w:t xml:space="preserve">Standort: </w:t>
      </w:r>
      <w:r>
        <w:t>Messestraße 42, 81829 München</w:t>
      </w:r>
    </w:p>
    <w:p>
      <w:r>
        <w:rPr>
          <w:b/>
        </w:rPr>
        <w:t xml:space="preserve">Generalplaner: </w:t>
      </w:r>
      <w:r>
        <w:t>Architekten Lechner &amp; Kollegen PartGmbB</w:t>
      </w:r>
    </w:p>
    <w:p>
      <w:pPr>
        <w:pStyle w:val="Heading2"/>
      </w:pPr>
      <w:r>
        <w:t>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Eigenschaft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Wert</w:t>
            </w:r>
          </w:p>
        </w:tc>
      </w:tr>
      <w:tr>
        <w:tc>
          <w:tcPr>
            <w:tcW w:type="dxa" w:w="4320"/>
          </w:tcPr>
          <w:p>
            <w:r>
              <w:t>Grundstücksfläche</w:t>
            </w:r>
          </w:p>
        </w:tc>
        <w:tc>
          <w:tcPr>
            <w:tcW w:type="dxa" w:w="4320"/>
          </w:tcPr>
          <w:p>
            <w:r>
              <w:t>4.200 m²</w:t>
            </w:r>
          </w:p>
        </w:tc>
      </w:tr>
      <w:tr>
        <w:tc>
          <w:tcPr>
            <w:tcW w:type="dxa" w:w="4320"/>
          </w:tcPr>
          <w:p>
            <w:r>
              <w:t>Bruttogrundfläche (BGF)</w:t>
            </w:r>
          </w:p>
        </w:tc>
        <w:tc>
          <w:tcPr>
            <w:tcW w:type="dxa" w:w="4320"/>
          </w:tcPr>
          <w:p>
            <w:r>
              <w:t>12.500 m²</w:t>
            </w:r>
          </w:p>
        </w:tc>
      </w:tr>
      <w:tr>
        <w:tc>
          <w:tcPr>
            <w:tcW w:type="dxa" w:w="4320"/>
          </w:tcPr>
          <w:p>
            <w:r>
              <w:t>Geschosse</w:t>
            </w:r>
          </w:p>
        </w:tc>
        <w:tc>
          <w:tcPr>
            <w:tcW w:type="dxa" w:w="4320"/>
          </w:tcPr>
          <w:p>
            <w:r>
              <w:t>6 Obergeschosse + 2 Untergeschosse</w:t>
            </w:r>
          </w:p>
        </w:tc>
      </w:tr>
      <w:tr>
        <w:tc>
          <w:tcPr>
            <w:tcW w:type="dxa" w:w="4320"/>
          </w:tcPr>
          <w:p>
            <w:r>
              <w:t>Stellplätze</w:t>
            </w:r>
          </w:p>
        </w:tc>
        <w:tc>
          <w:tcPr>
            <w:tcW w:type="dxa" w:w="4320"/>
          </w:tcPr>
          <w:p>
            <w:r>
              <w:t>180 (TG) + 40 (Außen)</w:t>
            </w:r>
          </w:p>
        </w:tc>
      </w:tr>
      <w:tr>
        <w:tc>
          <w:tcPr>
            <w:tcW w:type="dxa" w:w="4320"/>
          </w:tcPr>
          <w:p>
            <w:r>
              <w:t>Gebäudehöhe</w:t>
            </w:r>
          </w:p>
        </w:tc>
        <w:tc>
          <w:tcPr>
            <w:tcW w:type="dxa" w:w="4320"/>
          </w:tcPr>
          <w:p>
            <w:r>
              <w:t>ca. 24,5 m</w:t>
            </w:r>
          </w:p>
        </w:tc>
      </w:tr>
    </w:tbl>
    <w:p>
      <w:pPr>
        <w:pStyle w:val="Heading2"/>
      </w:pPr>
      <w:r>
        <w:t>Geplante Nutzung</w:t>
      </w:r>
    </w:p>
    <w:p>
      <w:pPr>
        <w:pStyle w:val="ListBullet"/>
      </w:pPr>
      <w:r>
        <w:t>EG: Empfang, Lobby, Konferenzbereich, Café (ca. 1.800 m²)</w:t>
      </w:r>
    </w:p>
    <w:p>
      <w:pPr>
        <w:pStyle w:val="ListBullet"/>
      </w:pPr>
      <w:r>
        <w:t>1.–4. OG: Open-Space-Büroflächen, Besprechungsräume (je ca. 1.500 m²)</w:t>
      </w:r>
    </w:p>
    <w:p>
      <w:pPr>
        <w:pStyle w:val="ListBullet"/>
      </w:pPr>
      <w:r>
        <w:t>5. OG: Geschäftsleitung, Executive Lounge, Dachterrasse (ca. 1.200 m²)</w:t>
      </w:r>
    </w:p>
    <w:p>
      <w:pPr>
        <w:pStyle w:val="ListBullet"/>
      </w:pPr>
      <w:r>
        <w:t>UG1: Tiefgarage (120 Stellplätze), Fahrradstellplätze (ca. 2.100 m²)</w:t>
      </w:r>
    </w:p>
    <w:p>
      <w:pPr>
        <w:pStyle w:val="ListBullet"/>
      </w:pPr>
      <w:r>
        <w:t>UG2: Tiefgarage (60 Stellplätze), Haustechnik, Lager (ca. 2.100 m²)</w:t>
      </w:r>
    </w:p>
    <w:p>
      <w:pPr>
        <w:pStyle w:val="Heading2"/>
      </w:pPr>
      <w:r>
        <w:t>Bauweise und Nachhaltigkeit</w:t>
      </w:r>
    </w:p>
    <w:p>
      <w:r>
        <w:t>Das Gebäude wird in Stahlbetonkonstruktion mit einer vorgehängten Glasfassade errichtet. Die Planung orientiert sich am KfW-Effizienzhaus-40-Standard und strebt eine DGNB-Zertifizierung in Gold an.</w:t>
      </w:r>
    </w:p>
    <w:p>
      <w:pPr>
        <w:pStyle w:val="ListBullet"/>
      </w:pPr>
      <w:r>
        <w:t>Stahlbetonkonstruktion mit Flachdecken</w:t>
      </w:r>
    </w:p>
    <w:p>
      <w:pPr>
        <w:pStyle w:val="ListBullet"/>
      </w:pPr>
      <w:r>
        <w:t>Elementierte Glasfassade (Dreifachverglasung, Sonnenschutz)</w:t>
      </w:r>
    </w:p>
    <w:p>
      <w:pPr>
        <w:pStyle w:val="ListBullet"/>
      </w:pPr>
      <w:r>
        <w:t>Bauteilaktivierung in den Geschossdecken</w:t>
      </w:r>
    </w:p>
    <w:p>
      <w:pPr>
        <w:pStyle w:val="ListBullet"/>
      </w:pPr>
      <w:r>
        <w:t>Photovoltaikanlage auf dem Dach (ca. 350 kWp)</w:t>
      </w:r>
    </w:p>
    <w:p>
      <w:pPr>
        <w:pStyle w:val="ListBullet"/>
      </w:pPr>
      <w:r>
        <w:t>Gründach mit Retentionsfunktion</w:t>
      </w:r>
    </w:p>
    <w:p>
      <w:pPr>
        <w:pStyle w:val="ListBullet"/>
      </w:pPr>
      <w:r>
        <w:t>Regenwassernutzung für Sanitäranlagen und Bewässerung</w:t>
      </w:r>
    </w:p>
    <w:p>
      <w:pPr>
        <w:pStyle w:val="Heading2"/>
      </w:pPr>
      <w:r>
        <w:t>Zeitraum und Budget</w:t>
      </w:r>
    </w:p>
    <w:p>
      <w:r>
        <w:t>Der Bauablauf ist von März 2026 bis September 2028 geplant (ca. 30 Monate). Das Gesamtbudget beträgt ca. 38,5 Mio. EUR brutto inkl. Planungskosten, Außenanlagen und Reserven.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