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Brandschutzkonzept — Entwurf</w:t>
      </w:r>
    </w:p>
    <w:p>
      <w:r>
        <w:t>Bürogebäude TechPark München Ost, Messestraße 42, 81829 München. Erstellt gemäß BayBO und Richtlinien der vfdb.</w:t>
      </w:r>
    </w:p>
    <w:p>
      <w:pPr>
        <w:pStyle w:val="Heading2"/>
      </w:pPr>
      <w:r>
        <w:t>Gebäudeklasse und Einstufung</w:t>
      </w:r>
    </w:p>
    <w:p>
      <w:r>
        <w:t>Gebäudeklasse 5 gemäß Art. 2 BayBO (Gebäudehöhe ca. 24,5 m, mehr als 1.600 m² Geschossfläche). Es handelt sich um einen Sonderbau gemäß Art. 2 Abs. 4 BayBO (Bürogebäude mit mehr als 400 m² Nutzfläche pro Geschoss).</w:t>
      </w:r>
    </w:p>
    <w:p>
      <w:pPr>
        <w:pStyle w:val="Heading2"/>
      </w:pPr>
      <w:r>
        <w:t>Rettungswege</w:t>
      </w:r>
    </w:p>
    <w:p>
      <w:pPr>
        <w:pStyle w:val="ListBullet"/>
      </w:pPr>
      <w:r>
        <w:t>Zwei bauliche Rettungswege pro Geschoss (Treppenräume TR1 und TR2)</w:t>
      </w:r>
    </w:p>
    <w:p>
      <w:pPr>
        <w:pStyle w:val="ListBullet"/>
      </w:pPr>
      <w:r>
        <w:t>Treppenräume als notwendige Treppenräume mit Druckbelüftung</w:t>
      </w:r>
    </w:p>
    <w:p>
      <w:pPr>
        <w:pStyle w:val="ListBullet"/>
      </w:pPr>
      <w:r>
        <w:t>Maximale Rettungsweglänge: 35 m (eingehalten in allen Geschossen)</w:t>
      </w:r>
    </w:p>
    <w:p>
      <w:pPr>
        <w:pStyle w:val="ListBullet"/>
      </w:pPr>
      <w:r>
        <w:t>Barrierefreie Rettung über Aufzug mit Feuerwehr-Bedienung (Evakuierungsaufzug)</w:t>
      </w:r>
    </w:p>
    <w:p>
      <w:pPr>
        <w:pStyle w:val="ListBullet"/>
      </w:pPr>
      <w:r>
        <w:t>Fluchtwegbeschilderung gemäß DIN ISO 7010, nachleuchtend</w:t>
      </w:r>
    </w:p>
    <w:p>
      <w:pPr>
        <w:pStyle w:val="Heading2"/>
      </w:pPr>
      <w:r>
        <w:t>Brandabschnitte</w:t>
      </w:r>
    </w:p>
    <w:p>
      <w:r>
        <w:t>Das Gebäude wird in zwei Brandabschnitte unterteilt (Achse C als Brandwand F90). Die Untergeschosse bilden jeweils eigene Brandabschnitte. Alle Durchbrüche in Brandwänden sind mit zugelassenen Abschottungen zu versehen.</w:t>
      </w:r>
    </w:p>
    <w:p>
      <w:pPr>
        <w:pStyle w:val="Heading2"/>
      </w:pPr>
      <w:r>
        <w:t>Löschanlagen</w:t>
      </w:r>
    </w:p>
    <w:p>
      <w:pPr>
        <w:pStyle w:val="ListBullet"/>
      </w:pPr>
      <w:r>
        <w:t>Trockene Steigleitung in beiden Treppenräumen</w:t>
      </w:r>
    </w:p>
    <w:p>
      <w:pPr>
        <w:pStyle w:val="ListBullet"/>
      </w:pPr>
      <w:r>
        <w:t>Wandhydranten Typ F auf jeder Ebene</w:t>
      </w:r>
    </w:p>
    <w:p>
      <w:pPr>
        <w:pStyle w:val="ListBullet"/>
      </w:pPr>
      <w:r>
        <w:t>Sprinkleranlage in UG1 und UG2 (Tiefgarage) gemäß VdS CEA 4001</w:t>
      </w:r>
    </w:p>
    <w:p>
      <w:pPr>
        <w:pStyle w:val="ListBullet"/>
      </w:pPr>
      <w:r>
        <w:t>Aufschaltung auf Feuerwehr-Gebäudefunkanlage</w:t>
      </w:r>
    </w:p>
    <w:p>
      <w:pPr>
        <w:pStyle w:val="Heading2"/>
      </w:pPr>
      <w:r>
        <w:t>Rauchableitung</w:t>
      </w:r>
    </w:p>
    <w:p>
      <w:r>
        <w:t>Natürliche Rauch- und Wärmeabzugsanlagen (NRWG) im Dachbereich mit einer aerodynamisch wirksamen Öffnungsfläche von mind. 1,5 % der Grundfläche. In den UG-Geschossen maschinelle Entrauchung über Entrauchungsschächte.</w:t>
      </w:r>
    </w:p>
    <w:p>
      <w:pPr>
        <w:pStyle w:val="Heading2"/>
      </w:pPr>
      <w:r>
        <w:t>Brandmeldeanlage</w:t>
      </w:r>
    </w:p>
    <w:p>
      <w:r>
        <w:t>Vollflächige Brandmeldeanlage (BMA) der Kategorie 1 gemäß DIN 14675. Aufschaltung auf die Integrierte Leitstelle München. Feuerwehr-Informations- und Bediensystem (FIBS) im Eingangsbereich.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