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Umweltverträglichkeitsprüfung</w:t>
      </w:r>
    </w:p>
    <w:p>
      <w:r>
        <w:t>Prüfung der Umweltauswirkungen für das Vorhaben Neubau Bürogebäude "TechPark München Ost", Messestraße 42, 81829 München.</w:t>
      </w:r>
    </w:p>
    <w:p>
      <w:pPr>
        <w:pStyle w:val="Heading2"/>
      </w:pPr>
      <w:r>
        <w:t>Schutzgut Boden</w:t>
      </w:r>
    </w:p>
    <w:p>
      <w:r>
        <w:t>Das Baugrundstück war vormals gewerblich genutzt (ehem. Lagerfläche). Ein Bodengutachten (Anlage B1) bestätigt, dass keine Altlasten vorliegen. Der Oberboden (ca. 2.500 m³) wird getrennt abgetragen und fachgerecht zwischengelagert. Die Versiegelung nimmt durch die geplante Tiefgarage zu, wird aber durch Dachbegrünung und Entsiegelung im Umfeld teilweise kompensiert.</w:t>
      </w:r>
    </w:p>
    <w:p>
      <w:pPr>
        <w:pStyle w:val="Heading2"/>
      </w:pPr>
      <w:r>
        <w:t>Schutzgut Wasser</w:t>
      </w:r>
    </w:p>
    <w:p>
      <w:r>
        <w:t>Die Grundwasserflurabstände liegen bei ca. 4,5 m unter GOK. Die Baugrube reicht bis ca. 7 m Tiefe, weshalb eine temporäre Wasserhaltung erforderlich wird. Das anfallende Grundwasser wird nach Aufbereitung in den Vorfluter (Hachinger Bach) eingeleitet (wasserrechtliche Erlaubnis beantragt). Regenwasser wird über Retentionsdächer und eine Zisterne bewirtschaftet.</w:t>
      </w:r>
    </w:p>
    <w:p>
      <w:pPr>
        <w:pStyle w:val="Heading2"/>
      </w:pPr>
      <w:r>
        <w:t>Schutzgut Luft und Klima</w:t>
      </w:r>
    </w:p>
    <w:p>
      <w:r>
        <w:t>Während der Bauphase ist mit erhöhter Staubentwicklung bei Erdarbeiten zu rechnen. Maßnahmen: Befeuchtung der Fahrwege, Abdeckung von Transportfahrzeugen. Im Betrieb wird das Gebäude emissionsfrei beheizt (Wärmepumpe + Fernwärme). Die Dachbegrünung und Baumpflanzungen im Außenbereich verbessern das Mikroklima.</w:t>
      </w:r>
    </w:p>
    <w:p>
      <w:pPr>
        <w:pStyle w:val="Heading2"/>
      </w:pPr>
      <w:r>
        <w:t>Schutzgut Flora und Fauna</w:t>
      </w:r>
    </w:p>
    <w:p>
      <w:r>
        <w:t>Auf dem Grundstück befinden sich keine geschützten Arten oder Biotope. Fünf bestehende Bäume (Bergahorn, Birke) müssen gefällt werden; als Ausgleich werden 12 Neupflanzungen (heimische Laubbäume) im Außenbereich vorgesehen. Artenschutzfachliche Untersuchung gemäß saP liegt vor (Anlage F1).</w:t>
      </w:r>
    </w:p>
    <w:p>
      <w:pPr>
        <w:pStyle w:val="Heading2"/>
      </w:pPr>
      <w:r>
        <w:t>Zusammenfassung und Bewertung</w:t>
      </w:r>
    </w:p>
    <w:p>
      <w:r>
        <w:t>Die Umweltverträglichkeitsprüfung ergibt, dass bei Einhaltung der genannten Vermeidungs- und Minimierungsmaßnahmen keine erheblichen nachteiligen Umweltauswirkungen zu erwarten sind. Das Vorhaben ist aus umweltfachlicher Sicht genehmigungsfähig.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