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Umweltverträglichkeitsbericht (UVB)</w:t>
      </w:r>
    </w:p>
    <w:p>
      <w:r>
        <w:t>Kurzfassung — Überbauung Seefeld, Zürich</w:t>
      </w:r>
    </w:p>
    <w:p>
      <w:r>
        <w:t>Ernst Basler + Partner AG, Dezember 2025</w:t>
      </w:r>
    </w:p>
    <w:p/>
    <w:p>
      <w:pPr>
        <w:pStyle w:val="Heading1"/>
      </w:pPr>
      <w:r>
        <w:t>Boden und Altlasten</w:t>
      </w:r>
    </w:p>
    <w:p>
      <w:r>
        <w:t>Die Untersuchung des Baugrunds ergab keine Hinweise auf Altlasten. Der anfallende Aushub (ca. 22 000 m³) kann grösstenteils als unverschmutztes Material verwertet werden. Ca. 3 000 m³ schwach belastetes Material (Klasse B gemäss VVEA) muss auf einer bewilligten Deponie entsorgt werden.</w:t>
      </w:r>
    </w:p>
    <w:p>
      <w:pPr>
        <w:pStyle w:val="Heading1"/>
      </w:pPr>
      <w:r>
        <w:t>Grundwasser</w:t>
      </w:r>
    </w:p>
    <w:p>
      <w:r>
        <w:t>Der Grundwasserspiegel liegt bei ca. 4.2 m unter Terrain. Während der Bauphase ist eine temporäre Grundwasserabsenkung erforderlich. Die Einleitung in die Kanalisation erfolgt nach Vorbehandlung (Absetz- und Neutralisationsbecken). Eine AWEL-Bewilligung ist eingeholt.</w:t>
      </w:r>
    </w:p>
    <w:p>
      <w:pPr>
        <w:pStyle w:val="Heading1"/>
      </w:pPr>
      <w:r>
        <w:t>Lärm</w:t>
      </w:r>
    </w:p>
    <w:p>
      <w:r>
        <w:t>Die berechneten Lärmimmissionen des fertigen Gebäudes liegen innerhalb der Planungswerte gemäss LSV. Während der Bauphase werden die Grenzwerte für Baulärm eingehalten durch: zeitliche Beschränkung lärmintensiver Arbeiten, Einsatz lärmarmer Baumaschinen (Stufe IIIB), Schallschutzwände (3 m Höhe) zur Wohnbebauung im Norden.</w:t>
      </w:r>
    </w:p>
    <w:p>
      <w:pPr>
        <w:pStyle w:val="Heading1"/>
      </w:pPr>
      <w:r>
        <w:t>Luft</w:t>
      </w:r>
    </w:p>
    <w:p>
      <w:r>
        <w:t>Die Bauphase wird durch Staubemissionen belastet. Massnahmen: Befeuchtung der Fahrwege, Reinigung der Baustellenausfahrt, Einsatz von Partikelfiltern auf allen Dieselmaschinen. Im Betrieb entstehen keine relevanten Luftschadstoff-Emissionen (keine fossilen Heizsysteme).</w:t>
      </w:r>
    </w:p>
    <w:p>
      <w:pPr>
        <w:pStyle w:val="Heading1"/>
      </w:pPr>
      <w:r>
        <w:t>Flora und Fauna</w:t>
      </w:r>
    </w:p>
    <w:p>
      <w:r>
        <w:t>Auf dem Grundstück wurden keine geschützten Tier- oder Pflanzenarten nachgewiesen. Die drei Platanen an der Bellerivestrasse (Stammumfang &gt; 80 cm, geschützt nach Baumschutzverordnung) bleiben erhalten. Als Kompensation für die Versiegelung wird der Innenhof naturnah gestaltet und ein Biodiversitätsdach realisiert.</w:t>
      </w:r>
    </w:p>
    <w:p>
      <w:pPr>
        <w:pStyle w:val="Heading1"/>
      </w:pPr>
      <w:r>
        <w:t>Ergebnis</w:t>
      </w:r>
    </w:p>
    <w:p>
      <w:r>
        <w:t>Das Vorhaben ist umweltverträglich. Die Auflagen gemäss UVB sind in die Baubewilligung aufgenommen worden.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