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Nachtragsverzeichnis</w:t>
      </w:r>
    </w:p>
    <w:p>
      <w:r>
        <w:t>Überbauung Seefeld — Stand April 2026</w:t>
      </w:r>
    </w:p>
    <w:p/>
    <w:p>
      <w:pPr>
        <w:pStyle w:val="Heading1"/>
      </w:pPr>
      <w:r>
        <w:t>NT-001: Mehrkosten Felsabbau</w:t>
      </w:r>
    </w:p>
    <w:p>
      <w:r>
        <w:t>Unternehmer: Marti AG Zürich</w:t>
      </w:r>
    </w:p>
    <w:p>
      <w:r>
        <w:t>Forderung: CHF 125 000.– netto</w:t>
      </w:r>
    </w:p>
    <w:p>
      <w:r>
        <w:t>Begründung: Unerwartete Felslinsen in den Abschnitten B und C. Das Baugrundgutachten (Emch+Berger, Juli 2025) hatte homogenen Kies/Sand prognostiziert. Hydraulischer Felsabbau mit Meissel und teilweise Sprengvortrieb (Kleinsprengungen) erforderlich.</w:t>
      </w:r>
    </w:p>
    <w:p>
      <w:r>
        <w:t>Bewertung BL: Grundsätzlich berechtigt. Empfehlung: CHF 95 000.– anerkennen (Meissel-Arbeiten nachvollziehbar, Sprengkosten teilweise überhöht).</w:t>
      </w:r>
    </w:p>
    <w:p>
      <w:r>
        <w:t>Status: 🔄 In Prüfung durch Bauherrschaft</w:t>
      </w:r>
    </w:p>
    <w:p/>
    <w:p>
      <w:pPr>
        <w:pStyle w:val="Heading1"/>
      </w:pPr>
      <w:r>
        <w:t>NT-002: Zusätzliche Grundwasserhaltung</w:t>
      </w:r>
    </w:p>
    <w:p>
      <w:r>
        <w:t>Unternehmer: Bauer Spezialtiefbau AG</w:t>
      </w:r>
    </w:p>
    <w:p>
      <w:r>
        <w:t>Forderung: CHF 48 000.– netto</w:t>
      </w:r>
    </w:p>
    <w:p>
      <w:r>
        <w:t>Begründung: Grundwasserzufluss ca. 30% höher als im hydrogeologischen Gutachten prognostiziert. Zusätzliche Pumpenkapazität und verlängerte Laufzeit (2 Wochen) erforderlich.</w:t>
      </w:r>
    </w:p>
    <w:p>
      <w:r>
        <w:t>Bewertung BL: Berechtigt. Mengenmehrung nachvollziehbar dokumentiert.</w:t>
      </w:r>
    </w:p>
    <w:p>
      <w:r>
        <w:t>Status: ✓ Genehmigt durch Bauherrschaft (18.04.2026)</w:t>
      </w:r>
    </w:p>
    <w:p/>
    <w:p>
      <w:r>
        <w:t>Summe Nachtragsforderungen: CHF 173 000.– netto</w:t>
      </w:r>
    </w:p>
    <w:p>
      <w:r>
        <w:t>Davon genehmigt: CHF 48 000.–</w:t>
      </w:r>
    </w:p>
    <w:p>
      <w:r>
        <w:t>Davon in Prüfung: CHF 125 000.–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