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Nivel de acabado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aspirará a un nivel de 8 puntos con una aplicación de nivel 2.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Justificación de nivel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Tras varias reuniones en grupo y algunos brainstormings, se decidieron las entidades que formarán parte de la aplicación así como las relaciones entre estas y una idea de cómo se deberían ver una vez implementadas. Estas historias de usuario se asignaron por parejas y una vez estuvieron hechas todas se pusieron en común con el grupo para corregir errores. Tras esto, se redactó la documentación de manera grupal sin ninguna parte asignada a ningún grupo en 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Retrospectiva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general, el equipo de desarrollo ha realizado el Sprint sin demasiados inconvenientes, gracias a una buena organización y a un reparto equitativo de las tareas.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trabajo en parejas ha resultado útil a la hora de resolver dudas de manera rápida, y la corrección por parejas nos ha ayudado a detectar problemas con relativa facilidad.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tiempo dedicado por cada grupo está entorno a la hora y media de trabajo en las historias de usuarios, sumándole a estas alrededor de las dos horas para la planificación de las historias de usuario y otras dos horas para la realización de los documentos a entregar.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