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0" w:before="0"/>
        <w:jc w:val="center"/>
      </w:pPr>
      <w:r>
        <w:rPr>
          <w:rFonts w:ascii="Arial" w:cs="Arial" w:eastAsia="Arial" w:hAnsi="Arial"/>
          <w:b/>
          <w:bCs/>
          <w:color w:val="1E3A5F"/>
          <w:sz w:val="72"/>
          <w:szCs w:val="72"/>
        </w:rPr>
        <w:t xml:space="preserve">WAREHOUSE &amp; MARKET</w:t>
      </w:r>
    </w:p>
    <w:p>
      <w:pPr>
        <w:spacing w:after="120" w:before="0"/>
        <w:jc w:val="center"/>
      </w:pPr>
      <w:r>
        <w:rPr>
          <w:rFonts w:ascii="Arial" w:cs="Arial" w:eastAsia="Arial" w:hAnsi="Arial"/>
          <w:b/>
          <w:bCs/>
          <w:color w:val="1E3A5F"/>
          <w:sz w:val="72"/>
          <w:szCs w:val="72"/>
        </w:rPr>
        <w:t xml:space="preserve">MANAGEMENT SYSTEM</w:t>
      </w:r>
    </w:p>
    <w:p>
      <w:pPr>
        <w:pBdr>
          <w:bottom w:val="single" w:color="2E86AB" w:sz="12" w:space="4"/>
        </w:pBdr>
        <w:spacing w:after="240" w:before="0"/>
        <w:jc w:val="center"/>
      </w:pPr>
      <w:r>
        <w:rPr>
          <w:rFonts w:ascii="Arial" w:cs="Arial" w:eastAsia="Arial" w:hAnsi="Arial"/>
          <w:color w:val="2E86AB"/>
          <w:sz w:val="36"/>
          <w:szCs w:val="36"/>
        </w:rPr>
        <w:t xml:space="preserve">Spec-Driven Development Document</w:t>
      </w:r>
    </w:p>
    <w:p/>
    <w:p/>
    <w:p>
      <w:pPr>
        <w:spacing w:after="40" w:before="60"/>
        <w:jc w:val="center"/>
      </w:pPr>
      <w:r>
        <w:rPr>
          <w:rFonts w:ascii="Arial" w:cs="Arial" w:eastAsia="Arial" w:hAnsi="Arial"/>
          <w:b w:val="false"/>
          <w:bCs w:val="false"/>
          <w:i w:val="false"/>
          <w:iCs w:val="false"/>
          <w:color w:val="2C3E50"/>
          <w:sz w:val="24"/>
          <w:szCs w:val="24"/>
        </w:rPr>
        <w:t xml:space="preserve">Architecture Version: 1.0</w:t>
      </w:r>
    </w:p>
    <w:p>
      <w:pPr>
        <w:spacing w:after="40" w:before="0"/>
        <w:jc w:val="center"/>
      </w:pPr>
      <w:r>
        <w:rPr>
          <w:rFonts w:ascii="Arial" w:cs="Arial" w:eastAsia="Arial" w:hAnsi="Arial"/>
          <w:b w:val="false"/>
          <w:bCs w:val="false"/>
          <w:i w:val="false"/>
          <w:iCs w:val="false"/>
          <w:color w:val="17A589"/>
          <w:sz w:val="24"/>
          <w:szCs w:val="24"/>
        </w:rPr>
        <w:t xml:space="preserve">Spring Boot 4.0  •  Kafka  •  CQRS  •  Hexagonal Architecture</w:t>
      </w:r>
    </w:p>
    <w:p>
      <w:pPr>
        <w:spacing w:after="40" w:before="0"/>
        <w:jc w:val="center"/>
      </w:pPr>
      <w:r>
        <w:rPr>
          <w:rFonts w:ascii="Arial" w:cs="Arial" w:eastAsia="Arial" w:hAnsi="Arial"/>
          <w:b w:val="false"/>
          <w:bCs w:val="false"/>
          <w:i w:val="false"/>
          <w:iCs w:val="false"/>
          <w:color w:val="17A589"/>
          <w:sz w:val="24"/>
          <w:szCs w:val="24"/>
        </w:rPr>
        <w:t xml:space="preserve">Docker  •  REST  •  AOP  •  SQL + NoSQL</w:t>
      </w:r>
    </w:p>
    <w:p/>
    <w:p/>
    <w:p>
      <w:pPr>
        <w:jc w:val="center"/>
      </w:pPr>
      <w:r>
        <w:rPr>
          <w:rFonts w:ascii="Arial" w:cs="Arial" w:eastAsia="Arial" w:hAnsi="Arial"/>
          <w:b/>
          <w:bCs/>
          <w:i w:val="false"/>
          <w:iCs w:val="false"/>
          <w:color w:val="C0392B"/>
          <w:sz w:val="20"/>
          <w:szCs w:val="20"/>
        </w:rPr>
        <w:t xml:space="preserve">Date: April 2026  |  Status: APPROVED FOR DEVELOPMENT</w:t>
      </w:r>
    </w:p>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Table of Contents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1</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Executive Summary</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3</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2</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System Overview &amp; Goals</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4</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Architecture Principles</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5</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3.1</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Hexagonal Architecture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5</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3.2</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CQRS Pattern</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6</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3.3</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Event-Driven with Kafka</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6</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3.4</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Aspect-Oriented Logging</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7</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Service Catalogue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8</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4.1</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 Service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8</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4.2</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Service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10</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4.3</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 Service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13</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4.4</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Stock Transfer Service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15</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4.5</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Scheduling Service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17</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4.6</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Reporting Service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18</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4.7</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Transaction Service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20</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4.8</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Notification Service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21</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5</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Kafka Topics &amp; Event Contracts</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22</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6</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Database Strategy</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24</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7</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REST API Specification</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26</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Docker &amp; Infrastructure</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30</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9</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Cross-Cutting Concerns</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32</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10</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Security Model</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34</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11</w:t>
            </w:r>
          </w:p>
        </w:tc>
        <w:tc>
          <w:tcPr>
            <w:tcW w:type="dxa" w:w="7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20"/>
                <w:szCs w:val="20"/>
              </w:rPr>
              <w:t xml:space="preserve">Development Roadmap</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20"/>
                <w:szCs w:val="20"/>
              </w:rPr>
              <w:t xml:space="preserve">35</w:t>
            </w:r>
          </w:p>
        </w:tc>
      </w:tr>
    </w:tbl>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1. Executive Summary</w:t>
      </w:r>
    </w:p>
    <w:p>
      <w:pPr>
        <w:spacing w:after="60" w:before="60"/>
        <w:jc w:val="left"/>
      </w:pPr>
      <w:r>
        <w:rPr>
          <w:rFonts w:ascii="Arial" w:cs="Arial" w:eastAsia="Arial" w:hAnsi="Arial"/>
          <w:b w:val="false"/>
          <w:bCs w:val="false"/>
          <w:i w:val="false"/>
          <w:iCs w:val="false"/>
          <w:color w:val="2C3E50"/>
          <w:sz w:val="22"/>
          <w:szCs w:val="22"/>
        </w:rPr>
        <w:t xml:space="preserve">This document defines the complete technical specification for a cloud-native Warehouse and Market Management System built on Spring Boot 4.0. The system is designed around microservice architecture, where each service owns a distinct business capability, communicates primarily through Apache Kafka, and is independently deployable as a Docker container.</w:t>
      </w:r>
    </w:p>
    <w:p>
      <w:pPr>
        <w:spacing w:after="60" w:before="60"/>
        <w:jc w:val="left"/>
      </w:pPr>
      <w:r>
        <w:rPr>
          <w:rFonts w:ascii="Arial" w:cs="Arial" w:eastAsia="Arial" w:hAnsi="Arial"/>
          <w:b w:val="false"/>
          <w:bCs w:val="false"/>
          <w:i w:val="false"/>
          <w:iCs w:val="false"/>
          <w:color w:val="2C3E50"/>
          <w:sz w:val="22"/>
          <w:szCs w:val="22"/>
        </w:rPr>
        <w:t xml:space="preserve">The specification follows spec-driven development: every service, API contract, Kafka topic, data model, and cross-cutting concern is defined before a single line of production code is written. Development teams may implement services in parallel, with confidence that integration points are well-defined.</w:t>
      </w:r>
    </w:p>
    <w:p/>
    <w:p>
      <w:pPr>
        <w:pStyle w:val="Heading2"/>
        <w:spacing w:after="100" w:before="280"/>
      </w:pPr>
      <w:r>
        <w:rPr>
          <w:rFonts w:ascii="Arial" w:cs="Arial" w:eastAsia="Arial" w:hAnsi="Arial"/>
          <w:b/>
          <w:bCs/>
          <w:color w:val="2E86AB"/>
          <w:sz w:val="28"/>
          <w:szCs w:val="28"/>
        </w:rPr>
        <w:t xml:space="preserve">1.1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Design Decision</w:t>
            </w:r>
          </w:p>
        </w:tc>
        <w:tc>
          <w:tcPr>
            <w:tcW w:type="dxa" w:w="62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Hexagonal Architecture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Separates domain logic from infrastructure; services are reconfigurable without rebuild via Spring Boot auto-configuration and starters</w:t>
            </w:r>
          </w:p>
        </w:tc>
      </w:tr>
      <w:tr>
        <w:tc>
          <w:tcPr>
            <w:tcW w:type="dxa" w:w="31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CQRS</w:t>
            </w:r>
          </w:p>
        </w:tc>
        <w:tc>
          <w:tcPr>
            <w:tcW w:type="dxa" w:w="6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Read and write paths are separated per service, enabling independent scaling and optimised query models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Kafka for service comms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Decouples producers from consumers; enables replay, audit trail, and async processing across all services</w:t>
            </w:r>
          </w:p>
        </w:tc>
      </w:tr>
      <w:tr>
        <w:tc>
          <w:tcPr>
            <w:tcW w:type="dxa" w:w="31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REST for client-facing APIs</w:t>
            </w:r>
          </w:p>
        </w:tc>
        <w:tc>
          <w:tcPr>
            <w:tcW w:type="dxa" w:w="6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Synchronous REST is used only for client-to-service and service-to-client interactions where an immediate response is required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AOP Logging</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Centralised, non-invasive logging across all services using Spring AOP pointcuts; zero coupling to business logic</w:t>
            </w:r>
          </w:p>
        </w:tc>
      </w:tr>
      <w:tr>
        <w:tc>
          <w:tcPr>
            <w:tcW w:type="dxa" w:w="31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SQL + NoSQL mix</w:t>
            </w:r>
          </w:p>
        </w:tc>
        <w:tc>
          <w:tcPr>
            <w:tcW w:type="dxa" w:w="6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Relational databases for transactional data requiring ACID guarantees; document/key-value stores for flexible, high-volume read models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SRP + Separation of Concerns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Each service and each layer within a service has a single, well-defined responsibility — enforced through architecture review gates</w:t>
            </w:r>
          </w:p>
        </w:tc>
      </w:tr>
    </w:tbl>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2. System Overview &amp; Goals</w:t>
      </w:r>
    </w:p>
    <w:p>
      <w:pPr>
        <w:pStyle w:val="Heading2"/>
        <w:spacing w:after="100" w:before="280"/>
      </w:pPr>
      <w:r>
        <w:rPr>
          <w:rFonts w:ascii="Arial" w:cs="Arial" w:eastAsia="Arial" w:hAnsi="Arial"/>
          <w:b/>
          <w:bCs/>
          <w:color w:val="2E86AB"/>
          <w:sz w:val="28"/>
          <w:szCs w:val="28"/>
        </w:rPr>
        <w:t xml:space="preserve">2.1 Business Capabilities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Full lifecycle management of warehouse stock per user/tenant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Full lifecycle management of market venues and their individual stock</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Controlled stock transfers from warehouse to market and vice-versa</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Market scheduling — plan open/close events, enforce operating windows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Real-time item increment/decrement at the point of market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Per-user tenancy: each user has isolated warehouse and market data</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Automated generation of warehouse and market reports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 centralised, immutable transaction log spanning all services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Structured audit logging of every operation through AOP</w:t>
      </w:r>
    </w:p>
    <w:p/>
    <w:p>
      <w:pPr>
        <w:pStyle w:val="Heading2"/>
        <w:spacing w:after="100" w:before="280"/>
      </w:pPr>
      <w:r>
        <w:rPr>
          <w:rFonts w:ascii="Arial" w:cs="Arial" w:eastAsia="Arial" w:hAnsi="Arial"/>
          <w:b/>
          <w:bCs/>
          <w:color w:val="2E86AB"/>
          <w:sz w:val="28"/>
          <w:szCs w:val="28"/>
        </w:rPr>
        <w:t xml:space="preserve">2.2 Quality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Attribute</w:t>
            </w:r>
          </w:p>
        </w:tc>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Target</w:t>
            </w:r>
          </w:p>
        </w:tc>
        <w:tc>
          <w:tcPr>
            <w:tcW w:type="dxa" w:w="45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Mechanism</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Availability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99.9 %</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Per-service health checks, graceful degradation, Kafka retry</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Scalability</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Horizontal</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Stateless services, Kafka consumer groups, read-replica support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Auditability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100 % coverage</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AOP advice on all service methods + Transaction Service event store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Configurability</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 rebuild</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Spring Boot Externalized Config, custom starters, environment profiles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Observability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Structured logs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SLF4J + Logback JSON, Micrometer metrics, distributed tracing</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Security</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Per-user isolation</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 per-tenant data partitioning, field-level validation</w:t>
            </w:r>
          </w:p>
        </w:tc>
      </w:tr>
    </w:tbl>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3. Architecture Principles</w:t>
      </w:r>
    </w:p>
    <w:p>
      <w:pPr>
        <w:pStyle w:val="Heading2"/>
        <w:spacing w:after="100" w:before="280"/>
      </w:pPr>
      <w:r>
        <w:rPr>
          <w:rFonts w:ascii="Arial" w:cs="Arial" w:eastAsia="Arial" w:hAnsi="Arial"/>
          <w:b/>
          <w:bCs/>
          <w:color w:val="2E86AB"/>
          <w:sz w:val="28"/>
          <w:szCs w:val="28"/>
        </w:rPr>
        <w:t xml:space="preserve">3.1 Hexagonal Architecture (Ports &amp; Adapters)</w:t>
      </w:r>
    </w:p>
    <w:p>
      <w:pPr>
        <w:spacing w:after="60" w:before="60"/>
        <w:jc w:val="left"/>
      </w:pPr>
      <w:r>
        <w:rPr>
          <w:rFonts w:ascii="Arial" w:cs="Arial" w:eastAsia="Arial" w:hAnsi="Arial"/>
          <w:b w:val="false"/>
          <w:bCs w:val="false"/>
          <w:i w:val="false"/>
          <w:iCs w:val="false"/>
          <w:color w:val="2C3E50"/>
          <w:sz w:val="22"/>
          <w:szCs w:val="22"/>
        </w:rPr>
        <w:t xml:space="preserve">Every service is structured in three concentric rings. The innermost ring — the Domain — contains pure business logic with zero framework dependencies. The middle ring — Application — orchestrates use cases through port interfaces. The outermost ring — Infrastructure / Adapters — wires framework code (Spring, JPA, Kafka, REST) to the ports.</w:t>
      </w:r>
    </w:p>
    <w:p>
      <w:pPr>
        <w:spacing w:after="60" w:before="60"/>
        <w:jc w:val="left"/>
      </w:pPr>
      <w:r>
        <w:rPr>
          <w:rFonts w:ascii="Arial" w:cs="Arial" w:eastAsia="Arial" w:hAnsi="Arial"/>
          <w:b w:val="false"/>
          <w:bCs w:val="false"/>
          <w:i w:val="false"/>
          <w:iCs w:val="false"/>
          <w:color w:val="2C3E50"/>
          <w:sz w:val="22"/>
          <w:szCs w:val="22"/>
        </w:rPr>
        <w:t xml:space="preserve">This means a service can be pointed at a different database, message broker, or API gateway purely through Spring Boot auto-configuration — no source code changes, no rebuild.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34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Contents</w:t>
            </w:r>
          </w:p>
        </w:tc>
        <w:tc>
          <w:tcPr>
            <w:tcW w:type="dxa" w:w="3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Spring Mechanism</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Domain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Entities, Value Objects, Domain Events, Domain Services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Plain Java / Kotlin — no annotations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Application</w:t>
            </w:r>
          </w:p>
        </w:tc>
        <w:tc>
          <w:tcPr>
            <w:tcW w:type="dxa" w:w="3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 Handlers, Query Handlers, Port interfaces (Java interfaces)</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@Service, @Transactional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Infrastructure - Driving</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REST Controllers, Kafka Consumers, GraphQL Resolvers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@RestController, @KafkaListener</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Infrastructure - Driven</w:t>
            </w:r>
          </w:p>
        </w:tc>
        <w:tc>
          <w:tcPr>
            <w:tcW w:type="dxa" w:w="3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JPA Repositories, Kafka Producers, S3/MongoDB adapters, Email</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@Repository, KafkaTemplate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Configuration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Auto-configuration classes, custom starters, @ConditionalOnProperty beans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@AutoConfiguration, @EnableConfigurationProperties</w:t>
            </w:r>
          </w:p>
        </w:tc>
      </w:tr>
    </w:tbl>
    <w:p/>
    <w:p>
      <w:pPr>
        <w:shd w:fill="EAF2FB" w:val="clear"/>
        <w:spacing w:after="60" w:before="60"/>
        <w:ind w:left="360" w:right="360"/>
      </w:pPr>
      <w:r>
        <w:rPr>
          <w:rFonts w:ascii="Arial" w:cs="Arial" w:eastAsia="Arial" w:hAnsi="Arial"/>
          <w:b/>
          <w:bCs/>
          <w:i w:val="false"/>
          <w:iCs w:val="false"/>
          <w:color w:val="2E86AB"/>
          <w:sz w:val="22"/>
          <w:szCs w:val="22"/>
        </w:rPr>
        <w:t xml:space="preserve">NOTE: </w:t>
      </w:r>
      <w:r>
        <w:rPr>
          <w:rFonts w:ascii="Arial" w:cs="Arial" w:eastAsia="Arial" w:hAnsi="Arial"/>
          <w:b w:val="false"/>
          <w:bCs w:val="false"/>
          <w:i/>
          <w:iCs/>
          <w:color w:val="2C3E50"/>
          <w:sz w:val="22"/>
          <w:szCs w:val="22"/>
        </w:rPr>
        <w:t xml:space="preserve">Each service ships as a Spring Boot starter module. A consuming service adds the starter dependency and provides environment-specific config. No source code of the starter is ever modified per environment.</w:t>
      </w:r>
    </w:p>
    <w:p/>
    <w:p>
      <w:pPr>
        <w:pStyle w:val="Heading3"/>
        <w:spacing w:after="80" w:before="200"/>
      </w:pPr>
      <w:r>
        <w:rPr>
          <w:rFonts w:ascii="Arial" w:cs="Arial" w:eastAsia="Arial" w:hAnsi="Arial"/>
          <w:b/>
          <w:bCs/>
          <w:color w:val="17A589"/>
          <w:sz w:val="24"/>
          <w:szCs w:val="24"/>
        </w:rPr>
        <w:t xml:space="preserve">3.1.1 Package Structure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Package</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Responsibility</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com.wmms.&lt;service&gt;.domain.model</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Aggregates, Entities, Value Objects</w:t>
            </w:r>
          </w:p>
        </w:tc>
      </w:tr>
      <w:tr>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com.wmms.&lt;service&gt;.domain.event</w:t>
            </w:r>
          </w:p>
        </w:tc>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Domain Events (immutable records)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com.wmms.&lt;service&gt;.domain.port.in</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Inbound port interfaces (use-case contracts)</w:t>
            </w:r>
          </w:p>
        </w:tc>
      </w:tr>
      <w:tr>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com.wmms.&lt;service&gt;.domain.port.out</w:t>
            </w:r>
          </w:p>
        </w:tc>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Outbound port interfaces (repository, messaging contracts)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com.wmms.&lt;service&gt;.application.command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 objects + Command Handlers</w:t>
            </w:r>
          </w:p>
        </w:tc>
      </w:tr>
      <w:tr>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com.wmms.&lt;service&gt;.application.query</w:t>
            </w:r>
          </w:p>
        </w:tc>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 objects + Query Handlers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com.wmms.&lt;service&gt;.adapter.in.rest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REST controllers + DTOs</w:t>
            </w:r>
          </w:p>
        </w:tc>
      </w:tr>
      <w:tr>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com.wmms.&lt;service&gt;.adapter.in.kafka</w:t>
            </w:r>
          </w:p>
        </w:tc>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Kafka Listeners (consuming events)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com.wmms.&lt;service&gt;.adapter.out.persistence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JPA / Mongo repositories (implementing out-ports)</w:t>
            </w:r>
          </w:p>
        </w:tc>
      </w:tr>
      <w:tr>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com.wmms.&lt;service&gt;.adapter.out.kafka</w:t>
            </w:r>
          </w:p>
        </w:tc>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Kafka Producers (implementing out-ports)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com.wmms.&lt;service&gt;.infrastructure.config</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Spring @Configuration, @AutoConfiguration, starters</w:t>
            </w:r>
          </w:p>
        </w:tc>
      </w:tr>
      <w:tr>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com.wmms.&lt;service&gt;.infrastructure.aop</w:t>
            </w:r>
          </w:p>
        </w:tc>
        <w:tc>
          <w:tcPr>
            <w:tcW w:type="dxa" w:w="4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AOP aspects (logging, auditing)</w:t>
            </w:r>
          </w:p>
        </w:tc>
      </w:tr>
    </w:tbl>
    <w:p/>
    <w:p>
      <w:pPr>
        <w:pStyle w:val="Heading2"/>
        <w:spacing w:after="100" w:before="280"/>
      </w:pPr>
      <w:r>
        <w:rPr>
          <w:rFonts w:ascii="Arial" w:cs="Arial" w:eastAsia="Arial" w:hAnsi="Arial"/>
          <w:b/>
          <w:bCs/>
          <w:color w:val="2E86AB"/>
          <w:sz w:val="28"/>
          <w:szCs w:val="28"/>
        </w:rPr>
        <w:t xml:space="preserve">3.2 CQRS Pattern</w:t>
      </w:r>
    </w:p>
    <w:p>
      <w:pPr>
        <w:spacing w:after="60" w:before="60"/>
        <w:jc w:val="left"/>
      </w:pPr>
      <w:r>
        <w:rPr>
          <w:rFonts w:ascii="Arial" w:cs="Arial" w:eastAsia="Arial" w:hAnsi="Arial"/>
          <w:b w:val="false"/>
          <w:bCs w:val="false"/>
          <w:i w:val="false"/>
          <w:iCs w:val="false"/>
          <w:color w:val="2C3E50"/>
          <w:sz w:val="22"/>
          <w:szCs w:val="22"/>
        </w:rPr>
        <w:t xml:space="preserve">All write operations are modelled as Commands. All read operations are modelled as Queries. Commands flow through Command Handlers which mutate the write model and emit Domain Events to Kafka. Query Handlers consume read-optimised projections (separate read models, potentially in a different data store).</w:t>
      </w:r>
    </w:p>
    <w:p>
      <w:pPr>
        <w:spacing w:after="60" w:before="60"/>
        <w:jc w:val="left"/>
      </w:pPr>
      <w:r>
        <w:rPr>
          <w:rFonts w:ascii="Arial" w:cs="Arial" w:eastAsia="Arial" w:hAnsi="Arial"/>
          <w:b w:val="false"/>
          <w:bCs w:val="false"/>
          <w:i w:val="false"/>
          <w:iCs w:val="false"/>
          <w:color w:val="2C3E50"/>
          <w:sz w:val="22"/>
          <w:szCs w:val="22"/>
        </w:rPr>
        <w:t xml:space="preserve">This separation allows the read path to be scaled independently (e.g. caching, materialized views), and the write path to enforce strict invariants without being burdened by complex query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Flow</w:t>
            </w:r>
          </w:p>
        </w:tc>
        <w:tc>
          <w:tcPr>
            <w:tcW w:type="dxa" w:w="35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Trigger</w:t>
            </w:r>
          </w:p>
        </w:tc>
        <w:tc>
          <w:tcPr>
            <w:tcW w:type="dxa" w:w="35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Result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REST POST/PUT/DELETE or Kafka inbound event</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Write model updated + Domain Event published to Kafka</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REST GET or internal query bus call</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Reads from read model (may be derived from event projections)</w:t>
            </w:r>
          </w:p>
        </w:tc>
      </w:tr>
    </w:tbl>
    <w:p/>
    <w:p>
      <w:pPr>
        <w:pStyle w:val="Heading2"/>
        <w:spacing w:after="100" w:before="280"/>
      </w:pPr>
      <w:r>
        <w:rPr>
          <w:rFonts w:ascii="Arial" w:cs="Arial" w:eastAsia="Arial" w:hAnsi="Arial"/>
          <w:b/>
          <w:bCs/>
          <w:color w:val="2E86AB"/>
          <w:sz w:val="28"/>
          <w:szCs w:val="28"/>
        </w:rPr>
        <w:t xml:space="preserve">3.3 Event-Driven Communication via Kafka</w:t>
      </w:r>
    </w:p>
    <w:p>
      <w:pPr>
        <w:spacing w:after="60" w:before="60"/>
        <w:jc w:val="left"/>
      </w:pPr>
      <w:r>
        <w:rPr>
          <w:rFonts w:ascii="Arial" w:cs="Arial" w:eastAsia="Arial" w:hAnsi="Arial"/>
          <w:b w:val="false"/>
          <w:bCs w:val="false"/>
          <w:i w:val="false"/>
          <w:iCs w:val="false"/>
          <w:color w:val="2C3E50"/>
          <w:sz w:val="22"/>
          <w:szCs w:val="22"/>
        </w:rPr>
        <w:t xml:space="preserve">All inter-service communication uses Apache Kafka topics. Services never call each other over HTTP. REST endpoints are reserved for external client-to-service communication only.</w:t>
      </w:r>
    </w:p>
    <w:p>
      <w:pPr>
        <w:spacing w:after="60" w:before="60"/>
        <w:jc w:val="left"/>
      </w:pPr>
      <w:r>
        <w:rPr>
          <w:rFonts w:ascii="Arial" w:cs="Arial" w:eastAsia="Arial" w:hAnsi="Arial"/>
          <w:b w:val="false"/>
          <w:bCs w:val="false"/>
          <w:i w:val="false"/>
          <w:iCs w:val="false"/>
          <w:color w:val="2C3E50"/>
          <w:sz w:val="22"/>
          <w:szCs w:val="22"/>
        </w:rPr>
        <w:t xml:space="preserve">Each Kafka message includes: a correlation ID, an originating service identifier, a timestamp, the user/tenant ID, the event type, and the event payload. This makes the Kafka log a first-class audit trail.</w:t>
      </w:r>
    </w:p>
    <w:p/>
    <w:p>
      <w:pPr>
        <w:pStyle w:val="Heading2"/>
        <w:spacing w:after="100" w:before="280"/>
      </w:pPr>
      <w:r>
        <w:rPr>
          <w:rFonts w:ascii="Arial" w:cs="Arial" w:eastAsia="Arial" w:hAnsi="Arial"/>
          <w:b/>
          <w:bCs/>
          <w:color w:val="2E86AB"/>
          <w:sz w:val="28"/>
          <w:szCs w:val="28"/>
        </w:rPr>
        <w:t xml:space="preserve">3.4 Aspect-Oriented Logging</w:t>
      </w:r>
    </w:p>
    <w:p>
      <w:pPr>
        <w:spacing w:after="60" w:before="60"/>
        <w:jc w:val="left"/>
      </w:pPr>
      <w:r>
        <w:rPr>
          <w:rFonts w:ascii="Arial" w:cs="Arial" w:eastAsia="Arial" w:hAnsi="Arial"/>
          <w:b w:val="false"/>
          <w:bCs w:val="false"/>
          <w:i w:val="false"/>
          <w:iCs w:val="false"/>
          <w:color w:val="2C3E50"/>
          <w:sz w:val="22"/>
          <w:szCs w:val="22"/>
        </w:rPr>
        <w:t xml:space="preserve">A shared AOP logging module (wmms-logging-starter) is added to every service. It defines @Around advice on all public methods in the application and adapter layers. For every method invocation it logs: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Service name, method signature, and class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User/tenant context (pulled from MDC/SecurityContext)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Input arguments (sanitised — passwords/tokens masked)</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Return value type and summary</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Execution duration in milliseconds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Success or exception outcome with stack trace on failure</w:t>
      </w:r>
    </w:p>
    <w:p>
      <w:pPr>
        <w:spacing w:after="60" w:before="60"/>
        <w:jc w:val="left"/>
      </w:pPr>
      <w:r>
        <w:rPr>
          <w:rFonts w:ascii="Arial" w:cs="Arial" w:eastAsia="Arial" w:hAnsi="Arial"/>
          <w:b w:val="false"/>
          <w:bCs w:val="false"/>
          <w:i w:val="false"/>
          <w:iCs w:val="false"/>
          <w:color w:val="2C3E50"/>
          <w:sz w:val="22"/>
          <w:szCs w:val="22"/>
        </w:rPr>
        <w:t xml:space="preserve">Logging is structured JSON via Logback and is shipped to a centralised log aggregator. The aspect is controlled by configuration properties — it can be disabled per environment without changing code.</w:t>
      </w:r>
    </w:p>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4. Service Catalogue</w:t>
      </w:r>
    </w:p>
    <w:p>
      <w:pPr>
        <w:pStyle w:val="Heading2"/>
        <w:spacing w:after="100" w:before="280"/>
      </w:pPr>
      <w:r>
        <w:rPr>
          <w:rFonts w:ascii="Arial" w:cs="Arial" w:eastAsia="Arial" w:hAnsi="Arial"/>
          <w:b/>
          <w:bCs/>
          <w:color w:val="2E86AB"/>
          <w:sz w:val="28"/>
          <w:szCs w:val="28"/>
        </w:rPr>
        <w:t xml:space="preserve">4.1 User Service  (wmms-user-service)</w:t>
      </w:r>
    </w:p>
    <w:p>
      <w:pPr>
        <w:spacing w:after="60" w:before="60"/>
        <w:jc w:val="left"/>
      </w:pPr>
      <w:r>
        <w:rPr>
          <w:rFonts w:ascii="Arial" w:cs="Arial" w:eastAsia="Arial" w:hAnsi="Arial"/>
          <w:b w:val="false"/>
          <w:bCs w:val="false"/>
          <w:i w:val="false"/>
          <w:iCs w:val="false"/>
          <w:color w:val="2C3E50"/>
          <w:sz w:val="22"/>
          <w:szCs w:val="22"/>
        </w:rPr>
        <w:t xml:space="preserve">The User Service is the identity and tenancy anchor of the platform. Every warehouse, market, and item in the system is owned by a user. The service enforces user lifecycle rules and issues security contexts used by all downstream services.</w:t>
      </w:r>
    </w:p>
    <w:p/>
    <w:p>
      <w:pPr>
        <w:pStyle w:val="Heading3"/>
        <w:spacing w:after="80" w:before="200"/>
      </w:pPr>
      <w:r>
        <w:rPr>
          <w:rFonts w:ascii="Arial" w:cs="Arial" w:eastAsia="Arial" w:hAnsi="Arial"/>
          <w:b/>
          <w:bCs/>
          <w:color w:val="17A589"/>
          <w:sz w:val="24"/>
          <w:szCs w:val="24"/>
        </w:rPr>
        <w:t xml:space="preserve">4.1.1 Responsibilities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Create, read, update, deactivate (soft-delete) user accounts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Assign roles: ADMIN, WAREHOUSE_MANAGER, MARKET_MANAGER, VIEWER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Issue and validate JWT tokens (RS256)</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Publish UserCreatedEvent, UserUpdatedEvent, UserDeactivatedEvent to Kafka</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Maintain a per-user configuration profile (timezone, locale, default warehouse)</w:t>
      </w:r>
    </w:p>
    <w:p/>
    <w:p>
      <w:pPr>
        <w:pStyle w:val="Heading3"/>
        <w:spacing w:after="80" w:before="200"/>
      </w:pPr>
      <w:r>
        <w:rPr>
          <w:rFonts w:ascii="Arial" w:cs="Arial" w:eastAsia="Arial" w:hAnsi="Arial"/>
          <w:b/>
          <w:bCs/>
          <w:color w:val="17A589"/>
          <w:sz w:val="24"/>
          <w:szCs w:val="24"/>
        </w:rPr>
        <w:t xml:space="preserve">4.1.2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PK, immutable, auto-generated</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username</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Unique, 3-50 chars, alphanumeric + underscore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email</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Unique, valid email format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passwordHash</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bcrypt, min cost factor 12, never returned in API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role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ADMIN | WAREHOUSE_MANAGER | MARKET_MANAGER | VIEWER</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status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ACTIVE | SUSPENDED | DEACTIVATED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createdAt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Auto, UTC</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updatedAt</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Auto on update, UTC</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preferences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JSONB</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timezone, locale, defaultWarehouseId — stored as JSON column</w:t>
            </w:r>
          </w:p>
        </w:tc>
      </w:tr>
    </w:tbl>
    <w:p/>
    <w:p>
      <w:pPr>
        <w:pStyle w:val="Heading3"/>
        <w:spacing w:after="80" w:before="200"/>
      </w:pPr>
      <w:r>
        <w:rPr>
          <w:rFonts w:ascii="Arial" w:cs="Arial" w:eastAsia="Arial" w:hAnsi="Arial"/>
          <w:b/>
          <w:bCs/>
          <w:color w:val="17A589"/>
          <w:sz w:val="24"/>
          <w:szCs w:val="24"/>
        </w:rPr>
        <w:t xml:space="preserve">4.1.3 Commands &amp;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Command / Query</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Kafka Event Emitted</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CreateUserCommand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UserCreatedEvent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UpdateUserCommand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UserUpdatedEvent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DeactivateUserCommand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UserDeactivatedEvent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ChangePasswordCommand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UserPasswordChangedEvent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AssignRoleCommand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UserRoleAssignedEvent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GetUserByIdQuery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ListUsersQuery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AuthenticateUserQuery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 — returns JWT)</w:t>
            </w:r>
          </w:p>
        </w:tc>
      </w:tr>
    </w:tbl>
    <w:p/>
    <w:p>
      <w:pPr>
        <w:pStyle w:val="Heading3"/>
        <w:spacing w:after="80" w:before="200"/>
      </w:pPr>
      <w:r>
        <w:rPr>
          <w:rFonts w:ascii="Arial" w:cs="Arial" w:eastAsia="Arial" w:hAnsi="Arial"/>
          <w:b/>
          <w:bCs/>
          <w:color w:val="17A589"/>
          <w:sz w:val="24"/>
          <w:szCs w:val="24"/>
        </w:rPr>
        <w:t xml:space="preserve">4.1.4 Database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Write model: PostgreSQL  (ACID, relational FK constraints for role/status enums)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Read model: Redis (JWT token cache, user profile cache with TTL)</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Migration tool: Flyway</w:t>
      </w:r>
    </w:p>
    <w:p/>
    <w:p>
      <w:pPr>
        <w:pStyle w:val="Heading3"/>
        <w:spacing w:after="80" w:before="200"/>
      </w:pPr>
      <w:r>
        <w:rPr>
          <w:rFonts w:ascii="Arial" w:cs="Arial" w:eastAsia="Arial" w:hAnsi="Arial"/>
          <w:b/>
          <w:bCs/>
          <w:color w:val="17A589"/>
          <w:sz w:val="24"/>
          <w:szCs w:val="24"/>
        </w:rPr>
        <w:t xml:space="preserve">4.1.5 Configuration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Property</w:t>
            </w:r>
          </w:p>
        </w:tc>
        <w:tc>
          <w:tcPr>
            <w:tcW w:type="dxa" w:w="50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Default / Description</w:t>
            </w:r>
          </w:p>
        </w:tc>
      </w:tr>
      <w:tr>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wmms.user.jwt.expiry-minutes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60 — access token lifetime</w:t>
            </w:r>
          </w:p>
        </w:tc>
      </w:tr>
      <w:tr>
        <w:tc>
          <w:tcPr>
            <w:tcW w:type="dxa" w:w="43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wmms.user.jwt.private-key-path</w:t>
            </w:r>
          </w:p>
        </w:tc>
        <w:tc>
          <w:tcPr>
            <w:tcW w:type="dxa" w:w="50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Classpath or file path to RS256 private key</w:t>
            </w:r>
          </w:p>
        </w:tc>
      </w:tr>
      <w:tr>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wmms.user.password.min-length</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12 — minimum password length</w:t>
            </w:r>
          </w:p>
        </w:tc>
      </w:tr>
      <w:tr>
        <w:tc>
          <w:tcPr>
            <w:tcW w:type="dxa" w:w="43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wmms.user.audit.enabled</w:t>
            </w:r>
          </w:p>
        </w:tc>
        <w:tc>
          <w:tcPr>
            <w:tcW w:type="dxa" w:w="50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true — enable AOP audit logging</w:t>
            </w:r>
          </w:p>
        </w:tc>
      </w:tr>
      <w:tr>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wmms.user.kafka.topic.events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user.events — topic for all user domain events</w:t>
            </w:r>
          </w:p>
        </w:tc>
      </w:tr>
    </w:tbl>
    <w:p>
      <w:r>
        <w:br w:type="page"/>
      </w:r>
    </w:p>
    <w:p>
      <w:pPr>
        <w:pStyle w:val="Heading2"/>
        <w:spacing w:after="100" w:before="280"/>
      </w:pPr>
      <w:r>
        <w:rPr>
          <w:rFonts w:ascii="Arial" w:cs="Arial" w:eastAsia="Arial" w:hAnsi="Arial"/>
          <w:b/>
          <w:bCs/>
          <w:color w:val="2E86AB"/>
          <w:sz w:val="28"/>
          <w:szCs w:val="28"/>
        </w:rPr>
        <w:t xml:space="preserve">4.2 Warehouse Service  (wmms-warehouse-service)</w:t>
      </w:r>
    </w:p>
    <w:p>
      <w:pPr>
        <w:spacing w:after="60" w:before="60"/>
        <w:jc w:val="left"/>
      </w:pPr>
      <w:r>
        <w:rPr>
          <w:rFonts w:ascii="Arial" w:cs="Arial" w:eastAsia="Arial" w:hAnsi="Arial"/>
          <w:b w:val="false"/>
          <w:bCs w:val="false"/>
          <w:i w:val="false"/>
          <w:iCs w:val="false"/>
          <w:color w:val="2C3E50"/>
          <w:sz w:val="22"/>
          <w:szCs w:val="22"/>
        </w:rPr>
        <w:t xml:space="preserve">The Warehouse Service manages the physical stock inventory per user. Each user owns one or more warehouses. Items within a warehouse are uniquely identified and carry quantity, location, and metadata. This service is the authoritative source of truth for warehouse-level stock levels.</w:t>
      </w:r>
    </w:p>
    <w:p/>
    <w:p>
      <w:pPr>
        <w:pStyle w:val="Heading3"/>
        <w:spacing w:after="80" w:before="200"/>
      </w:pPr>
      <w:r>
        <w:rPr>
          <w:rFonts w:ascii="Arial" w:cs="Arial" w:eastAsia="Arial" w:hAnsi="Arial"/>
          <w:b/>
          <w:bCs/>
          <w:color w:val="17A589"/>
          <w:sz w:val="24"/>
          <w:szCs w:val="24"/>
        </w:rPr>
        <w:t xml:space="preserve">4.2.1 Responsibilities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CRUD for Warehouse entities (per user)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CRUD for Item master data (SKU, description, unit of measure, category)</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CRUD for Warehouse Stock entries (item + quantity + location per warehouse)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Receive and apply stock adjustments triggered by the Stock Transfer Service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Emit StockAddedEvent, StockRemovedEvent, StockAdjustedEvent, WarehouseCreatedEvent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Provide stock level queries — current quantities, low-stock alerts, full inventory</w:t>
      </w:r>
    </w:p>
    <w:p/>
    <w:p>
      <w:pPr>
        <w:pStyle w:val="Heading3"/>
        <w:spacing w:after="80" w:before="200"/>
      </w:pPr>
      <w:r>
        <w:rPr>
          <w:rFonts w:ascii="Arial" w:cs="Arial" w:eastAsia="Arial" w:hAnsi="Arial"/>
          <w:b/>
          <w:bCs/>
          <w:color w:val="17A589"/>
          <w:sz w:val="24"/>
          <w:szCs w:val="24"/>
        </w:rPr>
        <w:t xml:space="preserve">4.2.2 Domain Aggregates</w:t>
      </w:r>
    </w:p>
    <w:p>
      <w:pPr>
        <w:pStyle w:val="Heading4"/>
        <w:spacing w:after="60" w:before="160"/>
      </w:pPr>
      <w:r>
        <w:rPr>
          <w:rFonts w:ascii="Arial" w:cs="Arial" w:eastAsia="Arial" w:hAnsi="Arial"/>
          <w:b/>
          <w:bCs/>
          <w:color w:val="2C3E50"/>
          <w:sz w:val="22"/>
          <w:szCs w:val="22"/>
        </w:rPr>
        <w:t xml:space="preserve">Warehouse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PK</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FK → User Service (logical reference, no hard FK across services)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name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Unique per user, 2-100 chars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address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Free-text, optional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status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ACTIVE | INACTIVE | ARCHIVED</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createdAt</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UTC</w:t>
            </w:r>
          </w:p>
        </w:tc>
      </w:tr>
    </w:tbl>
    <w:p/>
    <w:p>
      <w:pPr>
        <w:pStyle w:val="Heading4"/>
        <w:spacing w:after="60" w:before="160"/>
      </w:pPr>
      <w:r>
        <w:rPr>
          <w:rFonts w:ascii="Arial" w:cs="Arial" w:eastAsia="Arial" w:hAnsi="Arial"/>
          <w:b/>
          <w:bCs/>
          <w:color w:val="2C3E50"/>
          <w:sz w:val="22"/>
          <w:szCs w:val="22"/>
        </w:rPr>
        <w:t xml:space="preserve">Item (Master)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PK</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Owner — scopes item catalogue per user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sku</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Stock-keeping unit, unique per userId</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name</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Display name, 2-200 chars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description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Optional, max 1000 chars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category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Tag-based, free-form</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unitOfMeasure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e.g. UNIT, KG, LITRE, BOX</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unitPrice</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Decimal</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BigDecimal, 4 decimal places, optional</w:t>
            </w:r>
          </w:p>
        </w:tc>
      </w:tr>
    </w:tbl>
    <w:p/>
    <w:p>
      <w:pPr>
        <w:pStyle w:val="Heading4"/>
        <w:spacing w:after="60" w:before="160"/>
      </w:pPr>
      <w:r>
        <w:rPr>
          <w:rFonts w:ascii="Arial" w:cs="Arial" w:eastAsia="Arial" w:hAnsi="Arial"/>
          <w:b/>
          <w:bCs/>
          <w:color w:val="2C3E50"/>
          <w:sz w:val="22"/>
          <w:szCs w:val="22"/>
        </w:rPr>
        <w:t xml:space="preserve">WarehouseStock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stockId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PK</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FK → Warehouse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FK → Item</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quantity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Integer</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Non-negative; domain invariant: quantity &gt;= 0</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reservedQty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Integer</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Quantity locked for pending transfers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binLocation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Physical bin/shelf code, optional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reorderLevel</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Integer</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Trigger low-stock event when quantity &lt;= this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lastUpdated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Optimistic locking version + timestamp</w:t>
            </w:r>
          </w:p>
        </w:tc>
      </w:tr>
    </w:tbl>
    <w:p/>
    <w:p>
      <w:pPr>
        <w:pStyle w:val="Heading3"/>
        <w:spacing w:after="80" w:before="200"/>
      </w:pPr>
      <w:r>
        <w:rPr>
          <w:rFonts w:ascii="Arial" w:cs="Arial" w:eastAsia="Arial" w:hAnsi="Arial"/>
          <w:b/>
          <w:bCs/>
          <w:color w:val="17A589"/>
          <w:sz w:val="24"/>
          <w:szCs w:val="24"/>
        </w:rPr>
        <w:t xml:space="preserve">4.2.3 Commands &amp;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Command / Query</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Kafka Event Emitted</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CreateWarehouseCommand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WarehouseCreatedEvent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UpdateWarehouseCommand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WarehouseUpdatedEvent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DeleteWarehouseCommand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WarehouseDeletedEvent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CreateItemCommand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ItemCreatedEvent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UpdateItemCommand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ItemUpdatedEvent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DeleteItemCommand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ItemDeletedEvent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AddStockCommand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StockAddedEvent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RemoveStockCommand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StockRemovedEvent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ReserveStockCommand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StockReservedEvent (consumed by Transfer Service)</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AdjustStockCommand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StockAdjustedEvent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GetWarehouseStockQuery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GetLowStockItemsQuery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GetItemsByWarehouseQuery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r>
    </w:tbl>
    <w:p/>
    <w:p>
      <w:pPr>
        <w:pStyle w:val="Heading3"/>
        <w:spacing w:after="80" w:before="200"/>
      </w:pPr>
      <w:r>
        <w:rPr>
          <w:rFonts w:ascii="Arial" w:cs="Arial" w:eastAsia="Arial" w:hAnsi="Arial"/>
          <w:b/>
          <w:bCs/>
          <w:color w:val="17A589"/>
          <w:sz w:val="24"/>
          <w:szCs w:val="24"/>
        </w:rPr>
        <w:t xml:space="preserve">4.2.4 Database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Write model: PostgreSQL — warehouses, items, warehouse_stock tables, Flyway migrations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Read model: MongoDB — materialised stock views for fast full-inventory queries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Optimistic locking via @Version on WarehouseStock entity</w:t>
      </w:r>
    </w:p>
    <w:p>
      <w:r>
        <w:br w:type="page"/>
      </w:r>
    </w:p>
    <w:p>
      <w:pPr>
        <w:pStyle w:val="Heading2"/>
        <w:spacing w:after="100" w:before="280"/>
      </w:pPr>
      <w:r>
        <w:rPr>
          <w:rFonts w:ascii="Arial" w:cs="Arial" w:eastAsia="Arial" w:hAnsi="Arial"/>
          <w:b/>
          <w:bCs/>
          <w:color w:val="2E86AB"/>
          <w:sz w:val="28"/>
          <w:szCs w:val="28"/>
        </w:rPr>
        <w:t xml:space="preserve">4.3 Market Service  (wmms-market-service)</w:t>
      </w:r>
    </w:p>
    <w:p>
      <w:pPr>
        <w:spacing w:after="60" w:before="60"/>
        <w:jc w:val="left"/>
      </w:pPr>
      <w:r>
        <w:rPr>
          <w:rFonts w:ascii="Arial" w:cs="Arial" w:eastAsia="Arial" w:hAnsi="Arial"/>
          <w:b w:val="false"/>
          <w:bCs w:val="false"/>
          <w:i w:val="false"/>
          <w:iCs w:val="false"/>
          <w:color w:val="2C3E50"/>
          <w:sz w:val="22"/>
          <w:szCs w:val="22"/>
        </w:rPr>
        <w:t xml:space="preserve">The Market Service manages market venues and their own independent stock pools. Each market is owned by a user. Stock at a market is separate from warehouse stock and can only be replenished via the Stock Transfer Service. The service also manages the open/closed lifecycle of each market.</w:t>
      </w:r>
    </w:p>
    <w:p/>
    <w:p>
      <w:pPr>
        <w:pStyle w:val="Heading3"/>
        <w:spacing w:after="80" w:before="200"/>
      </w:pPr>
      <w:r>
        <w:rPr>
          <w:rFonts w:ascii="Arial" w:cs="Arial" w:eastAsia="Arial" w:hAnsi="Arial"/>
          <w:b/>
          <w:bCs/>
          <w:color w:val="17A589"/>
          <w:sz w:val="24"/>
          <w:szCs w:val="24"/>
        </w:rPr>
        <w:t xml:space="preserve">4.3.1 Responsibilities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CRUD for Market entities (name, location, type, status per user)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CRUD for Market Stock entries (item + quantity per market)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Open and close market sessions (immediately or via schedule)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Increment and decrement stock quantities at the market in real-time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Emit MarketCreatedEvent, MarketOpenedEvent, MarketClosedEvent, MarketStockChangedEvent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Enforce: stock cannot go below zero; market must be OPEN to allow stock operations</w:t>
      </w:r>
    </w:p>
    <w:p/>
    <w:p>
      <w:pPr>
        <w:pStyle w:val="Heading3"/>
        <w:spacing w:after="80" w:before="200"/>
      </w:pPr>
      <w:r>
        <w:rPr>
          <w:rFonts w:ascii="Arial" w:cs="Arial" w:eastAsia="Arial" w:hAnsi="Arial"/>
          <w:b/>
          <w:bCs/>
          <w:color w:val="17A589"/>
          <w:sz w:val="24"/>
          <w:szCs w:val="24"/>
        </w:rPr>
        <w:t xml:space="preserve">4.3.2 Domain Aggregates</w:t>
      </w:r>
    </w:p>
    <w:p>
      <w:pPr>
        <w:pStyle w:val="Heading4"/>
        <w:spacing w:after="60" w:before="160"/>
      </w:pPr>
      <w:r>
        <w:rPr>
          <w:rFonts w:ascii="Arial" w:cs="Arial" w:eastAsia="Arial" w:hAnsi="Arial"/>
          <w:b/>
          <w:bCs/>
          <w:color w:val="2C3E50"/>
          <w:sz w:val="22"/>
          <w:szCs w:val="22"/>
        </w:rPr>
        <w:t xml:space="preserve">Market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PK</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Owner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name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Unique per user</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location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Physical address or GPS coords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marketType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FARMERS_MARKET | RETAIL | WHOLESALE | POP_UP | OTHER</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status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SCHEDULED | OPEN | CLOSED | SUSPENDED | ARCHIVED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openedAt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Nullable — set when status → OPEN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closedAt</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Nullable — set when status → CLOSED</w:t>
            </w:r>
          </w:p>
        </w:tc>
      </w:tr>
    </w:tbl>
    <w:p/>
    <w:p>
      <w:pPr>
        <w:pStyle w:val="Heading4"/>
        <w:spacing w:after="60" w:before="160"/>
      </w:pPr>
      <w:r>
        <w:rPr>
          <w:rFonts w:ascii="Arial" w:cs="Arial" w:eastAsia="Arial" w:hAnsi="Arial"/>
          <w:b/>
          <w:bCs/>
          <w:color w:val="2C3E50"/>
          <w:sz w:val="22"/>
          <w:szCs w:val="22"/>
        </w:rPr>
        <w:t xml:space="preserve">MarketStock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marketStockId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PK</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FK → Market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Logical ref to Item in Warehouse Service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quantity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Integer</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&gt;= 0; domain invariant enforced in aggregate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soldQty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Integer</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Running total sold since last stock-up</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lastUpdated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Timestamp of last change, used for reporting</w:t>
            </w:r>
          </w:p>
        </w:tc>
      </w:tr>
    </w:tbl>
    <w:p/>
    <w:p>
      <w:pPr>
        <w:pStyle w:val="Heading3"/>
        <w:spacing w:after="80" w:before="200"/>
      </w:pPr>
      <w:r>
        <w:rPr>
          <w:rFonts w:ascii="Arial" w:cs="Arial" w:eastAsia="Arial" w:hAnsi="Arial"/>
          <w:b/>
          <w:bCs/>
          <w:color w:val="17A589"/>
          <w:sz w:val="24"/>
          <w:szCs w:val="24"/>
        </w:rPr>
        <w:t xml:space="preserve">4.3.3 Commands &amp;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Command / Query</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Kafka Event Emitted</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CreateMarketCommand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MarketCreatedEvent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UpdateMarketCommand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MarketUpdatedEvent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DeleteMarketCommand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MarketDeletedEvent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OpenMarketCommand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MarketOpenedEvent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CloseMarketCommand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MarketClosedEvent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IncrementMarketStockCommand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MarketStockIncrementedEvent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DecrementMarketStockCommand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Command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MarketStockDecrementedEvent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GetMarketStockQuery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GetOpenMarketsQuery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GetMarketsByUserQuery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r>
    </w:tbl>
    <w:p/>
    <w:p>
      <w:pPr>
        <w:pStyle w:val="Heading3"/>
        <w:spacing w:after="80" w:before="200"/>
      </w:pPr>
      <w:r>
        <w:rPr>
          <w:rFonts w:ascii="Arial" w:cs="Arial" w:eastAsia="Arial" w:hAnsi="Arial"/>
          <w:b/>
          <w:bCs/>
          <w:color w:val="17A589"/>
          <w:sz w:val="24"/>
          <w:szCs w:val="24"/>
        </w:rPr>
        <w:t xml:space="preserve">4.3.4 Database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Write model: PostgreSQL — markets, market_stock tables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Read model: MongoDB — market session views (open/close history, running totals)</w:t>
      </w:r>
    </w:p>
    <w:p>
      <w:r>
        <w:br w:type="page"/>
      </w:r>
    </w:p>
    <w:p>
      <w:pPr>
        <w:pStyle w:val="Heading2"/>
        <w:spacing w:after="100" w:before="280"/>
      </w:pPr>
      <w:r>
        <w:rPr>
          <w:rFonts w:ascii="Arial" w:cs="Arial" w:eastAsia="Arial" w:hAnsi="Arial"/>
          <w:b/>
          <w:bCs/>
          <w:color w:val="2E86AB"/>
          <w:sz w:val="28"/>
          <w:szCs w:val="28"/>
        </w:rPr>
        <w:t xml:space="preserve">4.4 Stock Transfer Service  (wmms-transfer-service)</w:t>
      </w:r>
    </w:p>
    <w:p>
      <w:pPr>
        <w:spacing w:after="60" w:before="60"/>
        <w:jc w:val="left"/>
      </w:pPr>
      <w:r>
        <w:rPr>
          <w:rFonts w:ascii="Arial" w:cs="Arial" w:eastAsia="Arial" w:hAnsi="Arial"/>
          <w:b w:val="false"/>
          <w:bCs w:val="false"/>
          <w:i w:val="false"/>
          <w:iCs w:val="false"/>
          <w:color w:val="2C3E50"/>
          <w:sz w:val="22"/>
          <w:szCs w:val="22"/>
        </w:rPr>
        <w:t xml:space="preserve">The Stock Transfer Service is the orchestrator of stock movement between warehouse and markets. It initiates a saga-like flow: reserving stock in the source, confirming the transfer at the destination, and committing or rolling back in case of failure. All steps are communicated via Kafka.</w:t>
      </w:r>
    </w:p>
    <w:p/>
    <w:p>
      <w:pPr>
        <w:pStyle w:val="Heading3"/>
        <w:spacing w:after="80" w:before="200"/>
      </w:pPr>
      <w:r>
        <w:rPr>
          <w:rFonts w:ascii="Arial" w:cs="Arial" w:eastAsia="Arial" w:hAnsi="Arial"/>
          <w:b/>
          <w:bCs/>
          <w:color w:val="17A589"/>
          <w:sz w:val="24"/>
          <w:szCs w:val="24"/>
        </w:rPr>
        <w:t xml:space="preserve">4.4.1 Responsibilities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Create a transfer request (warehouse → market or market → warehouse)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Publish ReserveStockCommand to Warehouse Service via Kafka</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On StockReservedEvent: publish ReceiveStockCommand to Market Service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On ReceiveStockConfirmedEvent: publish CommitTransferCommand to Warehouse Service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On any failure: publish RollbackReservationCommand to Warehouse Service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Maintain the transfer lifecycle: PENDING → RESERVED → IN_PROGRESS → COMPLETED | FAILED</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Expose REST endpoint for initiating and querying transfers</w:t>
      </w:r>
    </w:p>
    <w:p/>
    <w:p>
      <w:pPr>
        <w:pStyle w:val="Heading3"/>
        <w:spacing w:after="80" w:before="200"/>
      </w:pPr>
      <w:r>
        <w:rPr>
          <w:rFonts w:ascii="Arial" w:cs="Arial" w:eastAsia="Arial" w:hAnsi="Arial"/>
          <w:b/>
          <w:bCs/>
          <w:color w:val="17A589"/>
          <w:sz w:val="24"/>
          <w:szCs w:val="24"/>
        </w:rPr>
        <w:t xml:space="preserve">4.4.2 Transfer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transferId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PK, correlation ID across the saga</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Owning user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sourceType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 MARKET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sourceId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or Market ID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destinationType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 MARKET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destinationId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Target Warehouse or Market ID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 being transferred</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quantity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Integer</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Quantity to move (&gt; 0)</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status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PENDING | RESERVED | IN_PROGRESS | COMPLETED | FAILED | ROLLED_BACK</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createdAt</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UTC</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completedAt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UTC, nullable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failureReason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Nullable, set on failure</w:t>
            </w:r>
          </w:p>
        </w:tc>
      </w:tr>
    </w:tbl>
    <w:p/>
    <w:p>
      <w:pPr>
        <w:pStyle w:val="Heading3"/>
        <w:spacing w:after="80" w:before="200"/>
      </w:pPr>
      <w:r>
        <w:rPr>
          <w:rFonts w:ascii="Arial" w:cs="Arial" w:eastAsia="Arial" w:hAnsi="Arial"/>
          <w:b/>
          <w:bCs/>
          <w:color w:val="17A589"/>
          <w:sz w:val="24"/>
          <w:szCs w:val="24"/>
        </w:rPr>
        <w:t xml:space="preserve">4.4.3 Transfer Saga Steps</w:t>
      </w:r>
    </w:p>
    <w:p>
      <w:pPr>
        <w:pStyle w:val="ListParagraph"/>
        <w:numPr>
          <w:ilvl w:val="0"/>
          <w:numId w:val="3"/>
        </w:numPr>
        <w:spacing w:after="40" w:before="40"/>
      </w:pPr>
      <w:r>
        <w:rPr>
          <w:rFonts w:ascii="Arial" w:cs="Arial" w:eastAsia="Arial" w:hAnsi="Arial"/>
          <w:b w:val="false"/>
          <w:bCs w:val="false"/>
          <w:i w:val="false"/>
          <w:iCs w:val="false"/>
          <w:color w:val="2C3E50"/>
          <w:sz w:val="22"/>
          <w:szCs w:val="22"/>
        </w:rPr>
        <w:t xml:space="preserve">Client calls POST /api/v1/transfers — Transfer Service creates Transfer (PENDING) and emits StockReserveRequestedEvent</w:t>
      </w:r>
    </w:p>
    <w:p>
      <w:pPr>
        <w:pStyle w:val="ListParagraph"/>
        <w:numPr>
          <w:ilvl w:val="0"/>
          <w:numId w:val="3"/>
        </w:numPr>
        <w:spacing w:after="40" w:before="40"/>
      </w:pPr>
      <w:r>
        <w:rPr>
          <w:rFonts w:ascii="Arial" w:cs="Arial" w:eastAsia="Arial" w:hAnsi="Arial"/>
          <w:b w:val="false"/>
          <w:bCs w:val="false"/>
          <w:i w:val="false"/>
          <w:iCs w:val="false"/>
          <w:color w:val="2C3E50"/>
          <w:sz w:val="22"/>
          <w:szCs w:val="22"/>
        </w:rPr>
        <w:t xml:space="preserve">Warehouse Service receives event → reserves quantity → emits StockReservedEvent or StockReservationFailedEvent</w:t>
      </w:r>
    </w:p>
    <w:p>
      <w:pPr>
        <w:pStyle w:val="ListParagraph"/>
        <w:numPr>
          <w:ilvl w:val="0"/>
          <w:numId w:val="3"/>
        </w:numPr>
        <w:spacing w:after="40" w:before="40"/>
      </w:pPr>
      <w:r>
        <w:rPr>
          <w:rFonts w:ascii="Arial" w:cs="Arial" w:eastAsia="Arial" w:hAnsi="Arial"/>
          <w:b w:val="false"/>
          <w:bCs w:val="false"/>
          <w:i w:val="false"/>
          <w:iCs w:val="false"/>
          <w:color w:val="2C3E50"/>
          <w:sz w:val="22"/>
          <w:szCs w:val="22"/>
        </w:rPr>
        <w:t xml:space="preserve">Transfer Service receives StockReservedEvent → transitions to RESERVED → emits StockReceiveRequestedEvent to Market Service</w:t>
      </w:r>
    </w:p>
    <w:p>
      <w:pPr>
        <w:pStyle w:val="ListParagraph"/>
        <w:numPr>
          <w:ilvl w:val="0"/>
          <w:numId w:val="3"/>
        </w:numPr>
        <w:spacing w:after="40" w:before="40"/>
      </w:pPr>
      <w:r>
        <w:rPr>
          <w:rFonts w:ascii="Arial" w:cs="Arial" w:eastAsia="Arial" w:hAnsi="Arial"/>
          <w:b w:val="false"/>
          <w:bCs w:val="false"/>
          <w:i w:val="false"/>
          <w:iCs w:val="false"/>
          <w:color w:val="2C3E50"/>
          <w:sz w:val="22"/>
          <w:szCs w:val="22"/>
        </w:rPr>
        <w:t xml:space="preserve">Market Service receives event → adds stock to market → emits StockReceivedConfirmedEvent</w:t>
      </w:r>
    </w:p>
    <w:p>
      <w:pPr>
        <w:pStyle w:val="ListParagraph"/>
        <w:numPr>
          <w:ilvl w:val="0"/>
          <w:numId w:val="3"/>
        </w:numPr>
        <w:spacing w:after="40" w:before="40"/>
      </w:pPr>
      <w:r>
        <w:rPr>
          <w:rFonts w:ascii="Arial" w:cs="Arial" w:eastAsia="Arial" w:hAnsi="Arial"/>
          <w:b w:val="false"/>
          <w:bCs w:val="false"/>
          <w:i w:val="false"/>
          <w:iCs w:val="false"/>
          <w:color w:val="2C3E50"/>
          <w:sz w:val="22"/>
          <w:szCs w:val="22"/>
        </w:rPr>
        <w:t xml:space="preserve">Transfer Service receives confirmation → emits StockTransferCommitEvent to Warehouse Service</w:t>
      </w:r>
    </w:p>
    <w:p>
      <w:pPr>
        <w:pStyle w:val="ListParagraph"/>
        <w:numPr>
          <w:ilvl w:val="0"/>
          <w:numId w:val="3"/>
        </w:numPr>
        <w:spacing w:after="40" w:before="40"/>
      </w:pPr>
      <w:r>
        <w:rPr>
          <w:rFonts w:ascii="Arial" w:cs="Arial" w:eastAsia="Arial" w:hAnsi="Arial"/>
          <w:b w:val="false"/>
          <w:bCs w:val="false"/>
          <w:i w:val="false"/>
          <w:iCs w:val="false"/>
          <w:color w:val="2C3E50"/>
          <w:sz w:val="22"/>
          <w:szCs w:val="22"/>
        </w:rPr>
        <w:t xml:space="preserve">Warehouse Service deducts reserved stock → emits StockDeductedEvent</w:t>
      </w:r>
    </w:p>
    <w:p>
      <w:pPr>
        <w:pStyle w:val="ListParagraph"/>
        <w:numPr>
          <w:ilvl w:val="0"/>
          <w:numId w:val="3"/>
        </w:numPr>
        <w:spacing w:after="40" w:before="40"/>
      </w:pPr>
      <w:r>
        <w:rPr>
          <w:rFonts w:ascii="Arial" w:cs="Arial" w:eastAsia="Arial" w:hAnsi="Arial"/>
          <w:b w:val="false"/>
          <w:bCs w:val="false"/>
          <w:i w:val="false"/>
          <w:iCs w:val="false"/>
          <w:color w:val="2C3E50"/>
          <w:sz w:val="22"/>
          <w:szCs w:val="22"/>
        </w:rPr>
        <w:t xml:space="preserve">Transfer Service marks COMPLETED, emits TransferCompletedEvent</w:t>
      </w:r>
    </w:p>
    <w:p>
      <w:pPr>
        <w:shd w:fill="EAF2FB" w:val="clear"/>
        <w:spacing w:after="60" w:before="60"/>
        <w:ind w:left="360" w:right="360"/>
      </w:pPr>
      <w:r>
        <w:rPr>
          <w:rFonts w:ascii="Arial" w:cs="Arial" w:eastAsia="Arial" w:hAnsi="Arial"/>
          <w:b/>
          <w:bCs/>
          <w:i w:val="false"/>
          <w:iCs w:val="false"/>
          <w:color w:val="2E86AB"/>
          <w:sz w:val="22"/>
          <w:szCs w:val="22"/>
        </w:rPr>
        <w:t xml:space="preserve">NOTE: </w:t>
      </w:r>
      <w:r>
        <w:rPr>
          <w:rFonts w:ascii="Arial" w:cs="Arial" w:eastAsia="Arial" w:hAnsi="Arial"/>
          <w:b w:val="false"/>
          <w:bCs w:val="false"/>
          <w:i/>
          <w:iCs/>
          <w:color w:val="2C3E50"/>
          <w:sz w:val="22"/>
          <w:szCs w:val="22"/>
        </w:rPr>
        <w:t xml:space="preserve">On any step failure: compensation events are emitted in reverse order to roll back all changes. Transfer transitions to FAILED with reason captured.</w:t>
      </w:r>
    </w:p>
    <w:p/>
    <w:p>
      <w:pPr>
        <w:pStyle w:val="Heading3"/>
        <w:spacing w:after="80" w:before="200"/>
      </w:pPr>
      <w:r>
        <w:rPr>
          <w:rFonts w:ascii="Arial" w:cs="Arial" w:eastAsia="Arial" w:hAnsi="Arial"/>
          <w:b/>
          <w:bCs/>
          <w:color w:val="17A589"/>
          <w:sz w:val="24"/>
          <w:szCs w:val="24"/>
        </w:rPr>
        <w:t xml:space="preserve">4.4.4 Database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Write model: PostgreSQL — transfers table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Read model: MongoDB — transfer history view per user/item/market</w:t>
      </w:r>
    </w:p>
    <w:p>
      <w:r>
        <w:br w:type="page"/>
      </w:r>
    </w:p>
    <w:p>
      <w:pPr>
        <w:pStyle w:val="Heading2"/>
        <w:spacing w:after="100" w:before="280"/>
      </w:pPr>
      <w:r>
        <w:rPr>
          <w:rFonts w:ascii="Arial" w:cs="Arial" w:eastAsia="Arial" w:hAnsi="Arial"/>
          <w:b/>
          <w:bCs/>
          <w:color w:val="2E86AB"/>
          <w:sz w:val="28"/>
          <w:szCs w:val="28"/>
        </w:rPr>
        <w:t xml:space="preserve">4.5 Scheduling Service  (wmms-scheduling-service)</w:t>
      </w:r>
    </w:p>
    <w:p>
      <w:pPr>
        <w:spacing w:after="60" w:before="60"/>
        <w:jc w:val="left"/>
      </w:pPr>
      <w:r>
        <w:rPr>
          <w:rFonts w:ascii="Arial" w:cs="Arial" w:eastAsia="Arial" w:hAnsi="Arial"/>
          <w:b w:val="false"/>
          <w:bCs w:val="false"/>
          <w:i w:val="false"/>
          <w:iCs w:val="false"/>
          <w:color w:val="2C3E50"/>
          <w:sz w:val="22"/>
          <w:szCs w:val="22"/>
        </w:rPr>
        <w:t xml:space="preserve">The Scheduling Service manages the calendar of market open/close events. Users schedule markets in advance; the scheduler fires at the defined time and publishes the appropriate open/close command to the Market Service via Kafka.</w:t>
      </w:r>
    </w:p>
    <w:p/>
    <w:p>
      <w:pPr>
        <w:pStyle w:val="Heading3"/>
        <w:spacing w:after="80" w:before="200"/>
      </w:pPr>
      <w:r>
        <w:rPr>
          <w:rFonts w:ascii="Arial" w:cs="Arial" w:eastAsia="Arial" w:hAnsi="Arial"/>
          <w:b/>
          <w:bCs/>
          <w:color w:val="17A589"/>
          <w:sz w:val="24"/>
          <w:szCs w:val="24"/>
        </w:rPr>
        <w:t xml:space="preserve">4.5.1 Responsibilities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CRUD for MarketSchedule entities (marketId, openAt, closeAt, recurring rule)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Execute scheduled jobs using Spring @Scheduled or Quartz Scheduler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At job fire time: publish OpenMarketCommand or CloseMarketCommand to market.commands topic</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Support one-off and recurring schedules (daily, weekly, custom CRON)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Emit ScheduleCreatedEvent, ScheduleFiredEvent, ScheduleCancelledEvent</w:t>
      </w:r>
    </w:p>
    <w:p/>
    <w:p>
      <w:pPr>
        <w:pStyle w:val="Heading3"/>
        <w:spacing w:after="80" w:before="200"/>
      </w:pPr>
      <w:r>
        <w:rPr>
          <w:rFonts w:ascii="Arial" w:cs="Arial" w:eastAsia="Arial" w:hAnsi="Arial"/>
          <w:b/>
          <w:bCs/>
          <w:color w:val="17A589"/>
          <w:sz w:val="24"/>
          <w:szCs w:val="24"/>
        </w:rPr>
        <w:t xml:space="preserve">4.5.2 MarketSchedule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scheduleId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PK</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Target market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Owner</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action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OPEN | CLOSE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scheduledAt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Next fire time (UTC)</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cronExpression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Nullable — for recurring schedules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isRecurring</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Boolean</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true = use cronExpression, false = one-shot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status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Enum</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PENDING | FIRED | CANCELLED | EXPIRED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lastFiredAt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UTC, nullable</w:t>
            </w:r>
          </w:p>
        </w:tc>
      </w:tr>
    </w:tbl>
    <w:p/>
    <w:p>
      <w:pPr>
        <w:pStyle w:val="Heading3"/>
        <w:spacing w:after="80" w:before="200"/>
      </w:pPr>
      <w:r>
        <w:rPr>
          <w:rFonts w:ascii="Arial" w:cs="Arial" w:eastAsia="Arial" w:hAnsi="Arial"/>
          <w:b/>
          <w:bCs/>
          <w:color w:val="17A589"/>
          <w:sz w:val="24"/>
          <w:szCs w:val="24"/>
        </w:rPr>
        <w:t xml:space="preserve">4.5.3 Database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Write model: PostgreSQL — market_schedules table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Quartz Scheduler tables also in PostgreSQL (clustered mode for HA)</w:t>
      </w:r>
    </w:p>
    <w:p>
      <w:r>
        <w:br w:type="page"/>
      </w:r>
    </w:p>
    <w:p>
      <w:pPr>
        <w:pStyle w:val="Heading2"/>
        <w:spacing w:after="100" w:before="280"/>
      </w:pPr>
      <w:r>
        <w:rPr>
          <w:rFonts w:ascii="Arial" w:cs="Arial" w:eastAsia="Arial" w:hAnsi="Arial"/>
          <w:b/>
          <w:bCs/>
          <w:color w:val="2E86AB"/>
          <w:sz w:val="28"/>
          <w:szCs w:val="28"/>
        </w:rPr>
        <w:t xml:space="preserve">4.6 Reporting Service  (wmms-reporting-service)</w:t>
      </w:r>
    </w:p>
    <w:p>
      <w:pPr>
        <w:spacing w:after="60" w:before="60"/>
        <w:jc w:val="left"/>
      </w:pPr>
      <w:r>
        <w:rPr>
          <w:rFonts w:ascii="Arial" w:cs="Arial" w:eastAsia="Arial" w:hAnsi="Arial"/>
          <w:b w:val="false"/>
          <w:bCs w:val="false"/>
          <w:i w:val="false"/>
          <w:iCs w:val="false"/>
          <w:color w:val="2C3E50"/>
          <w:sz w:val="22"/>
          <w:szCs w:val="22"/>
        </w:rPr>
        <w:t xml:space="preserve">The Reporting Service is a pure consumer service — it never writes business state. It subscribes to all domain events from Warehouse, Market, and Transfer Services, builds materialised reporting views, and exposes report generation endpoints.</w:t>
      </w:r>
    </w:p>
    <w:p/>
    <w:p>
      <w:pPr>
        <w:pStyle w:val="Heading3"/>
        <w:spacing w:after="80" w:before="200"/>
      </w:pPr>
      <w:r>
        <w:rPr>
          <w:rFonts w:ascii="Arial" w:cs="Arial" w:eastAsia="Arial" w:hAnsi="Arial"/>
          <w:b/>
          <w:bCs/>
          <w:color w:val="17A589"/>
          <w:sz w:val="24"/>
          <w:szCs w:val="24"/>
        </w:rPr>
        <w:t xml:space="preserve">4.6.1 Responsibilities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Consume all StockAddedEvent, StockRemovedEvent, MarketStockChangedEvent, TransferCompletedEvent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Build and maintain time-series reporting projections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Generate Warehouse Reports: current stock levels, item movement history, low-stock summary, valuation report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Generate Market Reports: items sold per session, revenue summary, session duration, stock-in vs sold comparison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Provide REST endpoints to retrieve reports as JSON or export as CSV</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Emit ReportGeneratedEvent for audit purposes</w:t>
      </w:r>
    </w:p>
    <w:p/>
    <w:p>
      <w:pPr>
        <w:pStyle w:val="Heading3"/>
        <w:spacing w:after="80" w:before="200"/>
      </w:pPr>
      <w:r>
        <w:rPr>
          <w:rFonts w:ascii="Arial" w:cs="Arial" w:eastAsia="Arial" w:hAnsi="Arial"/>
          <w:b/>
          <w:bCs/>
          <w:color w:val="17A589"/>
          <w:sz w:val="24"/>
          <w:szCs w:val="24"/>
        </w:rPr>
        <w:t xml:space="preserve">4.6.2 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Report</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Scope</w:t>
            </w:r>
          </w:p>
        </w:tc>
        <w:tc>
          <w:tcPr>
            <w:tcW w:type="dxa" w:w="4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Metrics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Inventory Snapshot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 warehouse / per user</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Current qty per item, reserved qty, bin location, value</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Movement History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 item, date range</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Add/remove events, delta qty, source (transfer or manual)</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Low Stock Alert Report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 warehouse / per user</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Items at or below reorder level, days since last replenishment</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Valuation Report</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 warehouse / per user</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Total stock value = qty × unitPrice per item</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 Session Report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 market session</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Items sold, revenue, session duration, peak period</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 Stock Comparison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 market / date range</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Stock-in vs sold vs remaining per item</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Transfer History Report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 user / date range</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All transfers, status breakdown, avg completion time</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Cross-Market Performance</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Per user, all markets</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Side-by-side revenue and sales volume across markets</w:t>
            </w:r>
          </w:p>
        </w:tc>
      </w:tr>
    </w:tbl>
    <w:p/>
    <w:p>
      <w:pPr>
        <w:pStyle w:val="Heading3"/>
        <w:spacing w:after="80" w:before="200"/>
      </w:pPr>
      <w:r>
        <w:rPr>
          <w:rFonts w:ascii="Arial" w:cs="Arial" w:eastAsia="Arial" w:hAnsi="Arial"/>
          <w:b/>
          <w:bCs/>
          <w:color w:val="17A589"/>
          <w:sz w:val="24"/>
          <w:szCs w:val="24"/>
        </w:rPr>
        <w:t xml:space="preserve">4.6.3 Database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MongoDB — time-series event projections (reportingWarehouseView, reportingMarketView collections)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No write model — all state derived from consumed Kafka events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MongoDB TTL indexes on raw event collections (configurable retention period)</w:t>
      </w:r>
    </w:p>
    <w:p>
      <w:r>
        <w:br w:type="page"/>
      </w:r>
    </w:p>
    <w:p>
      <w:pPr>
        <w:pStyle w:val="Heading2"/>
        <w:spacing w:after="100" w:before="280"/>
      </w:pPr>
      <w:r>
        <w:rPr>
          <w:rFonts w:ascii="Arial" w:cs="Arial" w:eastAsia="Arial" w:hAnsi="Arial"/>
          <w:b/>
          <w:bCs/>
          <w:color w:val="2E86AB"/>
          <w:sz w:val="28"/>
          <w:szCs w:val="28"/>
        </w:rPr>
        <w:t xml:space="preserve">4.7 Transaction Service  (wmms-transaction-service)</w:t>
      </w:r>
    </w:p>
    <w:p>
      <w:pPr>
        <w:spacing w:after="60" w:before="60"/>
        <w:jc w:val="left"/>
      </w:pPr>
      <w:r>
        <w:rPr>
          <w:rFonts w:ascii="Arial" w:cs="Arial" w:eastAsia="Arial" w:hAnsi="Arial"/>
          <w:b w:val="false"/>
          <w:bCs w:val="false"/>
          <w:i w:val="false"/>
          <w:iCs w:val="false"/>
          <w:color w:val="2C3E50"/>
          <w:sz w:val="22"/>
          <w:szCs w:val="22"/>
        </w:rPr>
        <w:t xml:space="preserve">The Transaction Service is the immutable event store for the entire platform. It consumes every domain event from every service and persists them as an append-only ledger. It exposes query APIs for transaction history and audit trails.</w:t>
      </w:r>
    </w:p>
    <w:p/>
    <w:p>
      <w:pPr>
        <w:pStyle w:val="Heading3"/>
        <w:spacing w:after="80" w:before="200"/>
      </w:pPr>
      <w:r>
        <w:rPr>
          <w:rFonts w:ascii="Arial" w:cs="Arial" w:eastAsia="Arial" w:hAnsi="Arial"/>
          <w:b/>
          <w:bCs/>
          <w:color w:val="17A589"/>
          <w:sz w:val="24"/>
          <w:szCs w:val="24"/>
        </w:rPr>
        <w:t xml:space="preserve">4.7.1 Responsibilities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Subscribe to ALL Kafka topics via wildcard consumer (wmms.*)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Persist every event as an immutable TransactionRecord (append-only)</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Provide paginated query APIs: by user, by service, by entity ID, by event type, by date range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Generate a correlation chain: link events that share a correlationId (e.g. all events in a transfer saga)</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Never emit Kafka events (read-only service)</w:t>
      </w:r>
    </w:p>
    <w:p/>
    <w:p>
      <w:pPr>
        <w:pStyle w:val="Heading3"/>
        <w:spacing w:after="80" w:before="200"/>
      </w:pPr>
      <w:r>
        <w:rPr>
          <w:rFonts w:ascii="Arial" w:cs="Arial" w:eastAsia="Arial" w:hAnsi="Arial"/>
          <w:b/>
          <w:bCs/>
          <w:color w:val="17A589"/>
          <w:sz w:val="24"/>
          <w:szCs w:val="24"/>
        </w:rPr>
        <w:t xml:space="preserve">4.7.2 TransactionRecord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txId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PK, auto-generated</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correlationId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Copied from Kafka message header — links saga steps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originService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e.g. warehouse-service, market-service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eventType</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e.g. StockAddedEvent, MarketOpenedEvent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entityId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ID of the aggregate that raised the event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Owning user (for tenancy scoping)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payload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JSONB</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Full event payload (immutable after write)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kafkaTopic</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Topic from which the event was consumed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kafkaPartition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Integer</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Partition offset for replay reference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recordedAt</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When the Transaction Service persisted this record (UTC)</w:t>
            </w:r>
          </w:p>
        </w:tc>
      </w:tr>
    </w:tbl>
    <w:p/>
    <w:p>
      <w:pPr>
        <w:pStyle w:val="Heading3"/>
        <w:spacing w:after="80" w:before="200"/>
      </w:pPr>
      <w:r>
        <w:rPr>
          <w:rFonts w:ascii="Arial" w:cs="Arial" w:eastAsia="Arial" w:hAnsi="Arial"/>
          <w:b/>
          <w:bCs/>
          <w:color w:val="17A589"/>
          <w:sz w:val="24"/>
          <w:szCs w:val="24"/>
        </w:rPr>
        <w:t xml:space="preserve">4.7.3 Database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Primary: PostgreSQL with append-only partition table (partitioned by recordedAt month)</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Archive: S3-compatible object store for events older than configurable retention window</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No update or delete operations are ever issued against transaction_records</w:t>
      </w:r>
    </w:p>
    <w:p>
      <w:r>
        <w:br w:type="page"/>
      </w:r>
    </w:p>
    <w:p>
      <w:pPr>
        <w:pStyle w:val="Heading2"/>
        <w:spacing w:after="100" w:before="280"/>
      </w:pPr>
      <w:r>
        <w:rPr>
          <w:rFonts w:ascii="Arial" w:cs="Arial" w:eastAsia="Arial" w:hAnsi="Arial"/>
          <w:b/>
          <w:bCs/>
          <w:color w:val="2E86AB"/>
          <w:sz w:val="28"/>
          <w:szCs w:val="28"/>
        </w:rPr>
        <w:t xml:space="preserve">4.8 Notification Service  (wmms-notification-service)</w:t>
      </w:r>
    </w:p>
    <w:p>
      <w:pPr>
        <w:spacing w:after="60" w:before="60"/>
        <w:jc w:val="left"/>
      </w:pPr>
      <w:r>
        <w:rPr>
          <w:rFonts w:ascii="Arial" w:cs="Arial" w:eastAsia="Arial" w:hAnsi="Arial"/>
          <w:b w:val="false"/>
          <w:bCs w:val="false"/>
          <w:i w:val="false"/>
          <w:iCs w:val="false"/>
          <w:color w:val="2C3E50"/>
          <w:sz w:val="22"/>
          <w:szCs w:val="22"/>
        </w:rPr>
        <w:t xml:space="preserve">A lightweight reactive service that consumes critical domain events and dispatches user-facing notifications. It does not own business state.</w:t>
      </w:r>
    </w:p>
    <w:p/>
    <w:p>
      <w:pPr>
        <w:pStyle w:val="Heading3"/>
        <w:spacing w:after="80" w:before="200"/>
      </w:pPr>
      <w:r>
        <w:rPr>
          <w:rFonts w:ascii="Arial" w:cs="Arial" w:eastAsia="Arial" w:hAnsi="Arial"/>
          <w:b/>
          <w:bCs/>
          <w:color w:val="17A589"/>
          <w:sz w:val="24"/>
          <w:szCs w:val="24"/>
        </w:rPr>
        <w:t xml:space="preserve">4.8.1 Responsibilities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Subscribe to low-stock events, transfer failures, market session start/end</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Dispatch notifications via Email (SMTP), webhook, or in-app message queue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Template-driven messages, configurable per notification type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Retry with backoff on delivery failure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Emit NotificationSentEvent for transaction audit</w:t>
      </w:r>
    </w:p>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5. Kafka Topics &amp; Event Contracts</w:t>
      </w:r>
    </w:p>
    <w:p>
      <w:pPr>
        <w:pStyle w:val="Heading2"/>
        <w:spacing w:after="100" w:before="280"/>
      </w:pPr>
      <w:r>
        <w:rPr>
          <w:rFonts w:ascii="Arial" w:cs="Arial" w:eastAsia="Arial" w:hAnsi="Arial"/>
          <w:b/>
          <w:bCs/>
          <w:color w:val="2E86AB"/>
          <w:sz w:val="28"/>
          <w:szCs w:val="28"/>
        </w:rPr>
        <w:t xml:space="preserve">5.1 Topic Naming Convention</w:t>
      </w:r>
    </w:p>
    <w:p>
      <w:pPr>
        <w:spacing w:after="60" w:before="60"/>
        <w:jc w:val="left"/>
      </w:pPr>
      <w:r>
        <w:rPr>
          <w:rFonts w:ascii="Arial" w:cs="Arial" w:eastAsia="Arial" w:hAnsi="Arial"/>
          <w:b w:val="false"/>
          <w:bCs w:val="false"/>
          <w:i w:val="false"/>
          <w:iCs w:val="false"/>
          <w:color w:val="2C3E50"/>
          <w:sz w:val="22"/>
          <w:szCs w:val="22"/>
        </w:rPr>
        <w:t xml:space="preserve">All topics follow the pattern: wmms.&lt;domain&gt;.&lt;type&gt;  where type is one of: events (domain events), commands (cross-service commands), or dlq (dead letter queue).</w:t>
      </w:r>
    </w:p>
    <w:p/>
    <w:p>
      <w:pPr>
        <w:pStyle w:val="Heading2"/>
        <w:spacing w:after="100" w:before="280"/>
      </w:pPr>
      <w:r>
        <w:rPr>
          <w:rFonts w:ascii="Arial" w:cs="Arial" w:eastAsia="Arial" w:hAnsi="Arial"/>
          <w:b/>
          <w:bCs/>
          <w:color w:val="2E86AB"/>
          <w:sz w:val="28"/>
          <w:szCs w:val="28"/>
        </w:rPr>
        <w:t xml:space="preserve">5.2 Topic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160"/>
        <w:gridCol w:w="2200"/>
      </w:tblGrid>
      <w:tr>
        <w:trPr>
          <w:tblHeader/>
        </w:trPr>
        <w:tc>
          <w:tcPr>
            <w:tcW w:type="dxa" w:w="3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Topic</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Partitions</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Producer</w:t>
            </w:r>
          </w:p>
        </w:tc>
        <w:tc>
          <w:tcPr>
            <w:tcW w:type="dxa" w:w="2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Consumers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wmms.user.events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 Service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Transaction, Notification</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wmms.warehouse.events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6</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Service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Transfer, Reporting, Transaction, Notification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wmms.warehouse.commands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6</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Transfer Service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Service</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wmms.market.events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6</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 Service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Transfer, Reporting, Transaction, Scheduling, Notification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wmms.market.commands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6</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Transfer, Scheduling</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 Service</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wmms.transfer.events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6</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Transfer Service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Market, Reporting, Transaction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wmms.scheduling.events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Scheduling Service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Transaction, Notification</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wmms.reporting.events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Reporting Service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Transaction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wmms.notification.events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Notification Service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Transaction</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wmms.*.dlq</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Any (on failure)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Ops monitoring, replay tooling</w:t>
            </w:r>
          </w:p>
        </w:tc>
      </w:tr>
    </w:tbl>
    <w:p/>
    <w:p>
      <w:pPr>
        <w:pStyle w:val="Heading2"/>
        <w:spacing w:after="100" w:before="280"/>
      </w:pPr>
      <w:r>
        <w:rPr>
          <w:rFonts w:ascii="Arial" w:cs="Arial" w:eastAsia="Arial" w:hAnsi="Arial"/>
          <w:b/>
          <w:bCs/>
          <w:color w:val="2E86AB"/>
          <w:sz w:val="28"/>
          <w:szCs w:val="28"/>
        </w:rPr>
        <w:t xml:space="preserve">5.3 Standard Event Envelope</w:t>
      </w:r>
    </w:p>
    <w:p>
      <w:pPr>
        <w:spacing w:after="60" w:before="60"/>
        <w:jc w:val="left"/>
      </w:pPr>
      <w:r>
        <w:rPr>
          <w:rFonts w:ascii="Arial" w:cs="Arial" w:eastAsia="Arial" w:hAnsi="Arial"/>
          <w:b w:val="false"/>
          <w:bCs w:val="false"/>
          <w:i w:val="false"/>
          <w:iCs w:val="false"/>
          <w:color w:val="2C3E50"/>
          <w:sz w:val="22"/>
          <w:szCs w:val="22"/>
        </w:rPr>
        <w:t xml:space="preserve">All events share a common envelope structure regardless of payload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eventId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Unique ID for this event instance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correlationId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Set by originating request; propagated across all saga events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eventType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Fully-qualified class name e.g. StockAddedEvent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version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Integer</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Schema version for backward compat (starts at 1)</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originService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String</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Service name constant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userId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UUID</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Tenant scoping — mandatory on all events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occurredAt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Instant</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When the domain event occurred (UTC)</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payload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Object</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Event-specific data (Avro schema registered in Schema Registry)</w:t>
            </w:r>
          </w:p>
        </w:tc>
      </w:tr>
    </w:tbl>
    <w:p>
      <w:pPr>
        <w:shd w:fill="EAF2FB" w:val="clear"/>
        <w:spacing w:after="60" w:before="60"/>
        <w:ind w:left="360" w:right="360"/>
      </w:pPr>
      <w:r>
        <w:rPr>
          <w:rFonts w:ascii="Arial" w:cs="Arial" w:eastAsia="Arial" w:hAnsi="Arial"/>
          <w:b/>
          <w:bCs/>
          <w:i w:val="false"/>
          <w:iCs w:val="false"/>
          <w:color w:val="2E86AB"/>
          <w:sz w:val="22"/>
          <w:szCs w:val="22"/>
        </w:rPr>
        <w:t xml:space="preserve">NOTE: </w:t>
      </w:r>
      <w:r>
        <w:rPr>
          <w:rFonts w:ascii="Arial" w:cs="Arial" w:eastAsia="Arial" w:hAnsi="Arial"/>
          <w:b w:val="false"/>
          <w:bCs w:val="false"/>
          <w:i/>
          <w:iCs/>
          <w:color w:val="2C3E50"/>
          <w:sz w:val="22"/>
          <w:szCs w:val="22"/>
        </w:rPr>
        <w:t xml:space="preserve">Confluent Schema Registry is used for Avro schema management. All schema changes must be backward-compatible. Breaking changes require a new schema version and topic migration plan.</w:t>
      </w:r>
    </w:p>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6. Database Strategy</w:t>
      </w:r>
    </w:p>
    <w:p>
      <w:pPr>
        <w:pStyle w:val="Heading2"/>
        <w:spacing w:after="100" w:before="280"/>
      </w:pPr>
      <w:r>
        <w:rPr>
          <w:rFonts w:ascii="Arial" w:cs="Arial" w:eastAsia="Arial" w:hAnsi="Arial"/>
          <w:b/>
          <w:bCs/>
          <w:color w:val="2E86AB"/>
          <w:sz w:val="28"/>
          <w:szCs w:val="28"/>
        </w:rPr>
        <w:t xml:space="preserve">6.1 Database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440"/>
        <w:gridCol w:w="3240"/>
      </w:tblGrid>
      <w:tr>
        <w:trPr>
          <w:tblHeader/>
        </w:trPr>
        <w:tc>
          <w:tcPr>
            <w:tcW w:type="dxa" w:w="28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Write DB</w:t>
            </w:r>
          </w:p>
        </w:tc>
        <w:tc>
          <w:tcPr>
            <w:tcW w:type="dxa" w:w="14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Read DB</w:t>
            </w:r>
          </w:p>
        </w:tc>
        <w:tc>
          <w:tcPr>
            <w:tcW w:type="dxa" w:w="32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 Service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PostgreSQL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Redis</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ACID for auth; Redis for JWT cache &amp; session</w:t>
            </w:r>
          </w:p>
        </w:tc>
      </w:tr>
      <w:tr>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Service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PostgreSQL</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MongoDB</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ACID write; flexible document model for inventory views</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 Service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PostgreSQL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MongoDB</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ACID write; session history as documents</w:t>
            </w:r>
          </w:p>
        </w:tc>
      </w:tr>
      <w:tr>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Transfer Service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PostgreSQL</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MongoDB</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Saga state in SQL; transfer history as documents</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Scheduling Service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PostgreSQL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Quartz tables + schedule data in same DB</w:t>
            </w:r>
          </w:p>
        </w:tc>
      </w:tr>
      <w:tr>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Reporting Service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MongoDB</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Pure consumer — time-series event projections in Mongo</w:t>
            </w:r>
          </w:p>
        </w:tc>
      </w:tr>
      <w:tr>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Transaction Service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PostgreSQL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Append-only partitioned table, S3 archival</w:t>
            </w:r>
          </w:p>
        </w:tc>
      </w:tr>
      <w:tr>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Notification Service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(none)</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Redis</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Delivery retry queue and idempotency cache in Redis</w:t>
            </w:r>
          </w:p>
        </w:tc>
      </w:tr>
    </w:tbl>
    <w:p/>
    <w:p>
      <w:pPr>
        <w:pStyle w:val="Heading2"/>
        <w:spacing w:after="100" w:before="280"/>
      </w:pPr>
      <w:r>
        <w:rPr>
          <w:rFonts w:ascii="Arial" w:cs="Arial" w:eastAsia="Arial" w:hAnsi="Arial"/>
          <w:b/>
          <w:bCs/>
          <w:color w:val="2E86AB"/>
          <w:sz w:val="28"/>
          <w:szCs w:val="28"/>
        </w:rPr>
        <w:t xml:space="preserve">6.2 Data Isolation Rules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Each service owns its own database schema — no shared tables across service boundaries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Cross-service data references use entity IDs only (no foreign keys across service databases)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Each service connects with a dedicated database user with least-privilege grants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Credentials managed via environment variables or a Vault-compatible secrets manager</w:t>
      </w:r>
    </w:p>
    <w:p/>
    <w:p>
      <w:pPr>
        <w:pStyle w:val="Heading2"/>
        <w:spacing w:after="100" w:before="280"/>
      </w:pPr>
      <w:r>
        <w:rPr>
          <w:rFonts w:ascii="Arial" w:cs="Arial" w:eastAsia="Arial" w:hAnsi="Arial"/>
          <w:b/>
          <w:bCs/>
          <w:color w:val="2E86AB"/>
          <w:sz w:val="28"/>
          <w:szCs w:val="28"/>
        </w:rPr>
        <w:t xml:space="preserve">6.3 Migration &amp; Evolution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Flyway manages schema migrations for all PostgreSQL databases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Migrations are stored in each service's src/main/resources/db/migration/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Backward-compatible schema changes only (add columns, never rename or drop without a migration plan)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MongoDB schema validation enforced via JSON Schema validators on collections</w:t>
      </w:r>
    </w:p>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7. REST API Specification</w:t>
      </w:r>
    </w:p>
    <w:p>
      <w:pPr>
        <w:spacing w:after="60" w:before="60"/>
        <w:jc w:val="left"/>
      </w:pPr>
      <w:r>
        <w:rPr>
          <w:rFonts w:ascii="Arial" w:cs="Arial" w:eastAsia="Arial" w:hAnsi="Arial"/>
          <w:b w:val="false"/>
          <w:bCs w:val="false"/>
          <w:i w:val="false"/>
          <w:iCs w:val="false"/>
          <w:color w:val="2C3E50"/>
          <w:sz w:val="22"/>
          <w:szCs w:val="22"/>
        </w:rPr>
        <w:t xml:space="preserve">REST is used exclusively for client-to-service communication. All endpoints are versioned under /api/v1/. Authentication is enforced via Bearer JWT on all endpoints unless marked public.</w:t>
      </w:r>
    </w:p>
    <w:p/>
    <w:p>
      <w:pPr>
        <w:pStyle w:val="Heading2"/>
        <w:spacing w:after="100" w:before="280"/>
      </w:pPr>
      <w:r>
        <w:rPr>
          <w:rFonts w:ascii="Arial" w:cs="Arial" w:eastAsia="Arial" w:hAnsi="Arial"/>
          <w:b/>
          <w:bCs/>
          <w:color w:val="2E86AB"/>
          <w:sz w:val="28"/>
          <w:szCs w:val="28"/>
        </w:rPr>
        <w:t xml:space="preserve">7.1 User Service  —  /api/v1/users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1440"/>
        <w:gridCol w:w="3600"/>
      </w:tblGrid>
      <w:tr>
        <w:trPr>
          <w:tblHeader/>
        </w:trPr>
        <w:tc>
          <w:tcPr>
            <w:tcW w:type="dxa" w:w="10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32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Path</w:t>
            </w:r>
          </w:p>
        </w:tc>
        <w:tc>
          <w:tcPr>
            <w:tcW w:type="dxa" w:w="14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/api/v1/users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Public</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 a new user account</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/api/v1/users/login</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Public</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Authenticate and receive JWT</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/api/v1/users/{userId}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 user by ID (own or ADMIN)</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PUT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/api/v1/users/{userId}</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Update user details (own or ADMIN)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DELETE</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/api/v1/users/{userId}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 ADMIN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Deactivate user account</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PATCH</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/api/v1/users/{userId}/role</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 ADMIN</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Assign role to user</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/api/v1/users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 ADMIN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List all users (paginated)</w:t>
            </w:r>
          </w:p>
        </w:tc>
      </w:tr>
    </w:tbl>
    <w:p/>
    <w:p>
      <w:pPr>
        <w:pStyle w:val="Heading2"/>
        <w:spacing w:after="100" w:before="280"/>
      </w:pPr>
      <w:r>
        <w:rPr>
          <w:rFonts w:ascii="Arial" w:cs="Arial" w:eastAsia="Arial" w:hAnsi="Arial"/>
          <w:b/>
          <w:bCs/>
          <w:color w:val="2E86AB"/>
          <w:sz w:val="28"/>
          <w:szCs w:val="28"/>
        </w:rPr>
        <w:t xml:space="preserve">7.2 Warehouse Service  —  /api/v1/warehouses &amp; /api/v1/items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1440"/>
        <w:gridCol w:w="3240"/>
      </w:tblGrid>
      <w:tr>
        <w:trPr>
          <w:tblHeader/>
        </w:trPr>
        <w:tc>
          <w:tcPr>
            <w:tcW w:type="dxa" w:w="10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Path</w:t>
            </w:r>
          </w:p>
        </w:tc>
        <w:tc>
          <w:tcPr>
            <w:tcW w:type="dxa" w:w="14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32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/api/v1/warehouses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 warehouse</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/api/v1/warehouses</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List warehouses for authenticated user</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/api/v1/warehouses/{id}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 warehouse details</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PUT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/api/v1/warehouses/{id}</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Update warehouse</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DELETE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/api/v1/warehouses/{id}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Archive warehouse</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/api/v1/warehouses/{id}/stock</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 full stock list for warehouse</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/api/v1/warehouses/{id}/stock</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Add stock entry to warehouse</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PATCH</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/api/v1/warehouses/{id}/stock/{stockId}</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Adjust stock quantity</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/api/v1/warehouses/{id}/stock/low</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List items at or below reorder level</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/api/v1/items</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 item master record</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/api/v1/items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List items for authenticated user</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PUT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/api/v1/items/{id}</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Update item master record</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DELETE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/api/v1/items/{id}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Delete item (only if no active stock)</w:t>
            </w:r>
          </w:p>
        </w:tc>
      </w:tr>
    </w:tbl>
    <w:p/>
    <w:p>
      <w:pPr>
        <w:pStyle w:val="Heading2"/>
        <w:spacing w:after="100" w:before="280"/>
      </w:pPr>
      <w:r>
        <w:rPr>
          <w:rFonts w:ascii="Arial" w:cs="Arial" w:eastAsia="Arial" w:hAnsi="Arial"/>
          <w:b/>
          <w:bCs/>
          <w:color w:val="2E86AB"/>
          <w:sz w:val="28"/>
          <w:szCs w:val="28"/>
        </w:rPr>
        <w:t xml:space="preserve">7.3 Market Service  —  /api/v1/markets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1440"/>
        <w:gridCol w:w="3240"/>
      </w:tblGrid>
      <w:tr>
        <w:trPr>
          <w:tblHeader/>
        </w:trPr>
        <w:tc>
          <w:tcPr>
            <w:tcW w:type="dxa" w:w="10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Path</w:t>
            </w:r>
          </w:p>
        </w:tc>
        <w:tc>
          <w:tcPr>
            <w:tcW w:type="dxa" w:w="14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32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 market</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List markets for user</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/api/v1/markets/{id}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 market detail</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PUT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/api/v1/markets/{id}</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Update market</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DELETE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/api/v1/markets/{id}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Archive market</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/api/v1/markets/{id}/open</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Open a market immediately</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/api/v1/markets/{id}/close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Close a market immediately</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/api/v1/markets/{id}/stock</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 current market stock</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PATCH</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/api/v1/markets/{id}/stock/{stockId}/inc</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Increment item quantity at market</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PATCH</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/api/v1/markets/{id}/stock/{stockId}/dec</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Decrement item quantity at market</w:t>
            </w:r>
          </w:p>
        </w:tc>
      </w:tr>
    </w:tbl>
    <w:p/>
    <w:p>
      <w:pPr>
        <w:pStyle w:val="Heading2"/>
        <w:spacing w:after="100" w:before="280"/>
      </w:pPr>
      <w:r>
        <w:rPr>
          <w:rFonts w:ascii="Arial" w:cs="Arial" w:eastAsia="Arial" w:hAnsi="Arial"/>
          <w:b/>
          <w:bCs/>
          <w:color w:val="2E86AB"/>
          <w:sz w:val="28"/>
          <w:szCs w:val="28"/>
        </w:rPr>
        <w:t xml:space="preserve">7.4 Transfer, Scheduling, Reporting &amp; Transaction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960"/>
        <w:gridCol w:w="1440"/>
        <w:gridCol w:w="2880"/>
      </w:tblGrid>
      <w:tr>
        <w:trPr>
          <w:tblHeader/>
        </w:trPr>
        <w:tc>
          <w:tcPr>
            <w:tcW w:type="dxa" w:w="10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39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Path</w:t>
            </w:r>
          </w:p>
        </w:tc>
        <w:tc>
          <w:tcPr>
            <w:tcW w:type="dxa" w:w="14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28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/api/v1/transfers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Initiate a stock transfer</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/api/v1/transfers</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List transfers for user</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/api/v1/transfers/{id}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 transfer status and saga trail</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/api/v1/schedules</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Create market schedule</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/api/v1/schedules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List schedules for user</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DELETE</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/api/v1/schedules/{id}</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Cancel schedule</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/api/v1/reports/warehouse/{warehouseId}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Generate warehouse report (type param)</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/api/v1/reports/market/{marketId}</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Generate market report (type param)</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/api/v1/reports/transfers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Transfer history report</w:t>
            </w:r>
          </w:p>
        </w:tc>
      </w:tr>
      <w:tr>
        <w:tc>
          <w:tcPr>
            <w:tcW w:type="dxa" w:w="1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/api/v1/transactions</w:t>
            </w:r>
          </w:p>
        </w:tc>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Query transaction ledger (paginated, filterable)</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/api/v1/transactions/{correlationId}/chain</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JWT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Get full event chain by correlationId</w:t>
            </w:r>
          </w:p>
        </w:tc>
      </w:tr>
    </w:tbl>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8. Docker &amp; Infrastructure</w:t>
      </w:r>
    </w:p>
    <w:p>
      <w:pPr>
        <w:pStyle w:val="Heading2"/>
        <w:spacing w:after="100" w:before="280"/>
      </w:pPr>
      <w:r>
        <w:rPr>
          <w:rFonts w:ascii="Arial" w:cs="Arial" w:eastAsia="Arial" w:hAnsi="Arial"/>
          <w:b/>
          <w:bCs/>
          <w:color w:val="2E86AB"/>
          <w:sz w:val="28"/>
          <w:szCs w:val="28"/>
        </w:rPr>
        <w:t xml:space="preserve">8.1 Container Overview</w:t>
      </w:r>
    </w:p>
    <w:p>
      <w:pPr>
        <w:spacing w:after="60" w:before="60"/>
        <w:jc w:val="left"/>
      </w:pPr>
      <w:r>
        <w:rPr>
          <w:rFonts w:ascii="Arial" w:cs="Arial" w:eastAsia="Arial" w:hAnsi="Arial"/>
          <w:b w:val="false"/>
          <w:bCs w:val="false"/>
          <w:i w:val="false"/>
          <w:iCs w:val="false"/>
          <w:color w:val="2C3E50"/>
          <w:sz w:val="22"/>
          <w:szCs w:val="22"/>
        </w:rPr>
        <w:t xml:space="preserve">Each service is a standalone Docker container built from a multi-stage Dockerfile (build stage on Eclipse Temurin JDK 21, runtime stage on JRE-slim). Infrastructure services are managed via Docker Compose for local development and Helm charts for Kubernetes deployment.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rPr>
          <w:tblHeader/>
        </w:trPr>
        <w:tc>
          <w:tcPr>
            <w:tcW w:type="dxa" w:w="32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Container</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Port(s)</w:t>
            </w:r>
          </w:p>
        </w:tc>
        <w:tc>
          <w:tcPr>
            <w:tcW w:type="dxa" w:w="43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wmms-user-service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8081</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Depends on: postgres-user, redis</w:t>
            </w:r>
          </w:p>
        </w:tc>
      </w:tr>
      <w:tr>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wmms-warehouse-service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8082</w:t>
            </w:r>
          </w:p>
        </w:tc>
        <w:tc>
          <w:tcPr>
            <w:tcW w:type="dxa" w:w="43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Depends on: postgres-warehouse, mongodb</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wmms-market-service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8083</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Depends on: postgres-market, mongodb</w:t>
            </w:r>
          </w:p>
        </w:tc>
      </w:tr>
      <w:tr>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wmms-transfer-service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8084</w:t>
            </w:r>
          </w:p>
        </w:tc>
        <w:tc>
          <w:tcPr>
            <w:tcW w:type="dxa" w:w="43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Depends on: postgres-transfer, mongodb</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wmms-scheduling-service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8085</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Depends on: postgres-scheduling</w:t>
            </w:r>
          </w:p>
        </w:tc>
      </w:tr>
      <w:tr>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wmms-reporting-service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8086</w:t>
            </w:r>
          </w:p>
        </w:tc>
        <w:tc>
          <w:tcPr>
            <w:tcW w:type="dxa" w:w="43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Depends on: mongodb</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wmms-transaction-service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8087</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Depends on: postgres-transaction</w:t>
            </w:r>
          </w:p>
        </w:tc>
      </w:tr>
      <w:tr>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wmms-notification-service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8088</w:t>
            </w:r>
          </w:p>
        </w:tc>
        <w:tc>
          <w:tcPr>
            <w:tcW w:type="dxa" w:w="43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Depends on: redis, SMTP config</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kafka</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9092</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Confluent Platform or Apache Kafka 3.x</w:t>
            </w:r>
          </w:p>
        </w:tc>
      </w:tr>
      <w:tr>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schema-registry</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8081</w:t>
            </w:r>
          </w:p>
        </w:tc>
        <w:tc>
          <w:tcPr>
            <w:tcW w:type="dxa" w:w="43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Confluent Schema Registry</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kafka-ui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9090</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Provectus Kafka UI (local only)</w:t>
            </w:r>
          </w:p>
        </w:tc>
      </w:tr>
      <w:tr>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postgres-*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5432</w:t>
            </w:r>
          </w:p>
        </w:tc>
        <w:tc>
          <w:tcPr>
            <w:tcW w:type="dxa" w:w="43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One PostgreSQL instance per service (separate DBs)</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mongodb</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27017</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Shared MongoDB instance, per-service databases</w:t>
            </w:r>
          </w:p>
        </w:tc>
      </w:tr>
      <w:tr>
        <w:tc>
          <w:tcPr>
            <w:tcW w:type="dxa" w:w="32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redis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6379</w:t>
            </w:r>
          </w:p>
        </w:tc>
        <w:tc>
          <w:tcPr>
            <w:tcW w:type="dxa" w:w="43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Shared Redis, separate logical DBs per service</w:t>
            </w:r>
          </w:p>
        </w:tc>
      </w:tr>
      <w:tr>
        <w:tc>
          <w:tcPr>
            <w:tcW w:type="dxa" w:w="3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api-gateway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8080</w:t>
            </w:r>
          </w:p>
        </w:tc>
        <w:tc>
          <w:tcPr>
            <w:tcW w:type="dxa" w:w="43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Spring Cloud Gateway — routes and JWT validation</w:t>
            </w:r>
          </w:p>
        </w:tc>
      </w:tr>
    </w:tbl>
    <w:p/>
    <w:p>
      <w:pPr>
        <w:pStyle w:val="Heading2"/>
        <w:spacing w:after="100" w:before="280"/>
      </w:pPr>
      <w:r>
        <w:rPr>
          <w:rFonts w:ascii="Arial" w:cs="Arial" w:eastAsia="Arial" w:hAnsi="Arial"/>
          <w:b/>
          <w:bCs/>
          <w:color w:val="2E86AB"/>
          <w:sz w:val="28"/>
          <w:szCs w:val="28"/>
        </w:rPr>
        <w:t xml:space="preserve">8.2 Multi-Stage Dockerfile Template</w:t>
      </w:r>
    </w:p>
    <w:p>
      <w:pPr>
        <w:shd w:fill="F4F6F7" w:val="clear"/>
        <w:spacing w:after="60" w:before="60"/>
        <w:ind w:left="360" w:right="360"/>
      </w:pPr>
      <w:r>
        <w:rPr>
          <w:rFonts w:ascii="Courier New" w:cs="Courier New" w:eastAsia="Courier New" w:hAnsi="Courier New"/>
          <w:color w:val="2E86AB"/>
          <w:sz w:val="18"/>
          <w:szCs w:val="18"/>
        </w:rPr>
        <w:t xml:space="preserve"># Stage 1 — Build</w:t>
      </w:r>
      <w:r>
        <w:rPr>
          <w:rFonts w:ascii="Courier New" w:cs="Courier New" w:eastAsia="Courier New" w:hAnsi="Courier New"/>
          <w:color w:val="2C3E50"/>
          <w:sz w:val="18"/>
          <w:szCs w:val="18"/>
        </w:rPr>
        <w:br/>
        <w:t xml:space="preserve">
FROM eclipse-temurin:21-jdk-alpine AS build</w:t>
      </w:r>
      <w:r>
        <w:rPr>
          <w:rFonts w:ascii="Courier New" w:cs="Courier New" w:eastAsia="Courier New" w:hAnsi="Courier New"/>
          <w:color w:val="2C3E50"/>
          <w:sz w:val="18"/>
          <w:szCs w:val="18"/>
        </w:rPr>
        <w:br/>
        <w:t xml:space="preserve">
WORKDIR /app</w:t>
      </w:r>
      <w:r>
        <w:rPr>
          <w:rFonts w:ascii="Courier New" w:cs="Courier New" w:eastAsia="Courier New" w:hAnsi="Courier New"/>
          <w:color w:val="2C3E50"/>
          <w:sz w:val="18"/>
          <w:szCs w:val="18"/>
        </w:rPr>
        <w:br/>
        <w:t xml:space="preserve">
COPY . .</w:t>
      </w:r>
      <w:r>
        <w:rPr>
          <w:rFonts w:ascii="Courier New" w:cs="Courier New" w:eastAsia="Courier New" w:hAnsi="Courier New"/>
          <w:color w:val="2C3E50"/>
          <w:sz w:val="18"/>
          <w:szCs w:val="18"/>
        </w:rPr>
        <w:br/>
        <w:t xml:space="preserve">
RUN ./gradlew bootJar -x test</w:t>
      </w:r>
      <w:r>
        <w:rPr>
          <w:rFonts w:ascii="Courier New" w:cs="Courier New" w:eastAsia="Courier New" w:hAnsi="Courier New"/>
          <w:color w:val="2E86AB"/>
          <w:sz w:val="18"/>
          <w:szCs w:val="18"/>
        </w:rPr>
        <w:br/>
        <w:t xml:space="preserve">
# Stage 2 — Runtime</w:t>
      </w:r>
      <w:r>
        <w:rPr>
          <w:rFonts w:ascii="Courier New" w:cs="Courier New" w:eastAsia="Courier New" w:hAnsi="Courier New"/>
          <w:color w:val="2C3E50"/>
          <w:sz w:val="18"/>
          <w:szCs w:val="18"/>
        </w:rPr>
        <w:br/>
        <w:t xml:space="preserve">
FROM eclipse-temurin:21-jre-alpine</w:t>
      </w:r>
      <w:r>
        <w:rPr>
          <w:rFonts w:ascii="Courier New" w:cs="Courier New" w:eastAsia="Courier New" w:hAnsi="Courier New"/>
          <w:color w:val="2C3E50"/>
          <w:sz w:val="18"/>
          <w:szCs w:val="18"/>
        </w:rPr>
        <w:br/>
        <w:t xml:space="preserve">
WORKDIR /app</w:t>
      </w:r>
      <w:r>
        <w:rPr>
          <w:rFonts w:ascii="Courier New" w:cs="Courier New" w:eastAsia="Courier New" w:hAnsi="Courier New"/>
          <w:color w:val="2C3E50"/>
          <w:sz w:val="18"/>
          <w:szCs w:val="18"/>
        </w:rPr>
        <w:br/>
        <w:t xml:space="preserve">
COPY --from=build /app/build/libs/*.jar app.jar</w:t>
      </w:r>
      <w:r>
        <w:rPr>
          <w:rFonts w:ascii="Courier New" w:cs="Courier New" w:eastAsia="Courier New" w:hAnsi="Courier New"/>
          <w:color w:val="2C3E50"/>
          <w:sz w:val="18"/>
          <w:szCs w:val="18"/>
        </w:rPr>
        <w:br/>
        <w:t xml:space="preserve">
ENTRYPOINT ["java","-jar","app.jar"]</w:t>
      </w:r>
    </w:p>
    <w:p/>
    <w:p>
      <w:pPr>
        <w:pStyle w:val="Heading2"/>
        <w:spacing w:after="100" w:before="280"/>
      </w:pPr>
      <w:r>
        <w:rPr>
          <w:rFonts w:ascii="Arial" w:cs="Arial" w:eastAsia="Arial" w:hAnsi="Arial"/>
          <w:b/>
          <w:bCs/>
          <w:color w:val="2E86AB"/>
          <w:sz w:val="28"/>
          <w:szCs w:val="28"/>
        </w:rPr>
        <w:t xml:space="preserve">8.3 External Configuration (12-Factor)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All configuration is externalised via environment variables and Spring application.yml</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Secrets (DB passwords, JWT keys, Kafka credentials) never baked into images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Spring profiles: local, docker, staging, production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@ConfigurationProperties classes with @Validated enforce required config at startup</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Using Spring Boot Externalized Config precedence: env vars &gt; config server &gt; application.yml</w:t>
      </w:r>
    </w:p>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9. Cross-Cutting Concerns</w:t>
      </w:r>
    </w:p>
    <w:p>
      <w:pPr>
        <w:pStyle w:val="Heading2"/>
        <w:spacing w:after="100" w:before="280"/>
      </w:pPr>
      <w:r>
        <w:rPr>
          <w:rFonts w:ascii="Arial" w:cs="Arial" w:eastAsia="Arial" w:hAnsi="Arial"/>
          <w:b/>
          <w:bCs/>
          <w:color w:val="2E86AB"/>
          <w:sz w:val="28"/>
          <w:szCs w:val="28"/>
        </w:rPr>
        <w:t xml:space="preserve">9.1 AOP Logging Module  (wmms-logging-starter)</w:t>
      </w:r>
    </w:p>
    <w:p>
      <w:pPr>
        <w:spacing w:after="60" w:before="60"/>
        <w:jc w:val="left"/>
      </w:pPr>
      <w:r>
        <w:rPr>
          <w:rFonts w:ascii="Arial" w:cs="Arial" w:eastAsia="Arial" w:hAnsi="Arial"/>
          <w:b w:val="false"/>
          <w:bCs w:val="false"/>
          <w:i w:val="false"/>
          <w:iCs w:val="false"/>
          <w:color w:val="2C3E50"/>
          <w:sz w:val="22"/>
          <w:szCs w:val="22"/>
        </w:rPr>
        <w:t xml:space="preserve">The wmms-logging-starter is a Spring Boot auto-configuration module added to every service. It wires two AOP aspects automatically unless disabled via configuration.</w:t>
      </w:r>
    </w:p>
    <w:p/>
    <w:p>
      <w:pPr>
        <w:pStyle w:val="Heading3"/>
        <w:spacing w:after="80" w:before="200"/>
      </w:pPr>
      <w:r>
        <w:rPr>
          <w:rFonts w:ascii="Arial" w:cs="Arial" w:eastAsia="Arial" w:hAnsi="Arial"/>
          <w:b/>
          <w:bCs/>
          <w:color w:val="17A589"/>
          <w:sz w:val="24"/>
          <w:szCs w:val="24"/>
        </w:rPr>
        <w:t xml:space="preserve">9.1.1 OperationLoggingAspect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Pointcut: all public methods in *.application.command.*, *.application.query.*, *.adapter.in.*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@Around advice captures: class, method, args, return value, execution time, user context (from SecurityContextHolder)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Output: structured JSON log event via SLF4J with marker OPERATION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Configurable: wmms.logging.operation.enabled=true (default)</w:t>
      </w:r>
    </w:p>
    <w:p/>
    <w:p>
      <w:pPr>
        <w:pStyle w:val="Heading3"/>
        <w:spacing w:after="80" w:before="200"/>
      </w:pPr>
      <w:r>
        <w:rPr>
          <w:rFonts w:ascii="Arial" w:cs="Arial" w:eastAsia="Arial" w:hAnsi="Arial"/>
          <w:b/>
          <w:bCs/>
          <w:color w:val="17A589"/>
          <w:sz w:val="24"/>
          <w:szCs w:val="24"/>
        </w:rPr>
        <w:t xml:space="preserve">9.1.2 ExceptionLoggingAspect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Pointcut: all public methods across all layers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@AfterThrowing advice captures: exception class, message, stack trace root cause, affected user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Output: structured JSON log event with marker EXCEPTION, severity ERROR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Critical exceptions also published to wmms.system.alerts Kafka topic</w:t>
      </w:r>
    </w:p>
    <w:p/>
    <w:p>
      <w:pPr>
        <w:pStyle w:val="Heading2"/>
        <w:spacing w:after="100" w:before="280"/>
      </w:pPr>
      <w:r>
        <w:rPr>
          <w:rFonts w:ascii="Arial" w:cs="Arial" w:eastAsia="Arial" w:hAnsi="Arial"/>
          <w:b/>
          <w:bCs/>
          <w:color w:val="2E86AB"/>
          <w:sz w:val="28"/>
          <w:szCs w:val="28"/>
        </w:rPr>
        <w:t xml:space="preserve">9.2 Distributed Tracing</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Spring Cloud Sleuth (Micrometer Tracing) propagates traceId and spanId via Kafka headers and HTTP headers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correlationId from the domain event envelope mapped to MDC for log correlation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Trace export via OTLP to Jaeger or Zipkin (configurable)</w:t>
      </w:r>
    </w:p>
    <w:p/>
    <w:p>
      <w:pPr>
        <w:pStyle w:val="Heading2"/>
        <w:spacing w:after="100" w:before="280"/>
      </w:pPr>
      <w:r>
        <w:rPr>
          <w:rFonts w:ascii="Arial" w:cs="Arial" w:eastAsia="Arial" w:hAnsi="Arial"/>
          <w:b/>
          <w:bCs/>
          <w:color w:val="2E86AB"/>
          <w:sz w:val="28"/>
          <w:szCs w:val="28"/>
        </w:rPr>
        <w:t xml:space="preserve">9.3 Error Handling</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Global @RestControllerAdvice in each service maps domain exceptions to RFC 7807 Problem Detail responses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Kafka consumer errors use Spring's DefaultErrorHandler with exponential backoff + DLQ routing</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Domain invariant violations throw DomainException (unchecked) — caught by advice and mapped to HTTP 422</w:t>
      </w:r>
    </w:p>
    <w:p/>
    <w:p>
      <w:pPr>
        <w:pStyle w:val="Heading2"/>
        <w:spacing w:after="100" w:before="280"/>
      </w:pPr>
      <w:r>
        <w:rPr>
          <w:rFonts w:ascii="Arial" w:cs="Arial" w:eastAsia="Arial" w:hAnsi="Arial"/>
          <w:b/>
          <w:bCs/>
          <w:color w:val="2E86AB"/>
          <w:sz w:val="28"/>
          <w:szCs w:val="28"/>
        </w:rPr>
        <w:t xml:space="preserve">9.4 Idempotency</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All Kafka consumers check eventId against a Redis idempotency cache (TTL: 24 hours) to prevent double-processing</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REST POST endpoints that create resources accept an optional Idempotency-Key header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Transfer saga uses the transferId as the idempotency key across all saga steps</w:t>
      </w:r>
    </w:p>
    <w:p/>
    <w:p>
      <w:pPr>
        <w:pStyle w:val="Heading2"/>
        <w:spacing w:after="100" w:before="280"/>
      </w:pPr>
      <w:r>
        <w:rPr>
          <w:rFonts w:ascii="Arial" w:cs="Arial" w:eastAsia="Arial" w:hAnsi="Arial"/>
          <w:b/>
          <w:bCs/>
          <w:color w:val="2E86AB"/>
          <w:sz w:val="28"/>
          <w:szCs w:val="28"/>
        </w:rPr>
        <w:t xml:space="preserve">9.5 Health &amp; Readiness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All services expose /actuator/health (Spring Boot Actuator)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Custom health indicators: KafkaHealthIndicator, DatabaseHealthIndicator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Liveness probe: /actuator/health/liveness — fails if application context is broken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Readiness probe: /actuator/health/readiness — fails if DB or Kafka is unreachable</w:t>
      </w:r>
    </w:p>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10. Security Model</w:t>
      </w:r>
    </w:p>
    <w:p>
      <w:pPr>
        <w:pStyle w:val="Heading2"/>
        <w:spacing w:after="100" w:before="280"/>
      </w:pPr>
      <w:r>
        <w:rPr>
          <w:rFonts w:ascii="Arial" w:cs="Arial" w:eastAsia="Arial" w:hAnsi="Arial"/>
          <w:b/>
          <w:bCs/>
          <w:color w:val="2E86AB"/>
          <w:sz w:val="28"/>
          <w:szCs w:val="28"/>
        </w:rPr>
        <w:t xml:space="preserve">10.1 Authentication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RS256 JWT issued by User Service on login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API Gateway validates JWT signature on every inbound request; rejected tokens return 401</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JWT claims include: userId, username, role, exp, iat</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Token refresh endpoint issues a new access token before expiry (sliding window)</w:t>
      </w:r>
    </w:p>
    <w:p/>
    <w:p>
      <w:pPr>
        <w:pStyle w:val="Heading2"/>
        <w:spacing w:after="100" w:before="280"/>
      </w:pPr>
      <w:r>
        <w:rPr>
          <w:rFonts w:ascii="Arial" w:cs="Arial" w:eastAsia="Arial" w:hAnsi="Arial"/>
          <w:b/>
          <w:bCs/>
          <w:color w:val="2E86AB"/>
          <w:sz w:val="28"/>
          <w:szCs w:val="28"/>
        </w:rPr>
        <w:t xml:space="preserve">10.2 Authorisation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Method-level security (@PreAuthorize) enforced in all Command and Query Handlers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Ownership check: every query and command verifies userId from JWT matches the resource owner (unless ADMIN role)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ADMIN role bypasses ownership checks but is fully audit-logged</w:t>
      </w:r>
    </w:p>
    <w:p/>
    <w:p>
      <w:pPr>
        <w:pStyle w:val="Heading2"/>
        <w:spacing w:after="100" w:before="280"/>
      </w:pPr>
      <w:r>
        <w:rPr>
          <w:rFonts w:ascii="Arial" w:cs="Arial" w:eastAsia="Arial" w:hAnsi="Arial"/>
          <w:b/>
          <w:bCs/>
          <w:color w:val="2E86AB"/>
          <w:sz w:val="28"/>
          <w:szCs w:val="28"/>
        </w:rPr>
        <w:t xml:space="preserve">10.3 Kafka Security</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SASL/SCRAM authentication for Kafka brokers in staging and production</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Each service has its own Kafka principal with ACLs scoped to its producer/consumer topics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TLS encryption in transit between services and Kafka brokers</w:t>
      </w:r>
    </w:p>
    <w:p>
      <w:r>
        <w:br w:type="page"/>
      </w:r>
    </w:p>
    <w:p>
      <w:pPr>
        <w:pStyle w:val="Heading1"/>
        <w:pBdr>
          <w:bottom w:val="single" w:color="2E86AB" w:sz="8" w:space="4"/>
        </w:pBdr>
        <w:spacing w:after="120" w:before="360"/>
      </w:pPr>
      <w:r>
        <w:rPr>
          <w:rFonts w:ascii="Arial" w:cs="Arial" w:eastAsia="Arial" w:hAnsi="Arial"/>
          <w:b/>
          <w:bCs/>
          <w:color w:val="1E3A5F"/>
          <w:sz w:val="36"/>
          <w:szCs w:val="36"/>
        </w:rPr>
        <w:t xml:space="preserve">11. Development Roadmap</w:t>
      </w:r>
    </w:p>
    <w:p>
      <w:pPr>
        <w:pStyle w:val="Heading2"/>
        <w:spacing w:after="100" w:before="280"/>
      </w:pPr>
      <w:r>
        <w:rPr>
          <w:rFonts w:ascii="Arial" w:cs="Arial" w:eastAsia="Arial" w:hAnsi="Arial"/>
          <w:b/>
          <w:bCs/>
          <w:color w:val="2E86AB"/>
          <w:sz w:val="28"/>
          <w:szCs w:val="28"/>
        </w:rPr>
        <w:t xml:space="preserve">11.1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28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50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Services / Components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1</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Foundation &amp; Shared Modules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wmms-logging-starter, wmms-common (event envelope, exceptions, validators), Docker Compose base, Kafka + Schema Registry</w:t>
            </w:r>
          </w:p>
        </w:tc>
      </w:tr>
      <w:tr>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2</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User &amp; Auth</w:t>
            </w:r>
          </w:p>
        </w:tc>
        <w:tc>
          <w:tcPr>
            <w:tcW w:type="dxa" w:w="50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wmms-user-service (CRUD, JWT, Kafka events), API Gateway with JWT validation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3</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Warehouse Core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wmms-warehouse-service (warehouses, items, stock CRUD, events)</w:t>
            </w:r>
          </w:p>
        </w:tc>
      </w:tr>
      <w:tr>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4</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Market Core</w:t>
            </w:r>
          </w:p>
        </w:tc>
        <w:tc>
          <w:tcPr>
            <w:tcW w:type="dxa" w:w="50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wmms-market-service (markets, stock, open/close)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5</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Stock Transfers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wmms-transfer-service (saga orchestration, compensation)</w:t>
            </w:r>
          </w:p>
        </w:tc>
      </w:tr>
      <w:tr>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6</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Scheduling</w:t>
            </w:r>
          </w:p>
        </w:tc>
        <w:tc>
          <w:tcPr>
            <w:tcW w:type="dxa" w:w="50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wmms-scheduling-service (Quartz, CRON, one-shot schedules)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7</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Reporting</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wmms-reporting-service (event projections, all report types, CSV export)</w:t>
            </w:r>
          </w:p>
        </w:tc>
      </w:tr>
      <w:tr>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8</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Transaction Ledger</w:t>
            </w:r>
          </w:p>
        </w:tc>
        <w:tc>
          <w:tcPr>
            <w:tcW w:type="dxa" w:w="50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wmms-transaction-service (wildcard consumer, append-only store, query API)</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9</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Notifications &amp; Hardening</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wmms-notification-service, full AOP logging, distributed tracing, Kafka DLQ handling</w:t>
            </w:r>
          </w:p>
        </w:tc>
      </w:tr>
      <w:tr>
        <w:tc>
          <w:tcPr>
            <w:tcW w:type="dxa" w:w="14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10</w:t>
            </w:r>
          </w:p>
        </w:tc>
        <w:tc>
          <w:tcPr>
            <w:tcW w:type="dxa" w:w="2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Production Readiness</w:t>
            </w:r>
          </w:p>
        </w:tc>
        <w:tc>
          <w:tcPr>
            <w:tcW w:type="dxa" w:w="504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20"/>
                <w:szCs w:val="20"/>
              </w:rPr>
              <w:t xml:space="preserve">Helm charts, secret management, performance testing, security audit, OpenAPI docs</w:t>
            </w:r>
          </w:p>
        </w:tc>
      </w:tr>
    </w:tbl>
    <w:p/>
    <w:p>
      <w:pPr>
        <w:pStyle w:val="Heading2"/>
        <w:spacing w:after="100" w:before="280"/>
      </w:pPr>
      <w:r>
        <w:rPr>
          <w:rFonts w:ascii="Arial" w:cs="Arial" w:eastAsia="Arial" w:hAnsi="Arial"/>
          <w:b/>
          <w:bCs/>
          <w:color w:val="2E86AB"/>
          <w:sz w:val="28"/>
          <w:szCs w:val="28"/>
        </w:rPr>
        <w:t xml:space="preserve">11.2 Architecture Review Gates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Phase 1 → 2: All shared module APIs approved, Docker Compose verified, Kafka topics created in Schema Registry</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Phase 2 → 3: JWT validation integration tested end-to-end, User events verified in Transaction Service</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Phase 5 → 6: Transfer saga tested for happy path and all failure/compensation paths</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Phase 8 → 9: Full event coverage confirmed — every domain event appears in transaction ledger</w:t>
      </w:r>
    </w:p>
    <w:p>
      <w:pPr>
        <w:pStyle w:val="ListParagraph"/>
        <w:numPr>
          <w:ilvl w:val="0"/>
          <w:numId w:val="2"/>
        </w:numPr>
        <w:spacing w:after="40" w:before="40"/>
      </w:pPr>
      <w:r>
        <w:rPr>
          <w:rFonts w:ascii="Arial" w:cs="Arial" w:eastAsia="Arial" w:hAnsi="Arial"/>
          <w:b w:val="false"/>
          <w:bCs w:val="false"/>
          <w:i w:val="false"/>
          <w:iCs w:val="false"/>
          <w:color w:val="2C3E50"/>
          <w:sz w:val="22"/>
          <w:szCs w:val="22"/>
        </w:rPr>
        <w:t xml:space="preserve">Phase 9 → 10: Load test at 10× expected peak, all AOP log output validated in aggregator</w:t>
      </w:r>
    </w:p>
    <w:p/>
    <w:p>
      <w:pPr>
        <w:pStyle w:val="Heading2"/>
        <w:spacing w:after="100" w:before="280"/>
      </w:pPr>
      <w:r>
        <w:rPr>
          <w:rFonts w:ascii="Arial" w:cs="Arial" w:eastAsia="Arial" w:hAnsi="Arial"/>
          <w:b/>
          <w:bCs/>
          <w:color w:val="2E86AB"/>
          <w:sz w:val="28"/>
          <w:szCs w:val="28"/>
        </w:rPr>
        <w:t xml:space="preserve">11.3 Module Dependency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Dependency Order (bottom → top)</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wmms-common  (no dependencies — shared DTOs, events, exceptions, utils)</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wmms-logging-starter  →  wmms-common</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wmms-user-service  →  wmms-common, wmms-logging-starter</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wmms-warehouse-service  →  wmms-common, wmms-logging-starter</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wmms-market-service  →  wmms-common, wmms-logging-starter</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wmms-transfer-service  →  wmms-common, wmms-logging-starter</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wmms-scheduling-service  →  wmms-common, wmms-logging-starter</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wmms-reporting-service  →  wmms-common, wmms-logging-starter</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wmms-transaction-service  →  wmms-common, wmms-logging-starter</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wmms-notification-service  →  wmms-common, wmms-logging-starter</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ind w:left="240"/>
            </w:pPr>
            <w:r>
              <w:rPr>
                <w:rFonts w:ascii="Arial" w:cs="Arial" w:eastAsia="Arial" w:hAnsi="Arial"/>
                <w:b/>
                <w:bCs/>
                <w:i w:val="false"/>
                <w:iCs w:val="false"/>
                <w:color w:val="2E86AB"/>
                <w:sz w:val="22"/>
                <w:szCs w:val="22"/>
              </w:rPr>
              <w:t xml:space="preserve">› </w:t>
            </w:r>
            <w:r>
              <w:rPr>
                <w:rFonts w:ascii="Arial" w:cs="Arial" w:eastAsia="Arial" w:hAnsi="Arial"/>
                <w:b w:val="false"/>
                <w:bCs w:val="false"/>
                <w:i w:val="false"/>
                <w:iCs w:val="false"/>
                <w:color w:val="2C3E50"/>
                <w:sz w:val="22"/>
                <w:szCs w:val="22"/>
              </w:rPr>
              <w:t xml:space="preserve">api-gateway  →  wmms-common (for JWT filter only)</w:t>
            </w:r>
          </w:p>
        </w:tc>
      </w:tr>
    </w:tbl>
    <w:p/>
    <w:p/>
    <w:p>
      <w:pPr>
        <w:pBdr>
          <w:top w:val="single" w:color="BDC3C7" w:sz="4" w:space="8"/>
        </w:pBdr>
        <w:spacing w:after="60" w:before="240"/>
        <w:jc w:val="center"/>
      </w:pPr>
      <w:r>
        <w:rPr>
          <w:rFonts w:ascii="Arial" w:cs="Arial" w:eastAsia="Arial" w:hAnsi="Arial"/>
          <w:b/>
          <w:bCs/>
          <w:i w:val="false"/>
          <w:iCs w:val="false"/>
          <w:color w:val="1E3A5F"/>
          <w:sz w:val="22"/>
          <w:szCs w:val="22"/>
        </w:rPr>
        <w:t xml:space="preserve">END OF SPECIFICATION DOCUMENT</w:t>
      </w:r>
    </w:p>
    <w:p>
      <w:pPr>
        <w:spacing w:after="0" w:before="0"/>
        <w:jc w:val="center"/>
      </w:pPr>
      <w:r>
        <w:rPr>
          <w:rFonts w:ascii="Arial" w:cs="Arial" w:eastAsia="Arial" w:hAnsi="Arial"/>
          <w:b w:val="false"/>
          <w:bCs w:val="false"/>
          <w:i/>
          <w:iCs/>
          <w:color w:val="2E86AB"/>
          <w:sz w:val="18"/>
          <w:szCs w:val="18"/>
        </w:rPr>
        <w:t xml:space="preserve">Warehouse &amp; Market Management System  •  v1.0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360"/>
      </w:tabs>
      <w:spacing w:after="0" w:before="80"/>
    </w:pPr>
    <w:r>
      <w:rPr>
        <w:rFonts w:ascii="Arial" w:cs="Arial" w:eastAsia="Arial" w:hAnsi="Arial"/>
        <w:color w:val="BDC3C7"/>
        <w:sz w:val="16"/>
        <w:szCs w:val="16"/>
      </w:rPr>
      <w:t xml:space="preserve">Warehouse &amp; Market Management System</w:t>
    </w:r>
    <w:r>
      <w:rPr>
        <w:rFonts w:ascii="Arial" w:cs="Arial" w:eastAsia="Arial" w:hAnsi="Arial"/>
        <w:color w:val="BDC3C7"/>
        <w:sz w:val="16"/>
        <w:szCs w:val="16"/>
      </w:rPr>
      <w:t xml:space="preserve">	Page </w:t>
    </w:r>
    <w:r>
      <w:rPr>
        <w:rFonts w:ascii="Arial" w:cs="Arial" w:eastAsia="Arial" w:hAnsi="Arial"/>
        <w:b/>
        <w:bCs/>
        <w:color w:val="2E86A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360"/>
      </w:tabs>
      <w:spacing w:after="80" w:before="0"/>
    </w:pPr>
    <w:r>
      <w:rPr>
        <w:rFonts w:ascii="Arial" w:cs="Arial" w:eastAsia="Arial" w:hAnsi="Arial"/>
        <w:b/>
        <w:bCs/>
        <w:color w:val="2E86AB"/>
        <w:sz w:val="18"/>
        <w:szCs w:val="18"/>
      </w:rPr>
      <w:t xml:space="preserve">WMMS — Spec-Driven Development Document</w:t>
    </w:r>
    <w:r>
      <w:rPr>
        <w:rFonts w:ascii="Arial" w:cs="Arial" w:eastAsia="Arial" w:hAnsi="Arial"/>
        <w:color w:val="BDC3C7"/>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7A589"/>
      <w:sz w:val="24"/>
      <w:szCs w:val="24"/>
    </w:rPr>
  </w:style>
  <w:style w:type="paragraph" w:styleId="Heading4">
    <w:name w:val="Heading 4"/>
    <w:basedOn w:val="Normal"/>
    <w:next w:val="Normal"/>
    <w:qFormat/>
    <w:pPr>
      <w:spacing w:after="60" w:before="160"/>
      <w:outlineLvl w:val="3"/>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2026-04-05T21:35:24.425Z</dcterms:created>
  <dcterms:modified xsi:type="dcterms:W3CDTF">2026-04-05T21:35:24.428Z</dcterms:modified>
</cp:coreProperties>
</file>

<file path=docProps/custom.xml><?xml version="1.0" encoding="utf-8"?>
<Properties xmlns="http://schemas.openxmlformats.org/officeDocument/2006/custom-properties" xmlns:vt="http://schemas.openxmlformats.org/officeDocument/2006/docPropsVTypes"/>
</file>