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A3A5C"/>
          <w:sz w:val="40"/>
          <w:szCs w:val="40"/>
        </w:rPr>
        <w:t xml:space="preserve">David (Davy) Jones</w:t>
      </w:r>
    </w:p>
    <w:p>
      <w:pPr>
        <w:spacing w:after="60"/>
        <w:jc w:val="center"/>
      </w:pPr>
      <w:r>
        <w:rPr>
          <w:rFonts w:ascii="Calibri" w:cs="Calibri" w:eastAsia="Calibri" w:hAnsi="Calibri"/>
          <w:color w:val="555555"/>
          <w:sz w:val="22"/>
          <w:szCs w:val="22"/>
        </w:rPr>
        <w:t xml:space="preserve">Lead UX Designer  ·  UX Strategy, Design Leadership &amp; Customer-Centric Digital Platforms</w:t>
      </w:r>
    </w:p>
    <w:p>
      <w:pPr>
        <w:spacing w:after="200"/>
        <w:jc w:val="center"/>
      </w:pPr>
      <w:r>
        <w:rPr>
          <w:rFonts w:ascii="Calibri" w:cs="Calibri" w:eastAsia="Calibri" w:hAnsi="Calibri"/>
          <w:color w:val="555555"/>
          <w:sz w:val="18"/>
          <w:szCs w:val="18"/>
        </w:rPr>
        <w:t xml:space="preserve">803-243-4960  ·  dmjones.me@gmail.com  ·  davyjones.me  ·  linkedin.com/in/davyjonesme</w:t>
      </w:r>
    </w:p>
    <w:p>
      <w:pPr>
        <w:pStyle w:val="Heading2"/>
      </w:pPr>
      <w:r>
        <w:t xml:space="preserve">Summary</w:t>
      </w:r>
    </w:p>
    <w:p>
      <w:pPr>
        <w:spacing w:after="160"/>
      </w:pPr>
      <w:r>
        <w:rPr>
          <w:rFonts w:ascii="Calibri" w:cs="Calibri" w:eastAsia="Calibri" w:hAnsi="Calibri"/>
          <w:color w:val="1A1A1A"/>
          <w:sz w:val="20"/>
          <w:szCs w:val="20"/>
        </w:rPr>
        <w:t xml:space="preserve">Lead UX Designer with 8+ years setting experience direction and driving design leadership for complex, customer-facing digital platforms in enterprise environments. I translate product vision and business priorities into clear UX strategy and outcomes, partner at the leadership level with Product and Engineering to influence roadmaps and investment decisions, and serve as the UX authority that resolves tradeoffs and ensures consistency across experiences. My background is in building and scaling high-performing design cultures — mentoring designers, running critiques that strengthen problem framing and solution quality, and operating as a people-multiplier focused on raising design maturity across teams. I have deep expertise in human-centered design methods applied to complex problem spaces, can balance user needs with business goals and technical realities, and know how to navigate ambiguity to focus teams on the highest-impact work. I hold an MA in Graphic and Web Design from the Minneapolis College of Art and Design.</w:t>
      </w:r>
    </w:p>
    <w:p>
      <w:pPr>
        <w:pStyle w:val="Heading2"/>
      </w:pPr>
      <w:r>
        <w:t xml:space="preserve">Core Capabilities</w:t>
      </w:r>
    </w:p>
    <w:p>
      <w:pPr>
        <w:pStyle w:val="ListParagraph"/>
        <w:numPr>
          <w:ilvl w:val="0"/>
          <w:numId w:val="2"/>
        </w:numPr>
      </w:pPr>
      <w:r>
        <w:rPr>
          <w:rFonts w:ascii="Calibri" w:cs="Calibri" w:eastAsia="Calibri" w:hAnsi="Calibri"/>
          <w:color w:val="1A1A1A"/>
          <w:sz w:val="20"/>
          <w:szCs w:val="20"/>
        </w:rPr>
        <w:t xml:space="preserve">UX Leadership &amp; Strategy: setting experience direction by translating product vision into UX strategy, principles, and measurable outcomes; influencing product roadmaps and prioritization at the leadership level</w:t>
      </w:r>
    </w:p>
    <w:p>
      <w:pPr>
        <w:pStyle w:val="ListParagraph"/>
        <w:numPr>
          <w:ilvl w:val="0"/>
          <w:numId w:val="2"/>
        </w:numPr>
      </w:pPr>
      <w:r>
        <w:rPr>
          <w:rFonts w:ascii="Calibri" w:cs="Calibri" w:eastAsia="Calibri" w:hAnsi="Calibri"/>
          <w:color w:val="1A1A1A"/>
          <w:sz w:val="20"/>
          <w:szCs w:val="20"/>
        </w:rPr>
        <w:t xml:space="preserve">Human-Centered Design Expertise: deep fluency in discovery, journey mapping, concept exploration, and experience framing; defining success metrics and clarifying user outcomes; guiding teams from ambiguity through delivery</w:t>
      </w:r>
    </w:p>
    <w:p>
      <w:pPr>
        <w:pStyle w:val="ListParagraph"/>
        <w:numPr>
          <w:ilvl w:val="0"/>
          <w:numId w:val="2"/>
        </w:numPr>
      </w:pPr>
      <w:r>
        <w:rPr>
          <w:rFonts w:ascii="Calibri" w:cs="Calibri" w:eastAsia="Calibri" w:hAnsi="Calibri"/>
          <w:color w:val="1A1A1A"/>
          <w:sz w:val="20"/>
          <w:szCs w:val="20"/>
        </w:rPr>
        <w:t xml:space="preserve">UX &amp; Interaction Design: expertise designing intuitive, scalable web experiences and end-to-end customer journeys; strong command of information architecture, interaction models, and visual design fundamentals</w:t>
      </w:r>
    </w:p>
    <w:p>
      <w:pPr>
        <w:pStyle w:val="ListParagraph"/>
        <w:numPr>
          <w:ilvl w:val="0"/>
          <w:numId w:val="2"/>
        </w:numPr>
      </w:pPr>
      <w:r>
        <w:rPr>
          <w:rFonts w:ascii="Calibri" w:cs="Calibri" w:eastAsia="Calibri" w:hAnsi="Calibri"/>
          <w:color w:val="1A1A1A"/>
          <w:sz w:val="20"/>
          <w:szCs w:val="20"/>
        </w:rPr>
        <w:t xml:space="preserve">Design Authority &amp; Quality Ownership: serving as the UX design authority for cross-functional teams; running design reviews and critiques that strengthen problem framing and solution quality; ensuring alignment with design systems, accessibility standards, and technical constraints</w:t>
      </w:r>
    </w:p>
    <w:p>
      <w:pPr>
        <w:pStyle w:val="ListParagraph"/>
        <w:numPr>
          <w:ilvl w:val="0"/>
          <w:numId w:val="2"/>
        </w:numPr>
      </w:pPr>
      <w:r>
        <w:rPr>
          <w:rFonts w:ascii="Calibri" w:cs="Calibri" w:eastAsia="Calibri" w:hAnsi="Calibri"/>
          <w:color w:val="1A1A1A"/>
          <w:sz w:val="20"/>
          <w:szCs w:val="20"/>
        </w:rPr>
        <w:t xml:space="preserve">Mentorship &amp; Design Culture: coaching and mentoring designers to grow autonomy, craft excellence, and strategic impact; contributing to UX practice evolution through improved operating models, workflows, and standards</w:t>
      </w:r>
    </w:p>
    <w:p>
      <w:pPr>
        <w:pStyle w:val="ListParagraph"/>
        <w:numPr>
          <w:ilvl w:val="0"/>
          <w:numId w:val="2"/>
        </w:numPr>
      </w:pPr>
      <w:r>
        <w:rPr>
          <w:rFonts w:ascii="Calibri" w:cs="Calibri" w:eastAsia="Calibri" w:hAnsi="Calibri"/>
          <w:color w:val="1A1A1A"/>
          <w:sz w:val="20"/>
          <w:szCs w:val="20"/>
        </w:rPr>
        <w:t xml:space="preserve">Cross-Functional Collaboration: skilled at facilitating discussions, evaluating tradeoffs, and driving decisions in matrixed environments; partnering closely with Product and Engineering through delivery; identifying fidelity risks early and collaborating on solutions</w:t>
      </w:r>
    </w:p>
    <w:p>
      <w:pPr>
        <w:pStyle w:val="ListParagraph"/>
        <w:numPr>
          <w:ilvl w:val="0"/>
          <w:numId w:val="2"/>
        </w:numPr>
      </w:pPr>
      <w:r>
        <w:rPr>
          <w:rFonts w:ascii="Calibri" w:cs="Calibri" w:eastAsia="Calibri" w:hAnsi="Calibri"/>
          <w:color w:val="1A1A1A"/>
          <w:sz w:val="20"/>
          <w:szCs w:val="20"/>
        </w:rPr>
        <w:t xml:space="preserve">Design Systems &amp; Scalability: building and governing design systems from 0 to 1; ensuring consistency and coherence across multiple product pods; enabling scalable, high-quality design at organizational scale</w:t>
      </w:r>
    </w:p>
    <w:p>
      <w:pPr>
        <w:pStyle w:val="ListParagraph"/>
        <w:numPr>
          <w:ilvl w:val="0"/>
          <w:numId w:val="2"/>
        </w:numPr>
      </w:pPr>
      <w:r>
        <w:rPr>
          <w:rFonts w:ascii="Calibri" w:cs="Calibri" w:eastAsia="Calibri" w:hAnsi="Calibri"/>
          <w:color w:val="1A1A1A"/>
          <w:sz w:val="20"/>
          <w:szCs w:val="20"/>
        </w:rPr>
        <w:t xml:space="preserve">Research-Driven Direction: synthesizing insights from research, analytics, and feedback to inform continuous improvement and future opportunity definition</w:t>
      </w:r>
    </w:p>
    <w:p>
      <w:pPr>
        <w:pStyle w:val="ListParagraph"/>
        <w:numPr>
          <w:ilvl w:val="0"/>
          <w:numId w:val="2"/>
        </w:numPr>
      </w:pPr>
      <w:r>
        <w:rPr>
          <w:rFonts w:ascii="Calibri" w:cs="Calibri" w:eastAsia="Calibri" w:hAnsi="Calibri"/>
          <w:color w:val="1A1A1A"/>
          <w:sz w:val="20"/>
          <w:szCs w:val="20"/>
        </w:rPr>
        <w:t xml:space="preserve">Figma (Expert): advanced prototyping, component architecture, design systems, and cross-team workflows</w:t>
      </w:r>
    </w:p>
    <w:p>
      <w:pPr>
        <w:spacing w:after="80"/>
      </w:pPr>
    </w:p>
    <w:p>
      <w:pPr>
        <w:pStyle w:val="Heading2"/>
      </w:pPr>
      <w:r>
        <w:t xml:space="preserve">Professional Experience</w:t>
      </w:r>
    </w:p>
    <w:p>
      <w:pPr>
        <w:spacing w:after="40" w:before="120"/>
      </w:pPr>
      <w:r>
        <w:rPr>
          <w:rFonts w:ascii="Calibri" w:cs="Calibri" w:eastAsia="Calibri" w:hAnsi="Calibri"/>
          <w:b/>
          <w:bCs/>
          <w:color w:val="1A1A1A"/>
          <w:sz w:val="22"/>
          <w:szCs w:val="22"/>
        </w:rPr>
        <w:t xml:space="preserve">Senior UI Designer  ·  Wheels, Inc.</w:t>
      </w:r>
    </w:p>
    <w:p>
      <w:pPr>
        <w:spacing w:after="80"/>
      </w:pPr>
      <w:r>
        <w:rPr>
          <w:rFonts w:ascii="Calibri" w:cs="Calibri" w:eastAsia="Calibri" w:hAnsi="Calibri"/>
          <w:i/>
          <w:iCs/>
          <w:color w:val="555555"/>
          <w:sz w:val="19"/>
          <w:szCs w:val="19"/>
        </w:rPr>
        <w:t xml:space="preserve">April 2024 to Present</w:t>
      </w:r>
    </w:p>
    <w:p>
      <w:pPr>
        <w:pStyle w:val="ListParagraph"/>
        <w:numPr>
          <w:ilvl w:val="0"/>
          <w:numId w:val="2"/>
        </w:numPr>
      </w:pPr>
      <w:r>
        <w:rPr>
          <w:rFonts w:ascii="Calibri" w:cs="Calibri" w:eastAsia="Calibri" w:hAnsi="Calibri"/>
          <w:color w:val="1A1A1A"/>
          <w:sz w:val="20"/>
          <w:szCs w:val="20"/>
        </w:rPr>
        <w:t xml:space="preserve">Set UX strategy and experience direction across multiple product streams, translating product vision and business priorities into clear design principles and outcomes that guide cross-functional teams</w:t>
      </w:r>
    </w:p>
    <w:p>
      <w:pPr>
        <w:pStyle w:val="ListParagraph"/>
        <w:numPr>
          <w:ilvl w:val="0"/>
          <w:numId w:val="2"/>
        </w:numPr>
      </w:pPr>
      <w:r>
        <w:rPr>
          <w:rFonts w:ascii="Calibri" w:cs="Calibri" w:eastAsia="Calibri" w:hAnsi="Calibri"/>
          <w:color w:val="1A1A1A"/>
          <w:sz w:val="20"/>
          <w:szCs w:val="20"/>
        </w:rPr>
        <w:t xml:space="preserve">Serve as the UX design authority for complex customer-facing workflows, guiding design decisions, resolving tradeoffs, and ensuring consistency and quality across multiple initiatives simultaneously</w:t>
      </w:r>
    </w:p>
    <w:p>
      <w:pPr>
        <w:pStyle w:val="ListParagraph"/>
        <w:numPr>
          <w:ilvl w:val="0"/>
          <w:numId w:val="2"/>
        </w:numPr>
      </w:pPr>
      <w:r>
        <w:rPr>
          <w:rFonts w:ascii="Calibri" w:cs="Calibri" w:eastAsia="Calibri" w:hAnsi="Calibri"/>
          <w:color w:val="1A1A1A"/>
          <w:sz w:val="20"/>
          <w:szCs w:val="20"/>
        </w:rPr>
        <w:t xml:space="preserve">Lead cross-functional discovery and vision work including journey mapping, concept exploration, and experience framing, working closely with Product leadership to influence roadmaps and investment decisions</w:t>
      </w:r>
    </w:p>
    <w:p>
      <w:pPr>
        <w:pStyle w:val="ListParagraph"/>
        <w:numPr>
          <w:ilvl w:val="0"/>
          <w:numId w:val="2"/>
        </w:numPr>
      </w:pPr>
      <w:r>
        <w:rPr>
          <w:rFonts w:ascii="Calibri" w:cs="Calibri" w:eastAsia="Calibri" w:hAnsi="Calibri"/>
          <w:color w:val="1A1A1A"/>
          <w:sz w:val="20"/>
          <w:szCs w:val="20"/>
        </w:rPr>
        <w:t xml:space="preserve">Run design reviews and critiques that strengthen problem framing, solution quality, and alignment to strategy; mentor designers through feedback and coaching to grow their autonomy and craft excellence</w:t>
      </w:r>
    </w:p>
    <w:p>
      <w:pPr>
        <w:pStyle w:val="ListParagraph"/>
        <w:numPr>
          <w:ilvl w:val="0"/>
          <w:numId w:val="2"/>
        </w:numPr>
      </w:pPr>
      <w:r>
        <w:rPr>
          <w:rFonts w:ascii="Calibri" w:cs="Calibri" w:eastAsia="Calibri" w:hAnsi="Calibri"/>
          <w:color w:val="1A1A1A"/>
          <w:sz w:val="20"/>
          <w:szCs w:val="20"/>
        </w:rPr>
        <w:t xml:space="preserve">Own a design system governance model that holds 60+ components at WCAG AA compliance and ensures architectural coherence across web and mobile platforms used by three merged organizations</w:t>
      </w:r>
    </w:p>
    <w:p>
      <w:pPr>
        <w:pStyle w:val="ListParagraph"/>
        <w:numPr>
          <w:ilvl w:val="0"/>
          <w:numId w:val="2"/>
        </w:numPr>
      </w:pPr>
      <w:r>
        <w:rPr>
          <w:rFonts w:ascii="Calibri" w:cs="Calibri" w:eastAsia="Calibri" w:hAnsi="Calibri"/>
          <w:color w:val="1A1A1A"/>
          <w:sz w:val="20"/>
          <w:szCs w:val="20"/>
        </w:rPr>
        <w:t xml:space="preserve">Partner with Engineering through delivery — reviewing production builds for implementation fidelity, identifying risks early, and collaborating on solutions to ensure what ships matches design intent</w:t>
      </w:r>
    </w:p>
    <w:p>
      <w:pPr>
        <w:pStyle w:val="ListParagraph"/>
        <w:numPr>
          <w:ilvl w:val="0"/>
          <w:numId w:val="2"/>
        </w:numPr>
      </w:pPr>
      <w:r>
        <w:rPr>
          <w:rFonts w:ascii="Calibri" w:cs="Calibri" w:eastAsia="Calibri" w:hAnsi="Calibri"/>
          <w:color w:val="1A1A1A"/>
          <w:sz w:val="20"/>
          <w:szCs w:val="20"/>
        </w:rPr>
        <w:t xml:space="preserve">Mentor and coach designers, growing their ability to think strategically about experience direction and make independent decisions with confidence</w:t>
      </w:r>
    </w:p>
    <w:p>
      <w:pPr>
        <w:pStyle w:val="ListParagraph"/>
        <w:numPr>
          <w:ilvl w:val="0"/>
          <w:numId w:val="2"/>
        </w:numPr>
      </w:pPr>
      <w:r>
        <w:rPr>
          <w:rFonts w:ascii="Calibri" w:cs="Calibri" w:eastAsia="Calibri" w:hAnsi="Calibri"/>
          <w:color w:val="1A1A1A"/>
          <w:sz w:val="20"/>
          <w:szCs w:val="20"/>
        </w:rPr>
        <w:t xml:space="preserve">Synthesize research, analytics, and customer feedback to identify high-impact improvement opportunities and inform roadmap direction</w:t>
      </w:r>
    </w:p>
    <w:p>
      <w:pPr>
        <w:pStyle w:val="ListParagraph"/>
        <w:numPr>
          <w:ilvl w:val="0"/>
          <w:numId w:val="2"/>
        </w:numPr>
      </w:pPr>
      <w:r>
        <w:rPr>
          <w:rFonts w:ascii="Calibri" w:cs="Calibri" w:eastAsia="Calibri" w:hAnsi="Calibri"/>
          <w:color w:val="1A1A1A"/>
          <w:sz w:val="20"/>
          <w:szCs w:val="20"/>
        </w:rPr>
        <w:t xml:space="preserve">Contribute to UX practice evolution by establishing design review standards, critique frameworks, and collaborative workflows that enable scalable, high-quality design delivery</w:t>
      </w:r>
    </w:p>
    <w:p>
      <w:pPr>
        <w:spacing w:after="80"/>
      </w:pPr>
    </w:p>
    <w:p>
      <w:pPr>
        <w:spacing w:after="40" w:before="80"/>
      </w:pPr>
      <w:r>
        <w:rPr>
          <w:rFonts w:ascii="Calibri" w:cs="Calibri" w:eastAsia="Calibri" w:hAnsi="Calibri"/>
          <w:b/>
          <w:bCs/>
          <w:color w:val="1A1A1A"/>
          <w:sz w:val="22"/>
          <w:szCs w:val="22"/>
        </w:rPr>
        <w:t xml:space="preserve">UI/UX Designer II  ·  Wheels, Inc.</w:t>
      </w:r>
    </w:p>
    <w:p>
      <w:pPr>
        <w:spacing w:after="80"/>
      </w:pPr>
      <w:r>
        <w:rPr>
          <w:rFonts w:ascii="Calibri" w:cs="Calibri" w:eastAsia="Calibri" w:hAnsi="Calibri"/>
          <w:i/>
          <w:iCs/>
          <w:color w:val="555555"/>
          <w:sz w:val="19"/>
          <w:szCs w:val="19"/>
        </w:rPr>
        <w:t xml:space="preserve">August 2020 to April 2024</w:t>
      </w:r>
    </w:p>
    <w:p>
      <w:pPr>
        <w:pStyle w:val="ListParagraph"/>
        <w:numPr>
          <w:ilvl w:val="0"/>
          <w:numId w:val="2"/>
        </w:numPr>
      </w:pPr>
      <w:r>
        <w:rPr>
          <w:rFonts w:ascii="Calibri" w:cs="Calibri" w:eastAsia="Calibri" w:hAnsi="Calibri"/>
          <w:color w:val="1A1A1A"/>
          <w:sz w:val="20"/>
          <w:szCs w:val="20"/>
        </w:rPr>
        <w:t xml:space="preserve">Led a flagship platform redesign end to end, serving as the design authority across web and mobile experiences; conducted discovery and research with real users to clarify problem space and drive solution direction</w:t>
      </w:r>
    </w:p>
    <w:p>
      <w:pPr>
        <w:pStyle w:val="ListParagraph"/>
        <w:numPr>
          <w:ilvl w:val="0"/>
          <w:numId w:val="2"/>
        </w:numPr>
      </w:pPr>
      <w:r>
        <w:rPr>
          <w:rFonts w:ascii="Calibri" w:cs="Calibri" w:eastAsia="Calibri" w:hAnsi="Calibri"/>
          <w:color w:val="1A1A1A"/>
          <w:sz w:val="20"/>
          <w:szCs w:val="20"/>
        </w:rPr>
        <w:t xml:space="preserve">Built the organization’s design system from a blank Figma file, establishing component architecture, token strategy, naming conventions, governance, and contribution models that multiple product teams adopted and extended</w:t>
      </w:r>
    </w:p>
    <w:p>
      <w:pPr>
        <w:pStyle w:val="ListParagraph"/>
        <w:numPr>
          <w:ilvl w:val="0"/>
          <w:numId w:val="2"/>
        </w:numPr>
      </w:pPr>
      <w:r>
        <w:rPr>
          <w:rFonts w:ascii="Calibri" w:cs="Calibri" w:eastAsia="Calibri" w:hAnsi="Calibri"/>
          <w:color w:val="1A1A1A"/>
          <w:sz w:val="20"/>
          <w:szCs w:val="20"/>
        </w:rPr>
        <w:t xml:space="preserve">Mentored designers through design system adoption and complex project delivery, coaching them on design process, critique standards, and strategic thinking</w:t>
      </w:r>
    </w:p>
    <w:p>
      <w:pPr>
        <w:pStyle w:val="ListParagraph"/>
        <w:numPr>
          <w:ilvl w:val="0"/>
          <w:numId w:val="2"/>
        </w:numPr>
      </w:pPr>
      <w:r>
        <w:rPr>
          <w:rFonts w:ascii="Calibri" w:cs="Calibri" w:eastAsia="Calibri" w:hAnsi="Calibri"/>
          <w:color w:val="1A1A1A"/>
          <w:sz w:val="20"/>
          <w:szCs w:val="20"/>
        </w:rPr>
        <w:t xml:space="preserve">Worked directly in the build alongside engineers, reviewing implementation for fidelity and contributing to frontend quality decisions</w:t>
      </w:r>
    </w:p>
    <w:p>
      <w:pPr>
        <w:pStyle w:val="ListParagraph"/>
        <w:numPr>
          <w:ilvl w:val="0"/>
          <w:numId w:val="2"/>
        </w:numPr>
      </w:pPr>
      <w:r>
        <w:rPr>
          <w:rFonts w:ascii="Calibri" w:cs="Calibri" w:eastAsia="Calibri" w:hAnsi="Calibri"/>
          <w:color w:val="1A1A1A"/>
          <w:sz w:val="20"/>
          <w:szCs w:val="20"/>
        </w:rPr>
        <w:t xml:space="preserve">Facilitated cross-functional alignment workshops and design reviews that brought product, engineering, and business teams around shared experience vision and priorities</w:t>
      </w:r>
    </w:p>
    <w:p>
      <w:pPr>
        <w:spacing w:after="80"/>
      </w:pPr>
    </w:p>
    <w:p>
      <w:pPr>
        <w:spacing w:after="40" w:before="80"/>
      </w:pPr>
      <w:r>
        <w:rPr>
          <w:rFonts w:ascii="Calibri" w:cs="Calibri" w:eastAsia="Calibri" w:hAnsi="Calibri"/>
          <w:b/>
          <w:bCs/>
          <w:color w:val="1A1A1A"/>
          <w:sz w:val="22"/>
          <w:szCs w:val="22"/>
        </w:rPr>
        <w:t xml:space="preserve">Design Consultant  ·  Purdue University Northwest</w:t>
      </w:r>
    </w:p>
    <w:p>
      <w:pPr>
        <w:spacing w:after="80"/>
      </w:pPr>
      <w:r>
        <w:rPr>
          <w:rFonts w:ascii="Calibri" w:cs="Calibri" w:eastAsia="Calibri" w:hAnsi="Calibri"/>
          <w:i/>
          <w:iCs/>
          <w:color w:val="555555"/>
          <w:sz w:val="19"/>
          <w:szCs w:val="19"/>
        </w:rPr>
        <w:t xml:space="preserve">February 2023 to April 2023</w:t>
      </w:r>
    </w:p>
    <w:p>
      <w:pPr>
        <w:pStyle w:val="ListParagraph"/>
        <w:numPr>
          <w:ilvl w:val="0"/>
          <w:numId w:val="2"/>
        </w:numPr>
      </w:pPr>
      <w:r>
        <w:rPr>
          <w:rFonts w:ascii="Calibri" w:cs="Calibri" w:eastAsia="Calibri" w:hAnsi="Calibri"/>
          <w:color w:val="1A1A1A"/>
          <w:sz w:val="20"/>
          <w:szCs w:val="20"/>
        </w:rPr>
        <w:t xml:space="preserve">Led end-to-end UX design for a complex multi-step experience, serving as design authority and conducting cross-functional alignment workshops before and during delivery</w:t>
      </w:r>
    </w:p>
    <w:p>
      <w:pPr>
        <w:spacing w:after="80"/>
      </w:pPr>
    </w:p>
    <w:p>
      <w:pPr>
        <w:spacing w:after="40" w:before="80"/>
      </w:pPr>
      <w:r>
        <w:rPr>
          <w:rFonts w:ascii="Calibri" w:cs="Calibri" w:eastAsia="Calibri" w:hAnsi="Calibri"/>
          <w:b/>
          <w:bCs/>
          <w:color w:val="1A1A1A"/>
          <w:sz w:val="22"/>
          <w:szCs w:val="22"/>
        </w:rPr>
        <w:t xml:space="preserve">UX/UI Designer  ·  Central Wire Industries</w:t>
      </w:r>
    </w:p>
    <w:p>
      <w:pPr>
        <w:spacing w:after="80"/>
      </w:pPr>
      <w:r>
        <w:rPr>
          <w:rFonts w:ascii="Calibri" w:cs="Calibri" w:eastAsia="Calibri" w:hAnsi="Calibri"/>
          <w:i/>
          <w:iCs/>
          <w:color w:val="555555"/>
          <w:sz w:val="19"/>
          <w:szCs w:val="19"/>
        </w:rPr>
        <w:t xml:space="preserve">April 2019 to March 2020</w:t>
      </w:r>
    </w:p>
    <w:p>
      <w:pPr>
        <w:pStyle w:val="ListParagraph"/>
        <w:numPr>
          <w:ilvl w:val="0"/>
          <w:numId w:val="2"/>
        </w:numPr>
      </w:pPr>
      <w:r>
        <w:rPr>
          <w:rFonts w:ascii="Calibri" w:cs="Calibri" w:eastAsia="Calibri" w:hAnsi="Calibri"/>
          <w:color w:val="1A1A1A"/>
          <w:sz w:val="20"/>
          <w:szCs w:val="20"/>
        </w:rPr>
        <w:t xml:space="preserve">Designed interaction patterns and UI components for product surfaces, establishing design standards and advocating for user-centered approaches across the organization</w:t>
      </w:r>
    </w:p>
    <w:p>
      <w:pPr>
        <w:spacing w:after="80"/>
      </w:pPr>
    </w:p>
    <w:p>
      <w:pPr>
        <w:spacing w:after="40" w:before="80"/>
      </w:pPr>
      <w:r>
        <w:rPr>
          <w:rFonts w:ascii="Calibri" w:cs="Calibri" w:eastAsia="Calibri" w:hAnsi="Calibri"/>
          <w:b/>
          <w:bCs/>
          <w:color w:val="1A1A1A"/>
          <w:sz w:val="22"/>
          <w:szCs w:val="22"/>
        </w:rPr>
        <w:t xml:space="preserve">Earlier Roles  ·  2016 to 2018</w:t>
      </w:r>
    </w:p>
    <w:p>
      <w:pPr>
        <w:spacing w:after="60"/>
      </w:pPr>
      <w:r>
        <w:rPr>
          <w:rFonts w:ascii="Calibri" w:cs="Calibri" w:eastAsia="Calibri" w:hAnsi="Calibri"/>
          <w:i/>
          <w:iCs/>
          <w:color w:val="555555"/>
          <w:sz w:val="19"/>
          <w:szCs w:val="19"/>
        </w:rPr>
        <w:t xml:space="preserve">Visual Designer, Palko Distributing Inc.  |  UX/UI Designer, Oliver Gospel Mission  |  UX/UI Designer, Financial Eagle</w:t>
      </w:r>
    </w:p>
    <w:p>
      <w:pPr>
        <w:pStyle w:val="ListParagraph"/>
        <w:numPr>
          <w:ilvl w:val="0"/>
          <w:numId w:val="2"/>
        </w:numPr>
      </w:pPr>
      <w:r>
        <w:rPr>
          <w:rFonts w:ascii="Calibri" w:cs="Calibri" w:eastAsia="Calibri" w:hAnsi="Calibri"/>
          <w:color w:val="1A1A1A"/>
          <w:sz w:val="20"/>
          <w:szCs w:val="20"/>
        </w:rPr>
        <w:t xml:space="preserve">Designed and shipped customer-facing digital experiences, building early foundation in human-centered design practice and cross-functional collaboration</w:t>
      </w:r>
    </w:p>
    <w:p>
      <w:pPr>
        <w:pStyle w:val="Heading2"/>
      </w:pPr>
      <w:r>
        <w:t xml:space="preserve">Impact Highlights</w:t>
      </w:r>
    </w:p>
    <w:p>
      <w:pPr>
        <w:pStyle w:val="ListParagraph"/>
        <w:numPr>
          <w:ilvl w:val="0"/>
          <w:numId w:val="2"/>
        </w:numPr>
      </w:pPr>
      <w:r>
        <w:rPr>
          <w:rFonts w:ascii="Calibri" w:cs="Calibri" w:eastAsia="Calibri" w:hAnsi="Calibri"/>
          <w:color w:val="1A1A1A"/>
          <w:sz w:val="20"/>
          <w:szCs w:val="20"/>
        </w:rPr>
        <w:t xml:space="preserve">Set UX direction for complex enterprise digital products serving thousands of daily users, translating business priorities into design strategy and outcomes that guided cross-functional teams</w:t>
      </w:r>
    </w:p>
    <w:p>
      <w:pPr>
        <w:pStyle w:val="ListParagraph"/>
        <w:numPr>
          <w:ilvl w:val="0"/>
          <w:numId w:val="2"/>
        </w:numPr>
      </w:pPr>
      <w:r>
        <w:rPr>
          <w:rFonts w:ascii="Calibri" w:cs="Calibri" w:eastAsia="Calibri" w:hAnsi="Calibri"/>
          <w:color w:val="1A1A1A"/>
          <w:sz w:val="20"/>
          <w:szCs w:val="20"/>
        </w:rPr>
        <w:t xml:space="preserve">Built a design system from 0 to 1 that unified three organizations under a single experience language, achieving WCAG AA compliance at the system level and cutting developer implementation time by 50%</w:t>
      </w:r>
    </w:p>
    <w:p>
      <w:pPr>
        <w:pStyle w:val="ListParagraph"/>
        <w:numPr>
          <w:ilvl w:val="0"/>
          <w:numId w:val="2"/>
        </w:numPr>
      </w:pPr>
      <w:r>
        <w:rPr>
          <w:rFonts w:ascii="Calibri" w:cs="Calibri" w:eastAsia="Calibri" w:hAnsi="Calibri"/>
          <w:color w:val="1A1A1A"/>
          <w:sz w:val="20"/>
          <w:szCs w:val="20"/>
        </w:rPr>
        <w:t xml:space="preserve">Mentored designers and cross-functional partners through design review standards and critique frameworks that raised UX maturity across the organization</w:t>
      </w:r>
    </w:p>
    <w:p>
      <w:pPr>
        <w:pStyle w:val="ListParagraph"/>
        <w:numPr>
          <w:ilvl w:val="0"/>
          <w:numId w:val="2"/>
        </w:numPr>
      </w:pPr>
      <w:r>
        <w:rPr>
          <w:rFonts w:ascii="Calibri" w:cs="Calibri" w:eastAsia="Calibri" w:hAnsi="Calibri"/>
          <w:color w:val="1A1A1A"/>
          <w:sz w:val="20"/>
          <w:szCs w:val="20"/>
        </w:rPr>
        <w:t xml:space="preserve">Served as design authority for multiple simultaneous initiatives, resolving tradeoffs and ensuring consistency across experiences without bottlenecking delivery</w:t>
      </w:r>
    </w:p>
    <w:p>
      <w:pPr>
        <w:pStyle w:val="ListParagraph"/>
        <w:numPr>
          <w:ilvl w:val="0"/>
          <w:numId w:val="2"/>
        </w:numPr>
      </w:pPr>
      <w:r>
        <w:rPr>
          <w:rFonts w:ascii="Calibri" w:cs="Calibri" w:eastAsia="Calibri" w:hAnsi="Calibri"/>
          <w:color w:val="1A1A1A"/>
          <w:sz w:val="20"/>
          <w:szCs w:val="20"/>
        </w:rPr>
        <w:t xml:space="preserve">Established governance frameworks that enabled scalable design decisions across product pods without requiring design involvement in every conversation</w:t>
      </w:r>
    </w:p>
    <w:p>
      <w:pPr>
        <w:pStyle w:val="Heading2"/>
      </w:pPr>
      <w:r>
        <w:t xml:space="preserve">Tools and Technologies</w:t>
      </w:r>
    </w:p>
    <w:p>
      <w:pPr>
        <w:spacing w:after="80"/>
      </w:pPr>
      <w:r>
        <w:rPr>
          <w:rFonts w:ascii="Calibri" w:cs="Calibri" w:eastAsia="Calibri" w:hAnsi="Calibri"/>
          <w:b/>
          <w:bCs/>
          <w:color w:val="1A1A1A"/>
          <w:sz w:val="20"/>
          <w:szCs w:val="20"/>
        </w:rPr>
        <w:t xml:space="preserve">Design: </w:t>
      </w:r>
      <w:r>
        <w:rPr>
          <w:rFonts w:ascii="Calibri" w:cs="Calibri" w:eastAsia="Calibri" w:hAnsi="Calibri"/>
          <w:color w:val="1A1A1A"/>
          <w:sz w:val="20"/>
          <w:szCs w:val="20"/>
        </w:rPr>
        <w:t xml:space="preserve">Figma (Expert: component architecture, design systems, advanced prototyping), Adobe Creative Suite, Sketch</w:t>
      </w:r>
    </w:p>
    <w:p>
      <w:pPr>
        <w:spacing w:after="80"/>
      </w:pPr>
      <w:r>
        <w:rPr>
          <w:rFonts w:ascii="Calibri" w:cs="Calibri" w:eastAsia="Calibri" w:hAnsi="Calibri"/>
          <w:b/>
          <w:bCs/>
          <w:color w:val="1A1A1A"/>
          <w:sz w:val="20"/>
          <w:szCs w:val="20"/>
        </w:rPr>
        <w:t xml:space="preserve">Design Systems: </w:t>
      </w:r>
      <w:r>
        <w:rPr>
          <w:rFonts w:ascii="Calibri" w:cs="Calibri" w:eastAsia="Calibri" w:hAnsi="Calibri"/>
          <w:color w:val="1A1A1A"/>
          <w:sz w:val="20"/>
          <w:szCs w:val="20"/>
        </w:rPr>
        <w:t xml:space="preserve">Token architecture, component libraries, KendoReact, React Native Paper, ThemeBuilder, Storybook, governance frameworks</w:t>
      </w:r>
    </w:p>
    <w:p>
      <w:pPr>
        <w:spacing w:after="160"/>
      </w:pPr>
      <w:r>
        <w:rPr>
          <w:rFonts w:ascii="Calibri" w:cs="Calibri" w:eastAsia="Calibri" w:hAnsi="Calibri"/>
          <w:b/>
          <w:bCs/>
          <w:color w:val="1A1A1A"/>
          <w:sz w:val="20"/>
          <w:szCs w:val="20"/>
        </w:rPr>
        <w:t xml:space="preserve">Collaboration &amp; Strategy: </w:t>
      </w:r>
      <w:r>
        <w:rPr>
          <w:rFonts w:ascii="Calibri" w:cs="Calibri" w:eastAsia="Calibri" w:hAnsi="Calibri"/>
          <w:color w:val="1A1A1A"/>
          <w:sz w:val="20"/>
          <w:szCs w:val="20"/>
        </w:rPr>
        <w:t xml:space="preserve">Miro, journey mapping, design critique frameworks, cross-functional facilitation, research synthesis</w:t>
      </w:r>
    </w:p>
    <w:p>
      <w:pPr>
        <w:pStyle w:val="Heading2"/>
      </w:pPr>
      <w:r>
        <w:t xml:space="preserve">Education</w:t>
      </w:r>
    </w:p>
    <w:p>
      <w:pPr>
        <w:spacing w:after="20" w:before="80"/>
      </w:pPr>
      <w:r>
        <w:rPr>
          <w:rFonts w:ascii="Calibri" w:cs="Calibri" w:eastAsia="Calibri" w:hAnsi="Calibri"/>
          <w:b/>
          <w:bCs/>
          <w:color w:val="1A1A1A"/>
          <w:sz w:val="20"/>
          <w:szCs w:val="20"/>
        </w:rPr>
        <w:t xml:space="preserve">MA Graphic and Web Design</w:t>
      </w:r>
    </w:p>
    <w:p>
      <w:pPr>
        <w:spacing w:after="80"/>
      </w:pPr>
      <w:r>
        <w:rPr>
          <w:rFonts w:ascii="Calibri" w:cs="Calibri" w:eastAsia="Calibri" w:hAnsi="Calibri"/>
          <w:color w:val="555555"/>
          <w:sz w:val="20"/>
          <w:szCs w:val="20"/>
        </w:rPr>
        <w:t xml:space="preserve">Minneapolis College of Art and Design  ·  2023</w:t>
      </w:r>
    </w:p>
    <w:p>
      <w:pPr>
        <w:spacing w:after="20" w:before="60"/>
      </w:pPr>
      <w:r>
        <w:rPr>
          <w:rFonts w:ascii="Calibri" w:cs="Calibri" w:eastAsia="Calibri" w:hAnsi="Calibri"/>
          <w:b/>
          <w:bCs/>
          <w:color w:val="1A1A1A"/>
          <w:sz w:val="20"/>
          <w:szCs w:val="20"/>
        </w:rPr>
        <w:t xml:space="preserve">BS Communications</w:t>
      </w:r>
    </w:p>
    <w:p>
      <w:pPr>
        <w:spacing w:after="80"/>
      </w:pPr>
      <w:r>
        <w:rPr>
          <w:rFonts w:ascii="Calibri" w:cs="Calibri" w:eastAsia="Calibri" w:hAnsi="Calibri"/>
          <w:color w:val="555555"/>
          <w:sz w:val="20"/>
          <w:szCs w:val="20"/>
        </w:rPr>
        <w:t xml:space="preserve">Columbia International University  ·  2016</w:t>
      </w:r>
    </w:p>
    <w:sectPr>
      <w:pgSz w:w="12240" w:h="15840" w:orient="portrait"/>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60"/>
      </w:pPr>
      <w:rPr>
        <w:color w:val="1A1A1A"/>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1A3A5C" w:sz="6" w:space="1"/>
      </w:pBdr>
      <w:spacing w:after="60" w:before="200"/>
      <w:outlineLvl w:val="1"/>
    </w:pPr>
    <w:rPr>
      <w:rFonts w:ascii="Calibri" w:cs="Calibri" w:eastAsia="Calibri" w:hAnsi="Calibri"/>
      <w:b/>
      <w:bCs/>
      <w:color w:val="1A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2026-06-03T00:56:05.637Z</dcterms:created>
  <dcterms:modified xsi:type="dcterms:W3CDTF">2026-06-03T00:56:05.649Z</dcterms:modified>
</cp:coreProperties>
</file>

<file path=docProps/custom.xml><?xml version="1.0" encoding="utf-8"?>
<Properties xmlns="http://schemas.openxmlformats.org/officeDocument/2006/custom-properties" xmlns:vt="http://schemas.openxmlformats.org/officeDocument/2006/docPropsVTypes"/>
</file>