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Calibri"/>
          <w:b/>
          <w:color w:val="202124"/>
          <w:sz w:val="48"/>
        </w:rPr>
        <w:t>Эксперимент по Q-метрикам представления</w:t>
      </w:r>
    </w:p>
    <w:p>
      <w:pPr>
        <w:spacing w:after="360"/>
      </w:pPr>
      <w:r>
        <w:rPr>
          <w:rFonts w:ascii="Calibri" w:hAnsi="Calibri" w:eastAsia="Calibri"/>
          <w:color w:val="5F6368"/>
          <w:sz w:val="26"/>
        </w:rPr>
        <w:t>Shapes3D · uniform sampling · вычисление после каждой эпохи · MPS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1"/>
        </w:rPr>
        <w:t xml:space="preserve">Запуск: </w:t>
      </w:r>
      <w:r>
        <w:rPr>
          <w:rFonts w:ascii="Calibri" w:hAnsi="Calibri" w:eastAsia="Calibri"/>
          <w:color w:val="202124"/>
          <w:sz w:val="21"/>
        </w:rPr>
        <w:t>uniform_live_quality_seed7111473167050986645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1"/>
        </w:rPr>
        <w:t xml:space="preserve">Фактический seed модели: </w:t>
      </w:r>
      <w:r>
        <w:rPr>
          <w:rFonts w:ascii="Calibri" w:hAnsi="Calibri" w:eastAsia="Calibri"/>
          <w:color w:val="202124"/>
          <w:sz w:val="21"/>
        </w:rPr>
        <w:t>0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1"/>
        </w:rPr>
        <w:t xml:space="preserve">Seed evaluation manifest: </w:t>
      </w:r>
      <w:r>
        <w:rPr>
          <w:rFonts w:ascii="Calibri" w:hAnsi="Calibri" w:eastAsia="Calibri"/>
          <w:color w:val="202124"/>
          <w:sz w:val="21"/>
        </w:rPr>
        <w:t>58031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1"/>
        </w:rPr>
        <w:t xml:space="preserve">Период: </w:t>
      </w:r>
      <w:r>
        <w:rPr>
          <w:rFonts w:ascii="Calibri" w:hAnsi="Calibri" w:eastAsia="Calibri"/>
          <w:color w:val="202124"/>
          <w:sz w:val="21"/>
        </w:rPr>
        <w:t>100 эпох; timing-анализ по эпохам 2–100</w:t>
      </w:r>
    </w:p>
    <w:p>
      <w:pPr>
        <w:spacing w:after="40"/>
      </w:pPr>
      <w:r>
        <w:rPr>
          <w:rFonts w:ascii="Calibri" w:hAnsi="Calibri" w:eastAsia="Calibri"/>
          <w:b/>
          <w:color w:val="202124"/>
          <w:sz w:val="21"/>
        </w:rPr>
        <w:t xml:space="preserve">Дата подготовки отчёта: </w:t>
      </w:r>
      <w:r>
        <w:rPr>
          <w:rFonts w:ascii="Calibri" w:hAnsi="Calibri" w:eastAsia="Calibri"/>
          <w:color w:val="202124"/>
          <w:sz w:val="21"/>
        </w:rPr>
        <w:t>26 июля 2026</w:t>
      </w:r>
    </w:p>
    <w:p>
      <w:pPr>
        <w:keepLines/>
        <w:spacing w:before="300" w:after="240"/>
        <w:shd w:fill="F4F6F9"/>
      </w:pPr>
      <w:r>
        <w:rPr>
          <w:rFonts w:ascii="Calibri" w:hAnsi="Calibri" w:eastAsia="Calibri"/>
          <w:b/>
          <w:color w:val="202124"/>
          <w:sz w:val="22"/>
        </w:rPr>
        <w:t>Главный вывод. В текущей реализации classification accuracy добавляет примерно 12,9% к времени эпохи. Единственная Q сопоставимой стоимости — Q20 (около 13,5%), но она не дешевле accuracy. Наиболее коррелирующие Q1/Q2/Q18 требуют маскированной факторизации и в proxy-only оценке добавляют примерно 247–278%.</w:t>
      </w:r>
    </w:p>
    <w:p>
      <w:pPr>
        <w:pStyle w:val="Heading1"/>
        <w:keepNext/>
      </w:pPr>
      <w:r>
        <w:rPr>
          <w:rFonts w:ascii="Calibri" w:hAnsi="Calibri" w:eastAsia="Calibri"/>
        </w:rPr>
        <w:t>1. Цель и исследовательский вопрос</w:t>
      </w:r>
    </w:p>
    <w:p>
      <w:r>
        <w:rPr>
          <w:rFonts w:ascii="Calibri" w:hAnsi="Calibri" w:eastAsia="Calibri"/>
        </w:rPr>
        <w:t>Цель эксперимента — проверить, могут ли характеристики структуры латентного представления Q1–Q20 служить прокси для classification accuracy и/или held-out JEPA loss во время обучения. Дополнительный практический вопрос: будет ли выбранная Q дешевле линейного probe по полной end-to-end стоимости, включая получение эмбеддингов, факторизацию и собственную формулу.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Основной исход: classification accuracy линейного ridge-probe на фиксированном тестовом банке.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Дополнительный исход: held-out JEPA loss на фиксированном банке.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Связь: Pearson r и Spearman ρ для абсолютных значений, а также для разностей соседних эпох.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Стоимость: медианное время эпох 2–100 на MPS; первая эпоха исключена как warm-up.</w:t>
      </w:r>
    </w:p>
    <w:p>
      <w:pPr>
        <w:pStyle w:val="Heading1"/>
        <w:keepNext/>
      </w:pPr>
      <w:r>
        <w:rPr>
          <w:rFonts w:ascii="Calibri" w:hAnsi="Calibri" w:eastAsia="Calibri"/>
        </w:rPr>
        <w:t>2. Конфигурация эксперимента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700"/>
        <w:gridCol w:w="6660"/>
      </w:tblGrid>
      <w:tr>
        <w:trPr>
          <w:trHeight w:hRule="atLeast"/>
          <w:tblHeader w:val="true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Параметр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9"/>
              </w:rPr>
              <w:t>Значение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Dataset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Google DeepMind 3D Shapes / Shapes3D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Training sampling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uniform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Устройство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mps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Архитектура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spatial CNN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Размер patch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8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Размер латентного patch-вектора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16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Эпохи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100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Batch size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128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Learning rate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0.001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EMA decay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0.99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Фактический model seed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0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Online Q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каждая эпоха, непосредственно из модели в памяти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Checkpoint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9"/>
              </w:rPr>
              <w:t>только эпоха 100; Q не восстанавливаются из checkpoint</w:t>
            </w:r>
          </w:p>
        </w:tc>
      </w:tr>
    </w:tbl>
    <w:p>
      <w:r>
        <w:rPr>
          <w:rFonts w:ascii="Calibri" w:hAnsi="Calibri" w:eastAsia="Calibri"/>
        </w:rPr>
        <w:t>Воспроизводимость. Несмотря на число 7111473167050986645 в имени каталога запуска, фактическое поле spatial.seed в config.json равно 0. Seed фиксированного evaluation manifest равен 58031.</w:t>
      </w:r>
    </w:p>
    <w:p>
      <w:pPr>
        <w:pStyle w:val="Heading2"/>
        <w:keepNext/>
      </w:pPr>
      <w:r>
        <w:rPr>
          <w:rFonts w:ascii="Calibri" w:hAnsi="Calibri" w:eastAsia="Calibri"/>
        </w:rPr>
        <w:t>2.1. Фиксированные evaluation banks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700"/>
        <w:gridCol w:w="5460"/>
        <w:gridCol w:w="1200"/>
      </w:tblGrid>
      <w:tr>
        <w:trPr>
          <w:trHeight w:hRule="atLeast"/>
          <w:tblHeader w:val="true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7"/>
              </w:rPr>
              <w:t>Bank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7"/>
              </w:rPr>
              <w:t>Назначение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7"/>
              </w:rPr>
              <w:t>N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unlabeled_fit_bank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Label-free факторизация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7"/>
              </w:rPr>
              <w:t>8000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metric_bank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Основные Q на независимом банке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7"/>
              </w:rPr>
              <w:t>1024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classifier_train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Обучение линейного probe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7"/>
              </w:rPr>
              <w:t>8000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classifier_validation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Supervised partition и masked validation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7"/>
              </w:rPr>
              <w:t>2000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classifier_test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Classification accuracy и held-out loss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7"/>
              </w:rPr>
              <w:t>2000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jacobian_bank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Q7, Q19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7"/>
              </w:rPr>
              <w:t>32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gradient_bank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Q14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7"/>
              </w:rPr>
              <w:t>32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virtual_conditioning_bank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Q8, Q15: virtual step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7"/>
              </w:rPr>
              <w:t>16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decomposition_refit_bank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Q8: повторная факторизация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7"/>
              </w:rPr>
              <w:t>256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replay_bank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7"/>
              </w:rPr>
              <w:t>Q15: interference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7"/>
              </w:rPr>
              <w:t>128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Calibri"/>
        </w:rPr>
        <w:t>3. Как строится факторизация</w:t>
      </w:r>
    </w:p>
    <w:p>
      <w:r>
        <w:rPr>
          <w:rFonts w:ascii="Calibri" w:hAnsi="Calibri" w:eastAsia="Calibri"/>
        </w:rPr>
        <w:t>Для каждого изображения строятся два masked-представления zᵃ и zᵇ. На 8000 парных наблюдениях вычисляются центрированные разности Δ = zᵃ − zᵇ и средние представления m = (zᵃ + zᵇ)/2. После нормировки ковариаций решается обычная симметричная собственная задача для оператора signal − within. Его ортонормированные собственные векторы образуют базис, разделённый на четыре спектральные полосы. При d = 16 каждая полоса имеет rank 4.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W = Cov(Δ)/tr(Cov(Δ)),   S = Cov(m)/tr(Cov(m)),   (S − W)U = UΛ,   Pᵢ = UᵢUᵢᵀ.</w:t>
      </w:r>
    </w:p>
    <w:p>
      <w:r>
        <w:rPr>
          <w:rFonts w:ascii="Calibri" w:hAnsi="Calibri" w:eastAsia="Calibri"/>
        </w:rPr>
        <w:t>Q16 использует отдельную supervised-факторизацию. Entity-subspace получается из generalized eigenproblem для межклассовой и внутриклассовой scatter-матриц, после чего ортогональное дополнение разбивается PCA на три полосы.</w:t>
      </w:r>
    </w:p>
    <w:p>
      <w:r>
        <w:rPr>
          <w:rFonts w:ascii="Calibri" w:hAnsi="Calibri" w:eastAsia="Calibri"/>
        </w:rPr>
        <w:t>Ключевая особенность времени: собственно eigendecomposition занимает около 0,002 с. Почти всё время факторизации расходуется на построение двух masked-наборов эмбеддингов: около 20,5 с.</w:t>
      </w:r>
    </w:p>
    <w:p>
      <w:pPr>
        <w:pStyle w:val="Heading1"/>
        <w:keepNext/>
      </w:pPr>
      <w:r>
        <w:rPr>
          <w:rFonts w:ascii="Calibri" w:hAnsi="Calibri" w:eastAsia="Calibri"/>
        </w:rPr>
        <w:t>4. Обозначения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zₙ ∈ ℝᵈ — латентное представление наблюдения; Z — матрица представлений.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Σ = Cov(Z) — ковариация полных представлений.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Vᵢ — i-е подпространство ранга rᵢ; Uᵢ — его ортонормированный базис; Pᵢ = UᵢUᵢᵀ — проектор.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K = 4 — число подпространств; d = 16 — латентная размерность.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H(p) = −Σₖ pₖ log pₖ — Shannon entropy; ‖·‖F — норма Фробениуса.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t и t−1 обозначают соседние наблюдаемые эпохи.</w:t>
      </w:r>
    </w:p>
    <w:p>
      <w:pPr>
        <w:pStyle w:val="Heading1"/>
        <w:keepNext/>
      </w:pPr>
      <w:r>
        <w:rPr>
          <w:rFonts w:ascii="Calibri" w:hAnsi="Calibri" w:eastAsia="Calibri"/>
        </w:rPr>
        <w:t>5. Определения Q1–Q20</w:t>
      </w:r>
    </w:p>
    <w:p>
      <w:pPr>
        <w:pStyle w:val="Heading2"/>
        <w:keepNext/>
      </w:pPr>
      <w:r>
        <w:rPr>
          <w:rFonts w:ascii="Calibri" w:hAnsi="Calibri" w:eastAsia="Calibri"/>
        </w:rPr>
        <w:t>5.1. Формулы и интерпретация</w:t>
      </w:r>
    </w:p>
    <w:p>
      <w:pPr>
        <w:pStyle w:val="Heading3"/>
        <w:keepNext/>
      </w:pPr>
      <w:r>
        <w:rPr>
          <w:rFonts w:ascii="Calibri" w:hAnsi="Calibri" w:eastAsia="Calibri"/>
        </w:rPr>
        <w:t>Q1 — cross-covariance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Q₁ = [Σᵢ≠ⱼ ‖UᵢᵀΣUⱼ‖F²]¹ᐟ² / (‖Σ‖F + ε).</w:t>
      </w:r>
    </w:p>
    <w:p>
      <w:r>
        <w:rPr>
          <w:rFonts w:ascii="Calibri" w:hAnsi="Calibri" w:eastAsia="Calibri"/>
        </w:rPr>
        <w:t>Нормированная энергия межподпространственных блоков ковариации; меньше означает более слабую линейную связанность.</w:t>
      </w:r>
    </w:p>
    <w:p>
      <w:pPr>
        <w:pStyle w:val="Heading3"/>
        <w:keepNext/>
      </w:pPr>
      <w:r>
        <w:rPr>
          <w:rFonts w:ascii="Calibri" w:hAnsi="Calibri" w:eastAsia="Calibri"/>
        </w:rPr>
        <w:t>Q2 — projector interaction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Q₂ = [Σᵢ≠ⱼ ‖PᵢΣPⱼ‖F²]¹ᐟ² / (‖Σ‖F + ε).</w:t>
      </w:r>
    </w:p>
    <w:p>
      <w:r>
        <w:rPr>
          <w:rFonts w:ascii="Calibri" w:hAnsi="Calibri" w:eastAsia="Calibri"/>
        </w:rPr>
        <w:t>Та же идея через проекторы. Для ортонормированных Uᵢ в данном эксперименте Q1 и Q2 численно совпадают.</w:t>
      </w:r>
    </w:p>
    <w:p>
      <w:pPr>
        <w:pStyle w:val="Heading3"/>
        <w:keepNext/>
      </w:pPr>
      <w:r>
        <w:rPr>
          <w:rFonts w:ascii="Calibri" w:hAnsi="Calibri" w:eastAsia="Calibri"/>
        </w:rPr>
        <w:t>Q3 — projector overlap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Q₃ = [Σᵢ≠ⱼ ‖UᵢᵀUⱼ‖F²]¹ᐟ².</w:t>
      </w:r>
    </w:p>
    <w:p>
      <w:r>
        <w:rPr>
          <w:rFonts w:ascii="Calibri" w:hAnsi="Calibri" w:eastAsia="Calibri"/>
        </w:rPr>
        <w:t>Проверка ортогональности полос. В используемой конструкции близка к нулю по определению.</w:t>
      </w:r>
    </w:p>
    <w:p>
      <w:pPr>
        <w:pStyle w:val="Heading3"/>
        <w:keepNext/>
      </w:pPr>
      <w:r>
        <w:rPr>
          <w:rFonts w:ascii="Calibri" w:hAnsi="Calibri" w:eastAsia="Calibri"/>
        </w:rPr>
        <w:t>Q4 — partition incompleteness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Q₄ = ‖I − ΣᵢPᵢ‖F / √d.</w:t>
      </w:r>
    </w:p>
    <w:p>
      <w:r>
        <w:rPr>
          <w:rFonts w:ascii="Calibri" w:hAnsi="Calibri" w:eastAsia="Calibri"/>
        </w:rPr>
        <w:t>Проверка полноты разбиения. При полном ортонормированном базисе близка к нулю.</w:t>
      </w:r>
    </w:p>
    <w:p>
      <w:pPr>
        <w:pStyle w:val="Heading3"/>
        <w:keepNext/>
      </w:pPr>
      <w:r>
        <w:rPr>
          <w:rFonts w:ascii="Calibri" w:hAnsi="Calibri" w:eastAsia="Calibri"/>
        </w:rPr>
        <w:t>Q5 — subspace similarity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Q₅(t) = Σᵢ (rᵢ/d) · ‖Uᵢ(t)ᵀUᵢ(t−1)‖F² / rᵢ.</w:t>
      </w:r>
    </w:p>
    <w:p>
      <w:r>
        <w:rPr>
          <w:rFonts w:ascii="Calibri" w:hAnsi="Calibri" w:eastAsia="Calibri"/>
        </w:rPr>
        <w:t>Сходство соответствующих подпространств соседних эпох; больше означает большую стабильность.</w:t>
      </w:r>
    </w:p>
    <w:p>
      <w:pPr>
        <w:pStyle w:val="Heading3"/>
        <w:keepNext/>
      </w:pPr>
      <w:r>
        <w:rPr>
          <w:rFonts w:ascii="Calibri" w:hAnsi="Calibri" w:eastAsia="Calibri"/>
        </w:rPr>
        <w:t>Q6 — subspace distance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dᵢ(t) = ‖Pᵢ(t) − Pᵢ(t−1)‖F / √(2rᵢ),   Q₆(t) = [Σᵢ (rᵢ/d)dᵢ(t)²]¹ᐟ².</w:t>
      </w:r>
    </w:p>
    <w:p>
      <w:r>
        <w:rPr>
          <w:rFonts w:ascii="Calibri" w:hAnsi="Calibri" w:eastAsia="Calibri"/>
        </w:rPr>
        <w:t>Среднее взвешенное расстояние между проекторами соседних эпох.</w:t>
      </w:r>
    </w:p>
    <w:p>
      <w:pPr>
        <w:pStyle w:val="Heading3"/>
        <w:keepNext/>
      </w:pPr>
      <w:r>
        <w:rPr>
          <w:rFonts w:ascii="Calibri" w:hAnsi="Calibri" w:eastAsia="Calibri"/>
        </w:rPr>
        <w:t>Q7 — cross-Jacobian energy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Q₇ = [Σᵢ≠ⱼ ‖PᵢJPⱼ‖F² / ‖J‖F²]¹ᐟ², усреднение по вычисленным Jacobian.</w:t>
      </w:r>
    </w:p>
    <w:p>
      <w:r>
        <w:rPr>
          <w:rFonts w:ascii="Calibri" w:hAnsi="Calibri" w:eastAsia="Calibri"/>
        </w:rPr>
        <w:t>Доля Jacobian-энергии, связывающей разные подпространства.</w:t>
      </w:r>
    </w:p>
    <w:p>
      <w:pPr>
        <w:pStyle w:val="Heading3"/>
        <w:keepNext/>
      </w:pPr>
      <w:r>
        <w:rPr>
          <w:rFonts w:ascii="Calibri" w:hAnsi="Calibri" w:eastAsia="Calibri"/>
        </w:rPr>
        <w:t>Q8 — virtual sensitivity magnitude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δₙᵢ = ‖Pᵢ(after virtual step n) − Pᵢ(before)‖F / √(2rᵢ),   Q₈ = (1/N)ΣₙΣᵢδₙᵢ.</w:t>
      </w:r>
    </w:p>
    <w:p>
      <w:r>
        <w:rPr>
          <w:rFonts w:ascii="Calibri" w:hAnsi="Calibri" w:eastAsia="Calibri"/>
        </w:rPr>
        <w:t>Насколько сильно один виртуальный gradient step изменяет факторизацию.</w:t>
      </w:r>
    </w:p>
    <w:p>
      <w:pPr>
        <w:pStyle w:val="Heading3"/>
        <w:keepNext/>
      </w:pPr>
      <w:r>
        <w:rPr>
          <w:rFonts w:ascii="Calibri" w:hAnsi="Calibri" w:eastAsia="Calibri"/>
        </w:rPr>
        <w:t>Q9 — subspace velocity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Q₉(t) = Q₆(t) / max(step(t) − step(t−1), 1).</w:t>
      </w:r>
    </w:p>
    <w:p>
      <w:r>
        <w:rPr>
          <w:rFonts w:ascii="Calibri" w:hAnsi="Calibri" w:eastAsia="Calibri"/>
        </w:rPr>
        <w:t>Расстояние Q6, нормированное на число training steps.</w:t>
      </w:r>
    </w:p>
    <w:p>
      <w:pPr>
        <w:pStyle w:val="Heading3"/>
        <w:keepNext/>
      </w:pPr>
      <w:r>
        <w:rPr>
          <w:rFonts w:ascii="Calibri" w:hAnsi="Calibri" w:eastAsia="Calibri"/>
        </w:rPr>
        <w:t>Q10 — weighted shape entropy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Cᵢ = Cov(ZUᵢ),   Sᵢ = rᵢCᵢ/tr(Cᵢ),   hᵢ = log det(Sᵢ + εI)/(2rᵢ),   Q₁₀ = Σᵢ(rᵢ/d)hᵢ.</w:t>
      </w:r>
    </w:p>
    <w:p>
      <w:r>
        <w:rPr>
          <w:rFonts w:ascii="Calibri" w:hAnsi="Calibri" w:eastAsia="Calibri"/>
        </w:rPr>
        <w:t>Лог-детерминантная мера формы распределения внутри подпространств.</w:t>
      </w:r>
    </w:p>
    <w:p>
      <w:pPr>
        <w:pStyle w:val="Heading3"/>
        <w:keepNext/>
      </w:pPr>
      <w:r>
        <w:rPr>
          <w:rFonts w:ascii="Calibri" w:hAnsi="Calibri" w:eastAsia="Calibri"/>
        </w:rPr>
        <w:t>Q11 — cross-subspace Gaussian mutual information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Iᵢⱼ = ½[log det Cᵢ + log det Cⱼ − log det Cᵢⱼ] / min(rᵢ,rⱼ),   Q₁₁ = meanᵢ&lt;ⱼ Iᵢⱼ.</w:t>
      </w:r>
    </w:p>
    <w:p>
      <w:r>
        <w:rPr>
          <w:rFonts w:ascii="Calibri" w:hAnsi="Calibri" w:eastAsia="Calibri"/>
        </w:rPr>
        <w:t>Gaussian MI между парами подпространств, нормированная на меньший rank.</w:t>
      </w:r>
    </w:p>
    <w:p>
      <w:pPr>
        <w:pStyle w:val="Heading3"/>
        <w:keepNext/>
      </w:pPr>
      <w:r>
        <w:rPr>
          <w:rFonts w:ascii="Calibri" w:hAnsi="Calibri" w:eastAsia="Calibri"/>
        </w:rPr>
        <w:t>Q12 — absolute entropy change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Q₁₂(t) = |Q₁₀(t) − Q₁₀(t−1)|.</w:t>
      </w:r>
    </w:p>
    <w:p>
      <w:r>
        <w:rPr>
          <w:rFonts w:ascii="Calibri" w:hAnsi="Calibri" w:eastAsia="Calibri"/>
        </w:rPr>
        <w:t>Абсолютное изменение Q10 между соседними эпохами.</w:t>
      </w:r>
    </w:p>
    <w:p>
      <w:pPr>
        <w:pStyle w:val="Heading3"/>
        <w:keepNext/>
      </w:pPr>
      <w:r>
        <w:rPr>
          <w:rFonts w:ascii="Calibri" w:hAnsi="Calibri" w:eastAsia="Calibri"/>
        </w:rPr>
        <w:t>Q13 — realized surprise locality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pᵢ = dᵢ/Σⱼdⱼ,   Q₁₃ = 1 − H(p)/log K.</w:t>
      </w:r>
    </w:p>
    <w:p>
      <w:r>
        <w:rPr>
          <w:rFonts w:ascii="Calibri" w:hAnsi="Calibri" w:eastAsia="Calibri"/>
        </w:rPr>
        <w:t>Насколько изменение факторизации сосредоточено в небольшом числе подпространств.</w:t>
      </w:r>
    </w:p>
    <w:p>
      <w:pPr>
        <w:pStyle w:val="Heading3"/>
        <w:keepNext/>
      </w:pPr>
      <w:r>
        <w:rPr>
          <w:rFonts w:ascii="Calibri" w:hAnsi="Calibri" w:eastAsia="Calibri"/>
        </w:rPr>
        <w:t>Q14 — gradient locality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pᵢ = ‖GUᵢ‖F²/‖G‖F²,   Q₁₄ = 1 − H(p)/log K.</w:t>
      </w:r>
    </w:p>
    <w:p>
      <w:r>
        <w:rPr>
          <w:rFonts w:ascii="Calibri" w:hAnsi="Calibri" w:eastAsia="Calibri"/>
        </w:rPr>
        <w:t>Локальность энергии градиента G = ∂L/∂z по подпространствам.</w:t>
      </w:r>
    </w:p>
    <w:p>
      <w:pPr>
        <w:pStyle w:val="Heading3"/>
        <w:keepNext/>
      </w:pPr>
      <w:r>
        <w:rPr>
          <w:rFonts w:ascii="Calibri" w:hAnsi="Calibri" w:eastAsia="Calibri"/>
        </w:rPr>
        <w:t>Q15 — virtual interference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Q₁₅ = meanₙ { MSE[Zreplay(after virtual step n) − Zreplay(before)] / (MSE[Zreplay(before)] + ε) }.</w:t>
      </w:r>
    </w:p>
    <w:p>
      <w:r>
        <w:rPr>
          <w:rFonts w:ascii="Calibri" w:hAnsi="Calibri" w:eastAsia="Calibri"/>
        </w:rPr>
        <w:t>Относительное изменение replay-представлений после виртуального шага.</w:t>
      </w:r>
    </w:p>
    <w:p>
      <w:pPr>
        <w:pStyle w:val="Heading3"/>
        <w:keepNext/>
      </w:pPr>
      <w:r>
        <w:rPr>
          <w:rFonts w:ascii="Calibri" w:hAnsi="Calibri" w:eastAsia="Calibri"/>
        </w:rPr>
        <w:t>Q16 — entity consistency (supervised secondary)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Yᵃ = ZᵃUentity,   Yᵇ = ZᵇUentity,   Q₁₆ = meanₙ‖Yₙᵃ − Yₙᵇ‖₂² / (meanₙ‖Yₙᵃ‖₂² + ε).</w:t>
      </w:r>
    </w:p>
    <w:p>
      <w:r>
        <w:rPr>
          <w:rFonts w:ascii="Calibri" w:hAnsi="Calibri" w:eastAsia="Calibri"/>
        </w:rPr>
        <w:t>Стабильность координат в supervised entity-subspace при смене маски.</w:t>
      </w:r>
    </w:p>
    <w:p>
      <w:pPr>
        <w:pStyle w:val="Heading3"/>
        <w:keepNext/>
      </w:pPr>
      <w:r>
        <w:rPr>
          <w:rFonts w:ascii="Calibri" w:hAnsi="Calibri" w:eastAsia="Calibri"/>
        </w:rPr>
        <w:t>Q17 — mask transformation residual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Aₐ→ᵦ = ridge(Zfitᵃ, Zfitᵇ),   Rₐ→ᵦ = Σ‖Aₐ→ᵦZvalᵃ − Zvalᵇ‖² / Σ‖Zvalᵇ − Z̄valᵇ‖²,   Q₁₇ = ½(Rₐ→ᵦ + Rᵦ→ₐ).</w:t>
      </w:r>
    </w:p>
    <w:p>
      <w:r>
        <w:rPr>
          <w:rFonts w:ascii="Calibri" w:hAnsi="Calibri" w:eastAsia="Calibri"/>
        </w:rPr>
        <w:t>Насколько переход между двумя masked-представлениями описывается линейным оператором.</w:t>
      </w:r>
    </w:p>
    <w:p>
      <w:pPr>
        <w:pStyle w:val="Heading3"/>
        <w:keepNext/>
      </w:pPr>
      <w:r>
        <w:rPr>
          <w:rFonts w:ascii="Calibri" w:hAnsi="Calibri" w:eastAsia="Calibri"/>
        </w:rPr>
        <w:t>Q18 — mask perturbation concentration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Δₙ = zₙᵃ − zₙᵇ,   eₙᵢ = ‖ΔₙUᵢ‖₂²,   pₙᵢ = eₙᵢ/Σⱼeₙⱼ,   Q₁₈ = meanₙ[1 − H(pₙ)/log K].</w:t>
      </w:r>
    </w:p>
    <w:p>
      <w:r>
        <w:rPr>
          <w:rFonts w:ascii="Calibri" w:hAnsi="Calibri" w:eastAsia="Calibri"/>
        </w:rPr>
        <w:t>Концентрация эффекта изменения маски в отдельных подпространствах.</w:t>
      </w:r>
    </w:p>
    <w:p>
      <w:pPr>
        <w:pStyle w:val="Heading3"/>
        <w:keepNext/>
      </w:pPr>
      <w:r>
        <w:rPr>
          <w:rFonts w:ascii="Calibri" w:hAnsi="Calibri" w:eastAsia="Calibri"/>
        </w:rPr>
        <w:t>Q19a — normalized Jacobian effective rank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pₖ = σₖ(J)²/Σₗσₗ(J)²,   Q₁₉ₐ = exp[H(p)] / min(rows(J), cols(J)).</w:t>
      </w:r>
    </w:p>
    <w:p>
      <w:r>
        <w:rPr>
          <w:rFonts w:ascii="Calibri" w:hAnsi="Calibri" w:eastAsia="Calibri"/>
        </w:rPr>
        <w:t>Эффективный rank Jacobian, нормированный в диапазон примерно [0,1].</w:t>
      </w:r>
    </w:p>
    <w:p>
      <w:pPr>
        <w:pStyle w:val="Heading3"/>
        <w:keepNext/>
      </w:pPr>
      <w:r>
        <w:rPr>
          <w:rFonts w:ascii="Calibri" w:hAnsi="Calibri" w:eastAsia="Calibri"/>
        </w:rPr>
        <w:t>Q19b — Jacobian density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Q₁₉ᵦ = #( |Jab| &gt; 10⁻³·max|J| ) / #(всех элементов J).</w:t>
      </w:r>
    </w:p>
    <w:p>
      <w:r>
        <w:rPr>
          <w:rFonts w:ascii="Calibri" w:hAnsi="Calibri" w:eastAsia="Calibri"/>
        </w:rPr>
        <w:t>Доля элементов Jacobian выше относительного порога 10⁻³.</w:t>
      </w:r>
    </w:p>
    <w:p>
      <w:pPr>
        <w:pStyle w:val="Heading3"/>
        <w:keepNext/>
      </w:pPr>
      <w:r>
        <w:rPr>
          <w:rFonts w:ascii="Calibri" w:hAnsi="Calibri" w:eastAsia="Calibri"/>
        </w:rPr>
        <w:t>Q20 — reconstruction NMSE</w:t>
      </w:r>
    </w:p>
    <w:p>
      <w:pPr>
        <w:keepLines/>
        <w:spacing w:before="40" w:after="120" w:line="240" w:lineRule="auto"/>
        <w:ind w:left="115" w:right="115"/>
        <w:jc w:val="center"/>
        <w:shd w:fill="F4F6F9"/>
        <w:pBdr>
          <w:top w:val="single" w:sz="4" w:space="4" w:color="DADCE0"/>
          <w:left w:val="single" w:sz="4" w:space="4" w:color="DADCE0"/>
          <w:bottom w:val="single" w:sz="4" w:space="4" w:color="DADCE0"/>
          <w:right w:val="single" w:sz="4" w:space="4" w:color="DADCE0"/>
        </w:pBdr>
      </w:pPr>
      <w:r>
        <w:rPr>
          <w:rFonts w:ascii="Cambria Math" w:hAnsi="Cambria Math" w:eastAsia="Cambria Math"/>
          <w:color w:val="202124"/>
          <w:sz w:val="20"/>
        </w:rPr>
        <w:t>A = ridge(Zfit, Yfit),   Q₂₀ = Σ‖AZval − Yval‖² / Σ‖Yval − Ȳval‖².</w:t>
      </w:r>
    </w:p>
    <w:p>
      <w:r>
        <w:rPr>
          <w:rFonts w:ascii="Calibri" w:hAnsi="Calibri" w:eastAsia="Calibri"/>
        </w:rPr>
        <w:t>Нормированная ошибка линейной реконструкции pooled 16×16 image targets из полного representation. Факторизация для Q20 не нужна.</w:t>
      </w:r>
    </w:p>
    <w:p>
      <w:pPr>
        <w:pStyle w:val="Heading1"/>
        <w:keepNext/>
      </w:pPr>
      <w:r>
        <w:rPr>
          <w:rFonts w:ascii="Calibri" w:hAnsi="Calibri" w:eastAsia="Calibri"/>
        </w:rPr>
        <w:t>6. Корреляции с accuracy и JEPA loss</w:t>
      </w:r>
    </w:p>
    <w:p>
      <w:r>
        <w:rPr>
          <w:rFonts w:ascii="Calibri" w:hAnsi="Calibri" w:eastAsia="Calibri"/>
        </w:rPr>
        <w:t>Для основных Q используется label-free panel; Q16 берётся из supervised panel. Pearson отражает линейную связь, Spearman — монотонную. Эпохи принадлежат одной автокоррелированной траектории, поэтому коэффициенты являются описательными, а не независимыми статистическими наблюдениями.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650"/>
        <w:gridCol w:w="650"/>
        <w:gridCol w:w="1300"/>
        <w:gridCol w:w="1300"/>
        <w:gridCol w:w="1450"/>
        <w:gridCol w:w="1300"/>
        <w:gridCol w:w="1300"/>
        <w:gridCol w:w="1410"/>
      </w:tblGrid>
      <w:tr>
        <w:trPr>
          <w:trHeight w:hRule="atLeast"/>
          <w:tblHeader w:val="true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Q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n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r acc.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ρ acc.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r Δacc.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r loss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ρ loss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r Δloss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-0.854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-0.862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-0.049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-0.631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-0.663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-0.255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Q2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-0.854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-0.862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-0.049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-0.631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-0.663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-0.255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Q3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Q4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Q5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79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+0.349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+0.658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+0.269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-0.056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+0.344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-0.559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Q6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79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-0.477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-0.658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-0.209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-0.040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-0.344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+0.439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Q7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+0.526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+0.566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+0.273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+0.335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+0.286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-0.729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Q8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76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+0.446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+0.385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+0.028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+0.089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+0.121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+0.001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Q9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79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-0.477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-0.658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-0.209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-0.040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-0.344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+0.439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Q10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+0.775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+0.849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-0.080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+0.795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+0.629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+0.200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Q11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-0.297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-0.155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-0.301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+0.552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+0.221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+0.486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Q12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79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-0.216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-0.409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-0.028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+0.032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-0.104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+0.082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Q13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79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-0.016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-0.193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+0.018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+0.098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-0.048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+0.114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Q14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+0.419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+0.369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-0.142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+0.834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+0.422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+0.546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Q15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76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+0.423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+0.866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-0.144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+0.218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+0.750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+0.016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Q16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73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+0.629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+0.662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-0.167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+0.243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+0.094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+0.074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Q17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-0.439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+0.060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+0.354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-0.983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-0.419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-0.854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Q18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-0.882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-0.899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-0.289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-0.554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-0.602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+0.833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Q19a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+0.559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+0.573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+0.058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+0.936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+0.634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+0.259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Q19b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+0.341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+0.156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-0.095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+0.806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+0.482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+0.264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Q20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85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+0.797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+0.840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+0.200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+0.370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+0.546</w:t>
            </w:r>
          </w:p>
        </w:tc>
        <w:tc>
          <w:tcPr>
            <w:tcW w:type="dxa" w:w="1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-0.386</w:t>
            </w:r>
          </w:p>
        </w:tc>
      </w:tr>
    </w:tbl>
    <w:p>
      <w:r>
        <w:rPr>
          <w:rFonts w:ascii="Calibri" w:hAnsi="Calibri" w:eastAsia="Calibri"/>
        </w:rPr>
        <w:t>Наиболее сильная абсолютная связь с accuracy наблюдалась у Q18 (r = −0,882; ρ = −0,899), Q1/Q2 (r = −0,854; ρ = −0,862), Q20 (r = +0,797; ρ = +0,840) и Q10 (r = +0,775; ρ = +0,849). При этом корреляции разностей соседних эпох существенно слабее: например, r(ΔQ20, Δaccuracy) = +0,200.</w:t>
      </w:r>
    </w:p>
    <w:p>
      <w:pPr>
        <w:keepLines/>
        <w:spacing w:before="80" w:after="0"/>
        <w:jc w:val="center"/>
      </w:pPr>
      <w:r>
        <w:rPr>
          <w:rFonts w:ascii="Calibri" w:hAnsi="Calibri" w:eastAsia="Calibri"/>
        </w:rPr>
        <w:drawing>
          <wp:inline xmlns:a="http://schemas.openxmlformats.org/drawingml/2006/main" xmlns:pic="http://schemas.openxmlformats.org/drawingml/2006/picture">
            <wp:extent cx="5715000" cy="3737966"/>
            <wp:docPr id="1" name="Picture 1" descr="Рисунок 1. Pearson и Spearman корреляции Q с classification accura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summary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</w:rPr>
        <w:t>Рисунок 1. Pearson и Spearman корреляции Q с classification accuracy.</w:t>
      </w:r>
    </w:p>
    <w:p>
      <w:pPr>
        <w:keepLines/>
        <w:spacing w:before="80" w:after="0"/>
        <w:jc w:val="center"/>
      </w:pPr>
      <w:r>
        <w:rPr>
          <w:rFonts w:ascii="Calibri" w:hAnsi="Calibri" w:eastAsia="Calibri"/>
        </w:rPr>
        <w:drawing>
          <wp:inline xmlns:a="http://schemas.openxmlformats.org/drawingml/2006/main" xmlns:pic="http://schemas.openxmlformats.org/drawingml/2006/picture">
            <wp:extent cx="5715000" cy="3737966"/>
            <wp:docPr id="2" name="Picture 2" descr="Рисунок 2. Pearson и Spearman корреляции Q с held-out JEPA lo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summary_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</w:rPr>
        <w:t>Рисунок 2. Pearson и Spearman корреляции Q с held-out JEPA loss.</w:t>
      </w:r>
    </w:p>
    <w:p>
      <w:pPr>
        <w:pStyle w:val="Heading1"/>
        <w:keepNext/>
      </w:pPr>
      <w:r>
        <w:rPr>
          <w:rFonts w:ascii="Calibri" w:hAnsi="Calibri" w:eastAsia="Calibri"/>
        </w:rPr>
        <w:t>7. Время вычисления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6000"/>
        <w:gridCol w:w="1680"/>
        <w:gridCol w:w="1680"/>
      </w:tblGrid>
      <w:tr>
        <w:trPr>
          <w:trHeight w:hRule="atLeast"/>
          <w:tblHeader w:val="true"/>
          <w:cantSplit/>
        </w:trPr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Режим/этап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Медиана, с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8"/>
              </w:rPr>
              <w:t>% от train epoch</w:t>
            </w:r>
          </w:p>
        </w:tc>
      </w:tr>
      <w:tr>
        <w:trPr>
          <w:trHeight w:hRule="atLeast"/>
          <w:cantSplit/>
        </w:trPr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Обычное обучение одной эпохи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8.332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100.00%</w:t>
            </w:r>
          </w:p>
        </w:tc>
      </w:tr>
      <w:tr>
        <w:trPr>
          <w:trHeight w:hRule="atLeast"/>
          <w:cantSplit/>
        </w:trPr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Classification accuracy — proxy-only оценка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1.076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12.91%</w:t>
            </w:r>
          </w:p>
        </w:tc>
      </w:tr>
      <w:tr>
        <w:trPr>
          <w:trHeight w:hRule="atLeast"/>
          <w:cantSplit/>
        </w:trPr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Обе eigendecomposition/factorization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0.004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0.05%</w:t>
            </w:r>
          </w:p>
        </w:tc>
      </w:tr>
      <w:tr>
        <w:trPr>
          <w:trHeight w:hRule="atLeast"/>
          <w:cantSplit/>
        </w:trPr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Все Q-диагностики текущего pipeline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33.405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400.94%</w:t>
            </w:r>
          </w:p>
        </w:tc>
      </w:tr>
      <w:tr>
        <w:trPr>
          <w:trHeight w:hRule="atLeast"/>
          <w:cantSplit/>
        </w:trPr>
        <w:tc>
          <w:tcPr>
            <w:tcW w:type="dxa" w:w="6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202124"/>
                <w:sz w:val="18"/>
              </w:rPr>
              <w:t>Полная wall-clock эпоха текущего pipeline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41.727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8"/>
              </w:rPr>
              <w:t>500.83%</w:t>
            </w:r>
          </w:p>
        </w:tc>
      </w:tr>
    </w:tbl>
    <w:p>
      <w:r>
        <w:rPr>
          <w:rFonts w:ascii="Calibri" w:hAnsi="Calibri" w:eastAsia="Calibri"/>
        </w:rPr>
        <w:t>Classification accuracy требует полных эмбеддингов 8000 train и 2000 test изображений; обучение и тестирование ridge-probe занимают около 1 мс. Полная дополнительная стоимость accuracy оценивается в 1.076 с, или 12.9% от обычной эпохи.</w:t>
      </w:r>
    </w:p>
    <w:p>
      <w:r>
        <w:rPr>
          <w:rFonts w:ascii="Calibri" w:hAnsi="Calibri" w:eastAsia="Calibri"/>
        </w:rPr>
        <w:t>Текущий online-quality evaluator eager: он всегда получает все feature banks, считает accuracy и все Q. Поэтому таблица ниже — stage-sum оценка режима, который после рефакторинга запускает только выбранную Q и необходимые ей зависимости. Сумма медиан стадий не является прямым измерением отдельного запуска и должна интерпретироваться как инженерная оценка.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0"/>
        <w:gridCol w:w="1260"/>
        <w:gridCol w:w="1300"/>
        <w:gridCol w:w="1100"/>
        <w:gridCol w:w="1270"/>
        <w:gridCol w:w="1750"/>
        <w:gridCol w:w="1750"/>
      </w:tblGrid>
      <w:tr>
        <w:trPr>
          <w:trHeight w:hRule="atLeast"/>
          <w:tblHeader w:val="true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Метрика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Доп. время, с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Замедление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Итог 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К accuracy 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Pearson acc.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202124"/>
                <w:sz w:val="15"/>
              </w:rPr>
              <w:t>Spearman acc.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Accuracy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1.076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+12.9%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1.13×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1.00×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20.614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+247.4%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3.47×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19.16×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-0.854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-0.862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20.613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+247.4%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3.47×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19.16×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-0.854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-0.862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20.504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+246.1%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3.46×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19.06×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20.504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+246.1%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3.46×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19.06×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20.504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+246.1%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3.46×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19.06×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+0.349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+0.658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20.504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+246.1%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3.46×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19.06×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-0.477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-0.658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21.343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+256.2%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3.56×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19.84×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+0.526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+0.566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Q8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21.552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+258.7%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3.59×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20.03×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+0.446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+0.385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Q9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20.504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+246.1%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3.46×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19.06×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-0.477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-0.658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Q10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20.614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+247.4%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3.47×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19.16×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+0.775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+0.849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Q11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20.615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+247.4%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3.47×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19.16×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-0.297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-0.155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Q12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20.614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+247.4%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3.47×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19.16×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-0.216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-0.409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Q13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20.505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+246.1%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3.46×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19.06×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-0.016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-0.193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Q14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20.531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+246.4%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3.46×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19.08×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+0.419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+0.369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Q15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21.552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+258.7%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3.59×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20.03×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+0.423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+0.866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Q16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5.951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+71.4%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1.71×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5.53×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+0.629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+0.662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Q17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23.139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+277.7%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3.78×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21.51×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-0.439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+0.060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Q18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23.166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+278.0%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3.78×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21.53×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-0.882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-0.899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Q19a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21.339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+256.1%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3.56×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19.84×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+0.559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+0.573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Q19b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21.339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+256.1%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3.56×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19.84×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+0.341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+0.156</w:t>
            </w:r>
          </w:p>
        </w:tc>
      </w:tr>
      <w:tr>
        <w:trPr>
          <w:trHeight w:hRule="atLeast"/>
          <w:cantSplit/>
        </w:trPr>
        <w:tc>
          <w:tcPr>
            <w:tcW w:type="dxa" w:w="9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Q20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1.123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+13.5%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1.13×</w:t>
            </w:r>
          </w:p>
        </w:tc>
        <w:tc>
          <w:tcPr>
            <w:tcW w:type="dxa" w:w="12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1.04×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+0.797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202124"/>
                <w:sz w:val="15"/>
              </w:rPr>
              <w:t>+0.840</w:t>
            </w:r>
          </w:p>
        </w:tc>
      </w:tr>
    </w:tbl>
    <w:p>
      <w:r>
        <w:rPr>
          <w:rFonts w:ascii="Calibri" w:hAnsi="Calibri" w:eastAsia="Calibri"/>
        </w:rPr>
        <w:t>Интерпретация. Сама label-free eigendecomposition занимает только 0.022% времени train epoch. Однако создание двух masked-наборов для факторизации занимает около 20,5 с. Поэтому Q1–Q15 и Q17–Q19 в текущем невекторизованном варианте существенно дороже accuracy. Q20 не требует факторизации и является единственной Q сопоставимой стоимости: примерно 1.123 с против 1.076 с для accuracy.</w:t>
      </w:r>
    </w:p>
    <w:p>
      <w:pPr>
        <w:keepLines/>
        <w:spacing w:before="80" w:after="0"/>
        <w:jc w:val="center"/>
      </w:pPr>
      <w:r>
        <w:rPr>
          <w:rFonts w:ascii="Calibri" w:hAnsi="Calibri" w:eastAsia="Calibri"/>
        </w:rPr>
        <w:drawing>
          <wp:inline xmlns:a="http://schemas.openxmlformats.org/drawingml/2006/main" xmlns:pic="http://schemas.openxmlformats.org/drawingml/2006/picture">
            <wp:extent cx="5715000" cy="4729857"/>
            <wp:docPr id="3" name="Picture 3" descr="Рисунок 3. Медиана и p95 времени стадий; эпоха 1 исключена как MPS warm-u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29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</w:rPr>
        <w:t>Рисунок 3. Медиана и p95 времени стадий; эпоха 1 исключена как MPS warm-up.</w:t>
      </w:r>
    </w:p>
    <w:p>
      <w:pPr>
        <w:keepLines/>
        <w:spacing w:before="80" w:after="0"/>
        <w:jc w:val="center"/>
      </w:pPr>
      <w:r>
        <w:rPr>
          <w:rFonts w:ascii="Calibri" w:hAnsi="Calibri" w:eastAsia="Calibri"/>
        </w:rPr>
        <w:drawing>
          <wp:inline xmlns:a="http://schemas.openxmlformats.org/drawingml/2006/main" xmlns:pic="http://schemas.openxmlformats.org/drawingml/2006/picture">
            <wp:extent cx="5715000" cy="2825459"/>
            <wp:docPr id="4" name="Picture 4" descr="Рисунок 4. Изменение времени обучения и online-quality диагностики по эпоха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by_epo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2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</w:rPr>
        <w:t>Рисунок 4. Изменение времени обучения и online-quality диагностики по эпохам.</w:t>
      </w:r>
    </w:p>
    <w:p>
      <w:pPr>
        <w:pStyle w:val="Heading1"/>
        <w:keepNext/>
      </w:pPr>
      <w:r>
        <w:rPr>
          <w:rFonts w:ascii="Calibri" w:hAnsi="Calibri" w:eastAsia="Calibri"/>
        </w:rPr>
        <w:t>8. Выводы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Для задачи экономии времени classification accuracy пока выгоднее любой Q: её дополнительная стоимость около 12,9% эпохи.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Q20 — наиболее практичная label-free альтернатива по стоимости: около 13,5% эпохи, Pearson +0,797 и Spearman +0,840. Она не дешевле accuracy и слабее отслеживает изменения между соседними эпохами.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Q18 показывает наиболее сильную абсолютную связь с accuracy, но оцениваемая end-to-end стоимость примерно в 21,5 раза выше стоимости accuracy.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Q1/Q2 также сильно коррелируют с accuracy, но из-за masked factorization примерно в 19,2 раза дороже accuracy.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Q3 и Q4 являются проверками корректности ортонормированного полного разбиения и практически постоянны; использовать их как proxy accuracy нельзя.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Сильная raw-корреляция может отражать общий тренд обучения. Ни одна Q пока не продемонстрировала сильной корреляции ΔQ с Δaccuracy.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Вывод основан на одной training trajectory с фактическим model seed 0; перед выбором proxy нужны повторения на нескольких seeds.</w:t>
      </w:r>
    </w:p>
    <w:p>
      <w:pPr>
        <w:pStyle w:val="Heading1"/>
        <w:keepNext/>
      </w:pPr>
      <w:r>
        <w:rPr>
          <w:rFonts w:ascii="Calibri" w:hAnsi="Calibri" w:eastAsia="Calibri"/>
        </w:rPr>
        <w:t>9. Рекомендуемый следующий эксперимент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Реализовать lazy proxy-only evaluator: accuracy отключается, вычисляется только выбранная Q и необходимые ей feature banks.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Сначала сравнить Accuracy и Q20 в реальных изолированных прогонах, а не только по сумме медиан стадий.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Для Q1/Q10/Q18 протестировать уменьшение unlabeled_fit_bank: N = 128, 256, 512, 1024, 2048, 8000.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Векторизовать masked feature extraction: сейчас маска обрабатывается отдельным encoder-call для каждого изображения.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Для каждого бюджета измерить время, долю degenerate partitions и стабильность корреляций на нескольких seeds.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Проверять не только raw correlation, но и Δ-корреляцию, калибровочную ошибку предсказания accuracy и ранжирование checkpoint.</w:t>
      </w:r>
    </w:p>
    <w:p>
      <w:pPr>
        <w:pStyle w:val="Heading1"/>
        <w:keepNext/>
      </w:pPr>
      <w:r>
        <w:rPr>
          <w:rFonts w:ascii="Calibri" w:hAnsi="Calibri" w:eastAsia="Calibri"/>
        </w:rPr>
        <w:t>10. Ограничения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Корреляция не доказывает причинность и не гарантирует переносимость на другую архитектуру, dataset или sampling policy.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Эпохи одной траектории автокоррелированы; обычные iid p-values здесь не используются.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В данных было 345 пропусков по причине degenerate_partition и 30 no_previous_epoch; число пригодных точек различается между Q.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Proxy-only времена являются оценкой из измеренных стадий. Текущий код не выполняет отдельный lazy Q-only прогон.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Q16 использует labels и поэтому не является полностью label-free proxy.</w:t>
      </w:r>
    </w:p>
    <w:p>
      <w:pPr>
        <w:pStyle w:val="ListBullet"/>
        <w:keepLines/>
      </w:pPr>
      <w:r>
        <w:rPr>
          <w:rFonts w:ascii="Calibri" w:hAnsi="Calibri" w:eastAsia="Calibri"/>
          <w:color w:val="202124"/>
          <w:sz w:val="22"/>
        </w:rPr>
        <w:t>Q1 и Q2 в данной ортонормированной реализации численно эквивалентны.</w:t>
      </w:r>
    </w:p>
    <w:p>
      <w:r>
        <w:rPr>
          <w:rFonts w:ascii="Calibri" w:hAnsi="Calibri" w:eastAsia="Calibri"/>
        </w:rPr>
        <w:br w:type="page"/>
      </w:r>
    </w:p>
    <w:p>
      <w:pPr>
        <w:pStyle w:val="Heading1"/>
        <w:keepNext/>
      </w:pPr>
      <w:r>
        <w:rPr>
          <w:rFonts w:ascii="Calibri" w:hAnsi="Calibri" w:eastAsia="Calibri"/>
        </w:rPr>
        <w:t>Приложение A. Связь отдельных Q с accuracy</w:t>
      </w:r>
    </w:p>
    <w:p>
      <w:pPr>
        <w:keepLines/>
        <w:spacing w:before="80" w:after="0"/>
        <w:jc w:val="center"/>
      </w:pPr>
      <w:r>
        <w:rPr>
          <w:rFonts w:ascii="Calibri" w:hAnsi="Calibri" w:eastAsia="Calibri"/>
        </w:rPr>
        <w:drawing>
          <wp:inline xmlns:a="http://schemas.openxmlformats.org/drawingml/2006/main" xmlns:pic="http://schemas.openxmlformats.org/drawingml/2006/picture">
            <wp:extent cx="5806440" cy="4067377"/>
            <wp:docPr id="5" name="Picture 5" descr="Рисунок A1. Значения Q по эпохам и classification accuracy, страница 1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vs_accuracy_page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</w:rPr>
        <w:t>Рисунок A1. Значения Q по эпохам и classification accuracy, страница 1/3.</w:t>
      </w:r>
    </w:p>
    <w:p>
      <w:pPr>
        <w:keepLines/>
        <w:spacing w:before="80" w:after="0"/>
        <w:jc w:val="center"/>
      </w:pPr>
      <w:r>
        <w:rPr>
          <w:rFonts w:ascii="Calibri" w:hAnsi="Calibri" w:eastAsia="Calibri"/>
        </w:rPr>
        <w:drawing>
          <wp:inline xmlns:a="http://schemas.openxmlformats.org/drawingml/2006/main" xmlns:pic="http://schemas.openxmlformats.org/drawingml/2006/picture">
            <wp:extent cx="5806440" cy="4049722"/>
            <wp:docPr id="6" name="Picture 6" descr="Рисунок A2. Значения Q по эпохам и classification accuracy, страница 2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vs_accuracy_page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49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</w:rPr>
        <w:t>Рисунок A2. Значения Q по эпохам и classification accuracy, страница 2/3.</w:t>
      </w:r>
    </w:p>
    <w:p>
      <w:pPr>
        <w:keepLines/>
        <w:spacing w:before="80" w:after="0"/>
        <w:jc w:val="center"/>
      </w:pPr>
      <w:r>
        <w:rPr>
          <w:rFonts w:ascii="Calibri" w:hAnsi="Calibri" w:eastAsia="Calibri"/>
        </w:rPr>
        <w:drawing>
          <wp:inline xmlns:a="http://schemas.openxmlformats.org/drawingml/2006/main" xmlns:pic="http://schemas.openxmlformats.org/drawingml/2006/picture">
            <wp:extent cx="5806440" cy="4040507"/>
            <wp:docPr id="7" name="Picture 7" descr="Рисунок A3. Значения Q по эпохам и classification accuracy, страница 3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vs_accuracy_page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</w:rPr>
        <w:t>Рисунок A3. Значения Q по эпохам и classification accuracy, страница 3/3.</w:t>
      </w:r>
    </w:p>
    <w:p>
      <w:r>
        <w:rPr>
          <w:rFonts w:ascii="Calibri" w:hAnsi="Calibri" w:eastAsia="Calibri"/>
        </w:rPr>
        <w:br w:type="page"/>
      </w:r>
    </w:p>
    <w:p>
      <w:pPr>
        <w:pStyle w:val="Heading1"/>
        <w:keepNext/>
      </w:pPr>
      <w:r>
        <w:rPr>
          <w:rFonts w:ascii="Calibri" w:hAnsi="Calibri" w:eastAsia="Calibri"/>
        </w:rPr>
        <w:t>Приложение B. Связь отдельных Q с JEPA loss</w:t>
      </w:r>
    </w:p>
    <w:p>
      <w:pPr>
        <w:keepLines/>
        <w:spacing w:before="80" w:after="0"/>
        <w:jc w:val="center"/>
      </w:pPr>
      <w:r>
        <w:rPr>
          <w:rFonts w:ascii="Calibri" w:hAnsi="Calibri" w:eastAsia="Calibri"/>
        </w:rPr>
        <w:drawing>
          <wp:inline xmlns:a="http://schemas.openxmlformats.org/drawingml/2006/main" xmlns:pic="http://schemas.openxmlformats.org/drawingml/2006/picture">
            <wp:extent cx="5806440" cy="4067377"/>
            <wp:docPr id="8" name="Picture 8" descr="Рисунок B1. Значения Q по эпохам и held-out JEPA loss, страница 1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vs_loss_page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</w:rPr>
        <w:t>Рисунок B1. Значения Q по эпохам и held-out JEPA loss, страница 1/3.</w:t>
      </w:r>
    </w:p>
    <w:p>
      <w:pPr>
        <w:keepLines/>
        <w:spacing w:before="80" w:after="0"/>
        <w:jc w:val="center"/>
      </w:pPr>
      <w:r>
        <w:rPr>
          <w:rFonts w:ascii="Calibri" w:hAnsi="Calibri" w:eastAsia="Calibri"/>
        </w:rPr>
        <w:drawing>
          <wp:inline xmlns:a="http://schemas.openxmlformats.org/drawingml/2006/main" xmlns:pic="http://schemas.openxmlformats.org/drawingml/2006/picture">
            <wp:extent cx="5806440" cy="4049722"/>
            <wp:docPr id="9" name="Picture 9" descr="Рисунок B2. Значения Q по эпохам и held-out JEPA loss, страница 2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vs_loss_page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49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</w:rPr>
        <w:t>Рисунок B2. Значения Q по эпохам и held-out JEPA loss, страница 2/3.</w:t>
      </w:r>
    </w:p>
    <w:p>
      <w:pPr>
        <w:keepLines/>
        <w:spacing w:before="80" w:after="0"/>
        <w:jc w:val="center"/>
      </w:pPr>
      <w:r>
        <w:rPr>
          <w:rFonts w:ascii="Calibri" w:hAnsi="Calibri" w:eastAsia="Calibri"/>
        </w:rPr>
        <w:drawing>
          <wp:inline xmlns:a="http://schemas.openxmlformats.org/drawingml/2006/main" xmlns:pic="http://schemas.openxmlformats.org/drawingml/2006/picture">
            <wp:extent cx="5806440" cy="4040507"/>
            <wp:docPr id="10" name="Picture 10" descr="Рисунок B3. Значения Q по эпохам и held-out JEPA loss, страница 3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vs_loss_page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Calibri"/>
        </w:rPr>
        <w:t>Рисунок B3. Значения Q по эпохам и held-out JEPA loss, страница 3/3.</w:t>
      </w:r>
    </w:p>
    <w:p>
      <w:pPr>
        <w:pStyle w:val="Heading1"/>
        <w:keepNext/>
      </w:pPr>
      <w:r>
        <w:rPr>
          <w:rFonts w:ascii="Calibri" w:hAnsi="Calibri" w:eastAsia="Calibri"/>
        </w:rPr>
        <w:t>Приложение C. Артефакты эксперимента</w:t>
      </w:r>
    </w:p>
    <w:p>
      <w:r>
        <w:rPr>
          <w:rFonts w:ascii="Calibri" w:hAnsi="Calibri" w:eastAsia="Calibri"/>
        </w:rPr>
        <w:t>Основные исходные артефакты: config.json; quality_split_manifest.json; records.csv/jsonl; accuracy.jsonl; checkpoint_losses.jsonl; timings.jsonl; analysis/correlations.csv; analysis/timing_summary.csv. Все графики в документе взяты из каталога online-quality/analysis.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36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color w:val="5F6368"/>
        <w:sz w:val="18"/>
      </w:rPr>
      <w:t>Shapes3D · uniform sampling · live Q diagnostics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Calibri" w:hAnsi="Calibri"/>
      <w:b/>
      <w:bCs/>
      <w:i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Эксперимент по Q-метрикам представления</dc:title>
  <dc:subject>Shapes3D, uniform sampling, live Q diagnostics</dc:subject>
  <dc:creator>JEPA experiment team</dc:creator>
  <cp:keywords/>
  <dc:description>generated by python-docx</dc:description>
  <cp:lastModifiedBy>JEPA experiment team</cp:lastModifiedBy>
  <cp:revision>1</cp:revision>
  <dcterms:created xsi:type="dcterms:W3CDTF">2013-12-23T23:15:00Z</dcterms:created>
  <dcterms:modified xsi:type="dcterms:W3CDTF">2013-12-23T23:15:00Z</dcterms:modified>
  <cp:category/>
</cp:coreProperties>
</file>