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NOTULENSI &amp; SPESIFIKASI SISTEM (HASIL MEETING ZOOM CLIENT)</w:t>
      </w:r>
    </w:p>
    <w:p>
      <w:pPr>
        <w:jc w:val="center"/>
      </w:pPr>
      <w:r>
        <w:rPr>
          <w:i/>
          <w:color w:val="718096"/>
          <w:sz w:val="22"/>
        </w:rPr>
        <w:t>Analisis Server VPS, Draf Hukum PKS UMKM, Logika Pajak PP 55/2022, &amp; Skema Potongan Bank</w:t>
      </w:r>
    </w:p>
    <w:p>
      <w:pPr>
        <w:spacing w:after="240"/>
      </w:pPr>
    </w:p>
    <w:p>
      <w:pPr>
        <w:pStyle w:val="Heading1"/>
      </w:pPr>
      <w:r>
        <w:rPr>
          <w:color w:val="2B6CB0"/>
        </w:rPr>
        <w:t>1. Analisis &amp; Perbandingan Server VPS (Biznet GIO vs Domainesia)</w:t>
      </w:r>
    </w:p>
    <w:p>
      <w:r>
        <w:t>Berikut adalah perbandingan estimasi harga dan spesifikasi server VPS untuk mendukung operasional SuperApp dan OSRM GIS Engine: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65D"/>
          </w:tcPr>
          <w:p>
            <w:r>
              <w:rPr>
                <w:b/>
                <w:color w:val="FFFFFF"/>
              </w:rPr>
              <w:t>Parameter / Fitur</w:t>
            </w:r>
          </w:p>
        </w:tc>
        <w:tc>
          <w:tcPr>
            <w:tcW w:type="dxa" w:w="3120"/>
            <w:shd w:val="clear" w:color="auto" w:fill="1A365D"/>
          </w:tcPr>
          <w:p>
            <w:r>
              <w:rPr>
                <w:b/>
                <w:color w:val="FFFFFF"/>
              </w:rPr>
              <w:t>Biznet GIO (NEO Virtual)</w:t>
            </w:r>
          </w:p>
        </w:tc>
        <w:tc>
          <w:tcPr>
            <w:tcW w:type="dxa" w:w="3120"/>
            <w:shd w:val="clear" w:color="auto" w:fill="1A365D"/>
          </w:tcPr>
          <w:p>
            <w:r>
              <w:rPr>
                <w:b/>
                <w:color w:val="FFFFFF"/>
              </w:rPr>
              <w:t>Domainesia (Cloud VPS ID)</w:t>
            </w:r>
          </w:p>
        </w:tc>
      </w:tr>
      <w:tr>
        <w:tc>
          <w:tcPr>
            <w:tcW w:type="dxa" w:w="3120"/>
            <w:shd w:val="clear" w:color="auto" w:fill="F7FAFC"/>
          </w:tcPr>
          <w:p>
            <w:r>
              <w:t>Kategori Server</w:t>
            </w:r>
          </w:p>
        </w:tc>
        <w:tc>
          <w:tcPr>
            <w:tcW w:type="dxa" w:w="3120"/>
            <w:shd w:val="clear" w:color="auto" w:fill="F7FAFC"/>
          </w:tcPr>
          <w:p>
            <w:r>
              <w:t>Enterprise Cloud Infrastructure</w:t>
            </w:r>
          </w:p>
        </w:tc>
        <w:tc>
          <w:tcPr>
            <w:tcW w:type="dxa" w:w="3120"/>
            <w:shd w:val="clear" w:color="auto" w:fill="F7FAFC"/>
          </w:tcPr>
          <w:p>
            <w:r>
              <w:t>Managed / Unmanaged Cloud VPS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t>Lokasi Datacenter</w:t>
            </w:r>
          </w:p>
        </w:tc>
        <w:tc>
          <w:tcPr>
            <w:tcW w:type="dxa" w:w="3120"/>
            <w:shd w:val="clear" w:color="auto" w:fill="FFFFFF"/>
          </w:tcPr>
          <w:p>
            <w:r>
              <w:t>Jakarta, Bogor, Bali (Tier 3)</w:t>
            </w:r>
          </w:p>
        </w:tc>
        <w:tc>
          <w:tcPr>
            <w:tcW w:type="dxa" w:w="3120"/>
            <w:shd w:val="clear" w:color="auto" w:fill="FFFFFF"/>
          </w:tcPr>
          <w:p>
            <w:r>
              <w:t>Jakarta (IIX - OpenIXP)</w:t>
            </w:r>
          </w:p>
        </w:tc>
      </w:tr>
      <w:tr>
        <w:tc>
          <w:tcPr>
            <w:tcW w:type="dxa" w:w="3120"/>
            <w:shd w:val="clear" w:color="auto" w:fill="F7FAFC"/>
          </w:tcPr>
          <w:p>
            <w:r>
              <w:t>Bandwidth &amp; Latensi</w:t>
            </w:r>
          </w:p>
        </w:tc>
        <w:tc>
          <w:tcPr>
            <w:tcW w:type="dxa" w:w="3120"/>
            <w:shd w:val="clear" w:color="auto" w:fill="F7FAFC"/>
          </w:tcPr>
          <w:p>
            <w:r>
              <w:t>Up to 10 Gbps IIX, Latensi &lt; 5ms</w:t>
            </w:r>
          </w:p>
        </w:tc>
        <w:tc>
          <w:tcPr>
            <w:tcW w:type="dxa" w:w="3120"/>
            <w:shd w:val="clear" w:color="auto" w:fill="F7FAFC"/>
          </w:tcPr>
          <w:p>
            <w:r>
              <w:t>Unmetered IIX, Shared 1 Gbps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t>Keandalan / SLA</w:t>
            </w:r>
          </w:p>
        </w:tc>
        <w:tc>
          <w:tcPr>
            <w:tcW w:type="dxa" w:w="3120"/>
            <w:shd w:val="clear" w:color="auto" w:fill="FFFFFF"/>
          </w:tcPr>
          <w:p>
            <w:r>
              <w:t>99.9% SLA (Sangat stabil)</w:t>
            </w:r>
          </w:p>
        </w:tc>
        <w:tc>
          <w:tcPr>
            <w:tcW w:type="dxa" w:w="3120"/>
            <w:shd w:val="clear" w:color="auto" w:fill="FFFFFF"/>
          </w:tcPr>
          <w:p>
            <w:r>
              <w:t>99.9% SLA</w:t>
            </w:r>
          </w:p>
        </w:tc>
      </w:tr>
      <w:tr>
        <w:tc>
          <w:tcPr>
            <w:tcW w:type="dxa" w:w="3120"/>
            <w:shd w:val="clear" w:color="auto" w:fill="F7FAFC"/>
          </w:tcPr>
          <w:p>
            <w:r>
              <w:t>Harga Bulanan (Estimasi)</w:t>
            </w:r>
          </w:p>
        </w:tc>
        <w:tc>
          <w:tcPr>
            <w:tcW w:type="dxa" w:w="3120"/>
            <w:shd w:val="clear" w:color="auto" w:fill="F7FAFC"/>
          </w:tcPr>
          <w:p>
            <w:r>
              <w:t>Rp 180.000 – Rp 280.000 / bulan</w:t>
            </w:r>
          </w:p>
        </w:tc>
        <w:tc>
          <w:tcPr>
            <w:tcW w:type="dxa" w:w="3120"/>
            <w:shd w:val="clear" w:color="auto" w:fill="F7FAFC"/>
          </w:tcPr>
          <w:p>
            <w:r>
              <w:t>Rp 135.000 – Rp 220.000 / bulan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t>Harga Tahunan (Estimasi)</w:t>
            </w:r>
          </w:p>
        </w:tc>
        <w:tc>
          <w:tcPr>
            <w:tcW w:type="dxa" w:w="3120"/>
            <w:shd w:val="clear" w:color="auto" w:fill="FFFFFF"/>
          </w:tcPr>
          <w:p>
            <w:r>
              <w:t>Rp 1.950.000 – Rp 3.000.000 / tahun</w:t>
            </w:r>
          </w:p>
        </w:tc>
        <w:tc>
          <w:tcPr>
            <w:tcW w:type="dxa" w:w="3120"/>
            <w:shd w:val="clear" w:color="auto" w:fill="FFFFFF"/>
          </w:tcPr>
          <w:p>
            <w:r>
              <w:t>Rp 1.450.000 – Rp 2.300.000 / tahun</w:t>
            </w:r>
          </w:p>
        </w:tc>
      </w:tr>
    </w:tbl>
    <w:p>
      <w:pPr>
        <w:spacing w:after="160"/>
      </w:pPr>
    </w:p>
    <w:p>
      <w:r>
        <w:rPr>
          <w:b/>
        </w:rPr>
        <w:t xml:space="preserve">Rekomendasi Infrastructure: </w:t>
      </w:r>
      <w:r>
        <w:t>Biznet GIO direkomendasikan sebagai Core Server utama SuperApp karena keunggulan latensi lokal ultra-rendah di Indonesia. GCP (billing Google Pay) dapat difungsikan untuk Staging / Backup server di Jakarta.</w:t>
      </w:r>
    </w:p>
    <w:p>
      <w:pPr>
        <w:pStyle w:val="Heading1"/>
      </w:pPr>
      <w:r>
        <w:rPr>
          <w:color w:val="2B6CB0"/>
        </w:rPr>
        <w:t>2. Draf Perjanjian Kerja Sama (PKS) Mitra UMKM</w:t>
      </w:r>
    </w:p>
    <w:p>
      <w:r>
        <w:t>Logo aplikasi telah tersedia. Berikut draf pasal utama PKS Mitra UMKM:</w:t>
      </w:r>
    </w:p>
    <w:p>
      <w:r>
        <w:rPr>
          <w:rFonts w:ascii="Consolas" w:hAnsi="Consolas"/>
          <w:sz w:val="19"/>
        </w:rPr>
        <w:br/>
        <w:t>PERJANJIAN KERJA SAMA (PKS) MITRA UMKM</w:t>
        <w:br/>
        <w:br/>
        <w:t>PASAL 1: RUANG LINGKUP KERJA SAMA</w:t>
        <w:br/>
        <w:t>Pihak I menyediakan platform digital pemesanan &amp; pembayaran, Pihak II menyediakan produk/jasa yang dijual kepada konsumen.</w:t>
        <w:br/>
        <w:br/>
        <w:t>PASAL 2: HAK DAN KEWAJIBAN PERPAJAKAN (PP 55/2022 &amp; PMK 164/2023)</w:t>
        <w:br/>
        <w:t>1. Pihak II (Mitra UMKM) bertindak sebagai Wajib Pajak Mandiri.</w:t>
        <w:br/>
        <w:t>2. Pihak II bertanggung jawab penuh atas perhitungan, pelaporan, dan penyetoran PPh Final 0.5% sesuai undang-undang.</w:t>
        <w:br/>
        <w:t>3. Pihak I menyajikan Invoice &amp; Rekapitulasi Laporan Penjualan (Omzet) bulanan di Dashboard Mitra.</w:t>
        <w:br/>
        <w:br/>
        <w:t>PASAL 3: PEMOTONGAN BIAYA LAYANAN &amp; ANGSURAN</w:t>
        <w:br/>
        <w:t>1. Pihak I memotong komisi platform dari setiap transaksi sukses.</w:t>
        <w:br/>
        <w:t>2. Fasilitas pinjaman dari Lembaga Perbankan Mitra diproses secara langsung oleh Pihak Bank (Direct Bank Settlement).</w:t>
        <w:br/>
      </w:r>
    </w:p>
    <w:p>
      <w:pPr>
        <w:pStyle w:val="Heading1"/>
      </w:pPr>
      <w:r>
        <w:rPr>
          <w:color w:val="2B6CB0"/>
        </w:rPr>
        <w:t>3. Logika Batas Pajak UMKM (PP 55/2022 &gt; Rp 500 Juta)</w:t>
      </w:r>
    </w:p>
    <w:p>
      <w:r>
        <w:t>Sesuai PP No. 55 Tahun 2022, peredaran bruto akumulasi Orang Pribadi UMKM s.d. Rp 500.000.000 / tahun BEBAS PPh Final. Kelebihannya dikenakan PPh Final 0.5% disetor sendiri.</w:t>
      </w:r>
    </w:p>
    <w:p>
      <w:pPr>
        <w:pStyle w:val="ListBullet"/>
      </w:pPr>
      <w:r>
        <w:t>Workflow Sistem (Sambil Berjalan):</w:t>
      </w:r>
    </w:p>
    <w:p>
      <w:pPr>
        <w:pStyle w:val="ListBullet"/>
      </w:pPr>
      <w:r>
        <w:t>1. Yearly Accumulative Tracker: Pencatatan total omzet per tahun kalender di backend.</w:t>
      </w:r>
    </w:p>
    <w:p>
      <w:pPr>
        <w:pStyle w:val="ListBullet"/>
      </w:pPr>
      <w:r>
        <w:t>2. Warning Alert 80% (Rp 400 Juta): Notifikasi sistem saat mendekati ambang batas.</w:t>
      </w:r>
    </w:p>
    <w:p>
      <w:pPr>
        <w:pStyle w:val="ListBullet"/>
      </w:pPr>
      <w:r>
        <w:t>3. Trigger Pajak Aktif (&gt; Rp 500 Juta): Notifikasi &amp; penerbitan Invoice Rekap Pajak PPh Final 0.5% beserta panduan setor mandiri ke DJP Online.</w:t>
      </w:r>
    </w:p>
    <w:p>
      <w:pPr>
        <w:pStyle w:val="Heading1"/>
      </w:pPr>
      <w:r>
        <w:rPr>
          <w:color w:val="2B6CB0"/>
        </w:rPr>
        <w:t>4. Arsitektur Pemotongan Pinjaman Perbankan</w:t>
      </w:r>
    </w:p>
    <w:p>
      <w:r>
        <w:t>Keputusan Zoom: 'Jika Merchant ke Bank aja ya Pak'</w:t>
      </w:r>
    </w:p>
    <w:p>
      <w:r>
        <w:t>• Direct Bank Settlement: Pemotongan angsuran pinjaman TIDAK dilakukan di wallet platform.</w:t>
      </w:r>
    </w:p>
    <w:p>
      <w:r>
        <w:t>• Platform mentransfer dana hasil penjualan bersih (setelah komisi platform) ke rekening bank merchant.</w:t>
      </w:r>
    </w:p>
    <w:p>
      <w:r>
        <w:t>• Pihak Partner Bank melakukan auto-debit angsuran secara langsung dari rekening bank merchant.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