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Nzev"/>
      </w:pPr>
      <w:r>
        <w:t xml:space="preserve">Odpovědnost za škodu v judikatuře</w:t>
      </w:r>
    </w:p>
    <w:p>
      <w:pPr>
        <w:pStyle w:val="Autor"/>
      </w:pPr>
      <w:r>
        <w:t xml:space="preserve">JUDr. Jan Novák, Ph.D.</w:t>
      </w:r>
    </w:p>
    <w:p>
      <w:pPr>
        <w:pStyle w:val="MujNadpis1"/>
      </w:pPr>
      <w:r>
        <w:t xml:space="preserve">1. Úvod</w:t>
      </w:r>
    </w:p>
    <w:p>
      <w:r>
        <w:t xml:space="preserve">Nejvyšší soud dovodil odpovědnost</w:t>
      </w:r>
      <w:r>
        <w:rPr>
          <w:rStyle w:val="Znakapoznpodarou"/>
        </w:rPr>
        <w:footnoteReference w:id="2"/>
      </w:r>
      <w:r>
        <w:t xml:space="preserve"> i tehdy, je-li škoda způsobena jinak</w:t>
      </w:r>
      <w:r>
        <w:rPr>
          <w:rStyle w:val="Odkaznavysvtlivky"/>
        </w:rPr>
        <w:endnoteReference w:id="2"/>
      </w:r>
      <w:r>
        <w:t xml:space="preserve">, a to s odkazem na doktrínu.</w:t>
      </w:r>
      <w:r>
        <w:rPr>
          <w:rStyle w:val="Znakapoznpodarou"/>
        </w:rPr>
        <w:footnoteReference w:id="5"/>
      </w:r>
    </w:p>
    <w:p>
      <w:pPr>
        <w:pStyle w:val="MujNadpis2"/>
      </w:pPr>
      <w:r>
        <w:t xml:space="preserve">2. Judikatura</w:t>
      </w:r>
      <w:r>
        <w:rPr>
          <w:rStyle w:val="Znakapoznpodarou"/>
        </w:rPr>
        <w:footnoteReference w:id="7"/>
      </w:r>
    </w:p>
    <w:tbl>
      <w:tblPr>
        <w:tblW w:w="0" w:type="auto"/>
      </w:tblPr>
      <w:tr>
        <w:tc>
          <w:p>
            <w:r>
              <w:t xml:space="preserve">Soud</w:t>
            </w:r>
          </w:p>
        </w:tc>
        <w:tc>
          <w:p>
            <w:r>
              <w:t xml:space="preserve">Sp. zn.</w:t>
            </w:r>
          </w:p>
        </w:tc>
        <w:tc>
          <w:p>
            <w:r>
              <w:t xml:space="preserve">Závěr</w:t>
            </w:r>
          </w:p>
        </w:tc>
      </w:tr>
      <w:tr>
        <w:tc>
          <w:p>
            <w:r>
              <w:t xml:space="preserve">NSS</w:t>
            </w:r>
          </w:p>
        </w:tc>
        <w:tc>
          <w:p>
            <w:r>
              <w:t xml:space="preserve">4 As 12/2019</w:t>
            </w:r>
            <w:r>
              <w:rPr>
                <w:rStyle w:val="Znakapoznpodarou"/>
              </w:rPr>
              <w:footnoteReference w:id="9"/>
            </w:r>
          </w:p>
        </w:tc>
        <w:tc>
          <w:p>
            <w:r>
              <w:t xml:space="preserve">zamítnuto</w:t>
            </w:r>
          </w:p>
        </w:tc>
      </w:tr>
      <w:tr>
        <w:tc>
          <w:tcPr>
            <w:gridSpan w:val="2"/>
          </w:tcPr>
          <w:p>
            <w:r>
              <w:t xml:space="preserve">Shrnutí přes dva sloupce</w:t>
            </w:r>
          </w:p>
        </w:tc>
        <w:tc>
          <w:p>
            <w:r>
              <w:t xml:space="preserve">—</w:t>
            </w:r>
          </w:p>
        </w:tc>
      </w:tr>
    </w:tbl>
    <w:p>
      <w:r>
        <w:t xml:space="preserve">Druhá vysvětlivka</w:t>
      </w:r>
      <w:r>
        <w:rPr>
          <w:rStyle w:val="Odkaznavysvtlivky"/>
        </w:rPr>
        <w:endnoteReference w:id="3"/>
      </w:r>
      <w:r>
        <w:t xml:space="preserve"> a text za ní.</w:t>
      </w:r>
    </w:p>
    <w:p>
      <w:pPr>
        <w:pStyle w:val="Nadpis2"/>
      </w:pPr>
      <w:r>
        <w:t xml:space="preserve">3. Závěr</w:t>
      </w:r>
    </w:p>
    <w:p>
      <w:r>
        <w:t xml:space="preserve">Závěrem lze shrnout</w:t>
      </w:r>
      <w:r>
        <w:rPr>
          <w:rStyle w:val="Znakapoznpodarou"/>
        </w:rPr>
        <w:footnoteReference w:id="11"/>
      </w:r>
      <w:r>
        <w:t xml:space="preserve">.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pPr>
        <w:pStyle w:val="Textvysvtlivek"/>
      </w:pPr>
      <w:r>
        <w:rPr>
          <w:rStyle w:val="Znakapoznpodarou"/>
        </w:rPr>
        <w:endnoteRef/>
      </w:r>
      <w:r>
        <w:t xml:space="preserve"> Vysvětlivka první.</w:t>
      </w:r>
    </w:p>
  </w:endnote>
  <w:endnote w:id="3">
    <w:p>
      <w:pPr>
        <w:pStyle w:val="Textvysvtlivek"/>
      </w:pPr>
      <w:r>
        <w:rPr>
          <w:rStyle w:val="Znakapoznpodarou"/>
        </w:rPr>
        <w:endnoteRef/>
      </w:r>
      <w:r>
        <w:t xml:space="preserve"> Vysvětlivka druhá.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Textpoznpodarou"/>
      </w:pPr>
      <w:r>
        <w:rPr>
          <w:rStyle w:val="Znakapoznpodarou"/>
        </w:rPr>
        <w:footnoteRef/>
      </w:r>
      <w:r>
        <w:t xml:space="preserve"> Srov. rozsudek NS ze dne 12. 3. 2019, sp. zn. 25 Cdo 1234/2019.</w:t>
      </w:r>
    </w:p>
  </w:footnote>
  <w:footnote w:id="5">
    <w:p>
      <w:pPr>
        <w:pStyle w:val="Textpoznpodarou"/>
      </w:pPr>
      <w:r>
        <w:rPr>
          <w:rStyle w:val="Znakapoznpodarou"/>
        </w:rPr>
        <w:footnoteRef/>
      </w:r>
      <w:r>
        <w:t xml:space="preserve"> MELZER, F. In: PETROV, J. a kol. Občanský zákoník. Komentář. 2. vyd. Praha: C. H. Beck, 2019.</w:t>
      </w:r>
    </w:p>
    <w:p>
      <w:pPr>
        <w:pStyle w:val="Textpoznpodarou"/>
      </w:pPr>
      <w:r>
        <w:t xml:space="preserve">Shodně též nález ÚS sp. zn. II. ÚS 1234/20.</w:t>
      </w:r>
    </w:p>
  </w:footnote>
  <w:footnote w:id="7">
    <w:p>
      <w:pPr>
        <w:pStyle w:val="Textpoznpodarou"/>
      </w:pPr>
      <w:r>
        <w:rPr>
          <w:rStyle w:val="Znakapoznpodarou"/>
        </w:rPr>
        <w:footnoteRef/>
      </w:r>
      <w:r>
        <w:t xml:space="preserve"> Poznámka v nadpisu.</w:t>
      </w:r>
    </w:p>
  </w:footnote>
  <w:footnote w:id="9">
    <w:p>
      <w:pPr>
        <w:pStyle w:val="Textpoznpodarou"/>
      </w:pPr>
      <w:r>
        <w:rPr>
          <w:rStyle w:val="Znakapoznpodarou"/>
        </w:rPr>
        <w:footnoteRef/>
      </w:r>
      <w:r>
        <w:t xml:space="preserve"> Viz rozhodnutí NSS 4 As 12/2019-45.</w:t>
      </w:r>
    </w:p>
  </w:footnote>
  <w:footnote w:id="11">
    <w:p>
      <w:pPr>
        <w:pStyle w:val="Textpoznpodarou"/>
      </w:pPr>
      <w:r>
        <w:rPr>
          <w:rStyle w:val="Znakapoznpodarou"/>
        </w:rPr>
        <w:footnoteRef/>
      </w:r>
      <w:r>
        <w:t xml:space="preserve"> Viz text [s. 12] a [^9]: tamtéž.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style w:type="paragraph" w:default="1" w:styleId="Normln">
    <w:name w:val="Normal"/>
  </w:style>
  <w:style w:type="paragraph" w:styleId="Nzev">
    <w:name w:val="Title"/>
    <w:basedOn w:val="Normln"/>
  </w:style>
  <w:style w:type="paragraph" w:styleId="Nadpis1">
    <w:name w:val="heading 1"/>
    <w:basedOn w:val="Normln"/>
  </w:style>
  <w:style w:type="paragraph" w:styleId="Nadpis2">
    <w:name w:val="heading 2"/>
    <w:basedOn w:val="Normln"/>
  </w:style>
  <w:style w:type="paragraph" w:styleId="Textpoznpodarou">
    <w:name w:val="footnote text"/>
  </w:style>
  <w:style w:type="character" w:styleId="Znakapoznpodarou">
    <w:name w:val="footnote reference"/>
  </w:style>
  <w:style w:type="paragraph" w:styleId="Textvysvtlivek">
    <w:name w:val="endnote text"/>
  </w:style>
  <w:style w:type="character" w:styleId="Odkaznavysvtlivky">
    <w:name w:val="endnote reference"/>
  </w:style>
  <w:style w:type="paragraph" w:styleId="Odstavecseseznamem">
    <w:name w:val="List Paragraph"/>
  </w:style>
  <w:style w:type="paragraph" w:customStyle="1" w:styleId="MujNadpis1">
    <w:name w:val="Nadpis 1"/>
  </w:style>
  <w:style w:type="paragraph" w:customStyle="1" w:styleId="MujNadpis2">
    <w:name w:val="Nadpis 2"/>
  </w:style>
  <w:style w:type="paragraph" w:customStyle="1" w:styleId="Autor">
    <w:name w:val="Autor článku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/Relationships>
</file>