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AA9AD" w14:textId="0D4E3E67" w:rsidR="000A5EDC" w:rsidRDefault="000A5EDC" w:rsidP="000A5EDC">
      <w:pPr>
        <w:jc w:val="center"/>
        <w:rPr>
          <w:rFonts w:ascii="Times New Roman" w:eastAsia="Times New Roman" w:hAnsi="Times New Roman" w:cs="Times New Roman"/>
          <w:color w:val="000000" w:themeColor="text1"/>
          <w:sz w:val="28"/>
          <w:szCs w:val="28"/>
        </w:rPr>
      </w:pPr>
      <w:r w:rsidRPr="0606C325">
        <w:rPr>
          <w:rFonts w:ascii="Times New Roman" w:eastAsia="Times New Roman" w:hAnsi="Times New Roman" w:cs="Times New Roman"/>
          <w:color w:val="000000" w:themeColor="text1"/>
          <w:sz w:val="28"/>
          <w:szCs w:val="28"/>
        </w:rPr>
        <w:t xml:space="preserve">CIVE </w:t>
      </w:r>
      <w:r>
        <w:rPr>
          <w:rFonts w:ascii="Times New Roman" w:eastAsia="Times New Roman" w:hAnsi="Times New Roman" w:cs="Times New Roman"/>
          <w:color w:val="000000" w:themeColor="text1"/>
          <w:sz w:val="28"/>
          <w:szCs w:val="28"/>
        </w:rPr>
        <w:t>202</w:t>
      </w:r>
    </w:p>
    <w:p w14:paraId="2B1C4E1E" w14:textId="77777777" w:rsidR="000A5EDC" w:rsidRDefault="000A5EDC" w:rsidP="000A5EDC">
      <w:pPr>
        <w:jc w:val="center"/>
        <w:rPr>
          <w:rFonts w:ascii="Times New Roman" w:eastAsia="Times New Roman" w:hAnsi="Times New Roman" w:cs="Times New Roman"/>
          <w:color w:val="000000" w:themeColor="text1"/>
        </w:rPr>
      </w:pPr>
    </w:p>
    <w:p w14:paraId="77EDA538" w14:textId="77777777" w:rsidR="000A5EDC" w:rsidRDefault="000A5EDC" w:rsidP="000A5EDC">
      <w:pPr>
        <w:jc w:val="center"/>
        <w:rPr>
          <w:rFonts w:ascii="Times New Roman" w:eastAsia="Times New Roman" w:hAnsi="Times New Roman" w:cs="Times New Roman"/>
          <w:color w:val="000000" w:themeColor="text1"/>
        </w:rPr>
      </w:pPr>
    </w:p>
    <w:p w14:paraId="72E84AC1" w14:textId="77777777" w:rsidR="000A5EDC" w:rsidRDefault="000A5EDC" w:rsidP="000A5EDC">
      <w:pPr>
        <w:jc w:val="center"/>
        <w:rPr>
          <w:rFonts w:ascii="Times New Roman" w:eastAsia="Times New Roman" w:hAnsi="Times New Roman" w:cs="Times New Roman"/>
          <w:color w:val="000000" w:themeColor="text1"/>
        </w:rPr>
      </w:pPr>
    </w:p>
    <w:p w14:paraId="5488C03A" w14:textId="77777777" w:rsidR="000A5EDC" w:rsidRDefault="000A5EDC" w:rsidP="000A5EDC">
      <w:pPr>
        <w:jc w:val="center"/>
        <w:rPr>
          <w:rFonts w:ascii="Times New Roman" w:eastAsia="Times New Roman" w:hAnsi="Times New Roman" w:cs="Times New Roman"/>
          <w:color w:val="000000" w:themeColor="text1"/>
        </w:rPr>
      </w:pPr>
    </w:p>
    <w:p w14:paraId="1D43637D" w14:textId="77777777" w:rsidR="000A5EDC" w:rsidRDefault="000A5EDC" w:rsidP="000A5EDC">
      <w:pPr>
        <w:jc w:val="center"/>
        <w:rPr>
          <w:rFonts w:ascii="Times New Roman" w:eastAsia="Times New Roman" w:hAnsi="Times New Roman" w:cs="Times New Roman"/>
          <w:color w:val="000000" w:themeColor="text1"/>
        </w:rPr>
      </w:pPr>
    </w:p>
    <w:p w14:paraId="3D4C73E6" w14:textId="77777777" w:rsidR="000A5EDC" w:rsidRDefault="000A5EDC" w:rsidP="000A5EDC">
      <w:pPr>
        <w:jc w:val="center"/>
        <w:rPr>
          <w:rFonts w:ascii="Times New Roman" w:eastAsia="Times New Roman" w:hAnsi="Times New Roman" w:cs="Times New Roman"/>
          <w:color w:val="000000" w:themeColor="text1"/>
        </w:rPr>
      </w:pPr>
    </w:p>
    <w:p w14:paraId="39070EF4" w14:textId="77777777" w:rsidR="000A5EDC" w:rsidRDefault="000A5EDC" w:rsidP="000A5EDC">
      <w:pPr>
        <w:jc w:val="center"/>
        <w:rPr>
          <w:rFonts w:ascii="Times New Roman" w:eastAsia="Times New Roman" w:hAnsi="Times New Roman" w:cs="Times New Roman"/>
          <w:color w:val="000000" w:themeColor="text1"/>
        </w:rPr>
      </w:pPr>
    </w:p>
    <w:p w14:paraId="5ED57CA8" w14:textId="77777777" w:rsidR="000A5EDC" w:rsidRDefault="000A5EDC" w:rsidP="000A5EDC">
      <w:pPr>
        <w:jc w:val="center"/>
        <w:rPr>
          <w:rFonts w:ascii="Times New Roman" w:eastAsia="Times New Roman" w:hAnsi="Times New Roman" w:cs="Times New Roman"/>
          <w:color w:val="000000" w:themeColor="text1"/>
        </w:rPr>
      </w:pPr>
    </w:p>
    <w:p w14:paraId="3F1C26F4" w14:textId="77777777" w:rsidR="000A5EDC" w:rsidRDefault="000A5EDC" w:rsidP="000A5EDC">
      <w:pPr>
        <w:jc w:val="center"/>
        <w:rPr>
          <w:rFonts w:ascii="Times New Roman" w:eastAsia="Times New Roman" w:hAnsi="Times New Roman" w:cs="Times New Roman"/>
          <w:color w:val="000000" w:themeColor="text1"/>
        </w:rPr>
      </w:pPr>
    </w:p>
    <w:p w14:paraId="03FE6A0D" w14:textId="12616AC7" w:rsidR="000A5EDC" w:rsidRDefault="000A5EDC" w:rsidP="000A5EDC">
      <w:pPr>
        <w:jc w:val="center"/>
        <w:rPr>
          <w:rFonts w:ascii="Times New Roman" w:eastAsia="Times New Roman" w:hAnsi="Times New Roman" w:cs="Times New Roman"/>
          <w:b/>
          <w:bCs/>
          <w:color w:val="000000" w:themeColor="text1"/>
          <w:sz w:val="32"/>
          <w:szCs w:val="32"/>
        </w:rPr>
      </w:pPr>
      <w:r w:rsidRPr="000A5EDC">
        <w:rPr>
          <w:rFonts w:ascii="Times New Roman" w:eastAsia="Times New Roman" w:hAnsi="Times New Roman" w:cs="Times New Roman"/>
          <w:b/>
          <w:bCs/>
          <w:color w:val="000000" w:themeColor="text1"/>
          <w:sz w:val="32"/>
          <w:szCs w:val="32"/>
        </w:rPr>
        <w:t>Automation of NDOT Concrete Mix Design Model (Project #2) </w:t>
      </w:r>
    </w:p>
    <w:p w14:paraId="7628C84B" w14:textId="1CEC9B12" w:rsidR="000A5EDC" w:rsidRDefault="000A5EDC" w:rsidP="000A5EDC">
      <w:pPr>
        <w:jc w:val="center"/>
        <w:rPr>
          <w:rFonts w:ascii="Times New Roman" w:eastAsia="Times New Roman" w:hAnsi="Times New Roman" w:cs="Times New Roman"/>
          <w:color w:val="000000" w:themeColor="text1"/>
        </w:rPr>
      </w:pPr>
      <w:r w:rsidRPr="0606C325">
        <w:rPr>
          <w:rFonts w:ascii="Times New Roman" w:eastAsia="Times New Roman" w:hAnsi="Times New Roman" w:cs="Times New Roman"/>
          <w:color w:val="000000" w:themeColor="text1"/>
          <w:sz w:val="28"/>
          <w:szCs w:val="28"/>
        </w:rPr>
        <w:t xml:space="preserve">Section </w:t>
      </w:r>
      <w:r>
        <w:rPr>
          <w:rFonts w:ascii="Times New Roman" w:eastAsia="Times New Roman" w:hAnsi="Times New Roman" w:cs="Times New Roman"/>
          <w:color w:val="000000" w:themeColor="text1"/>
          <w:sz w:val="28"/>
          <w:szCs w:val="28"/>
        </w:rPr>
        <w:t>150</w:t>
      </w:r>
    </w:p>
    <w:p w14:paraId="1598E6A6" w14:textId="77777777" w:rsidR="000A5EDC" w:rsidRDefault="000A5EDC" w:rsidP="000A5EDC">
      <w:pPr>
        <w:jc w:val="center"/>
        <w:rPr>
          <w:rFonts w:ascii="Times New Roman" w:eastAsia="Times New Roman" w:hAnsi="Times New Roman" w:cs="Times New Roman"/>
          <w:color w:val="000000" w:themeColor="text1"/>
        </w:rPr>
      </w:pPr>
    </w:p>
    <w:p w14:paraId="25D53C75" w14:textId="77777777" w:rsidR="000A5EDC" w:rsidRDefault="000A5EDC" w:rsidP="000A5EDC">
      <w:pPr>
        <w:jc w:val="center"/>
        <w:rPr>
          <w:rFonts w:ascii="Times New Roman" w:eastAsia="Times New Roman" w:hAnsi="Times New Roman" w:cs="Times New Roman"/>
          <w:color w:val="000000" w:themeColor="text1"/>
        </w:rPr>
      </w:pPr>
    </w:p>
    <w:p w14:paraId="007D194B" w14:textId="77777777" w:rsidR="000A5EDC" w:rsidRDefault="000A5EDC" w:rsidP="000A5EDC">
      <w:pPr>
        <w:jc w:val="center"/>
        <w:rPr>
          <w:rFonts w:ascii="Times New Roman" w:eastAsia="Times New Roman" w:hAnsi="Times New Roman" w:cs="Times New Roman"/>
          <w:color w:val="000000" w:themeColor="text1"/>
        </w:rPr>
      </w:pPr>
    </w:p>
    <w:p w14:paraId="5A3FFBFB" w14:textId="215B5C75" w:rsidR="000A5EDC" w:rsidRDefault="000A5EDC" w:rsidP="000A5EDC">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February 24</w:t>
      </w:r>
      <w:r>
        <w:rPr>
          <w:rFonts w:ascii="Times New Roman" w:eastAsia="Times New Roman" w:hAnsi="Times New Roman" w:cs="Times New Roman"/>
          <w:color w:val="000000" w:themeColor="text1"/>
          <w:vertAlign w:val="superscript"/>
        </w:rPr>
        <w:t>th</w:t>
      </w:r>
      <w:r w:rsidRPr="0606C325">
        <w:rPr>
          <w:rFonts w:ascii="Times New Roman" w:eastAsia="Times New Roman" w:hAnsi="Times New Roman" w:cs="Times New Roman"/>
          <w:color w:val="000000" w:themeColor="text1"/>
        </w:rPr>
        <w:t>, 2026</w:t>
      </w:r>
    </w:p>
    <w:p w14:paraId="63B2ACB1" w14:textId="77777777" w:rsidR="000A5EDC" w:rsidRDefault="000A5EDC" w:rsidP="000A5EDC">
      <w:pPr>
        <w:jc w:val="center"/>
        <w:rPr>
          <w:rFonts w:ascii="Times New Roman" w:eastAsia="Times New Roman" w:hAnsi="Times New Roman" w:cs="Times New Roman"/>
          <w:color w:val="000000" w:themeColor="text1"/>
        </w:rPr>
      </w:pPr>
    </w:p>
    <w:p w14:paraId="5897E5CE" w14:textId="77777777" w:rsidR="000A5EDC" w:rsidRDefault="000A5EDC" w:rsidP="000A5EDC">
      <w:pPr>
        <w:jc w:val="center"/>
        <w:rPr>
          <w:rFonts w:ascii="Times New Roman" w:eastAsia="Times New Roman" w:hAnsi="Times New Roman" w:cs="Times New Roman"/>
          <w:color w:val="000000" w:themeColor="text1"/>
        </w:rPr>
      </w:pPr>
    </w:p>
    <w:p w14:paraId="5657F211" w14:textId="77777777" w:rsidR="000A5EDC" w:rsidRDefault="000A5EDC" w:rsidP="000A5EDC">
      <w:pPr>
        <w:jc w:val="center"/>
        <w:rPr>
          <w:rFonts w:ascii="Times New Roman" w:eastAsia="Times New Roman" w:hAnsi="Times New Roman" w:cs="Times New Roman"/>
          <w:color w:val="000000" w:themeColor="text1"/>
        </w:rPr>
      </w:pPr>
    </w:p>
    <w:p w14:paraId="06EE550A" w14:textId="77777777" w:rsidR="000A5EDC" w:rsidRDefault="000A5EDC" w:rsidP="000A5EDC">
      <w:pPr>
        <w:jc w:val="center"/>
        <w:rPr>
          <w:rFonts w:ascii="Times New Roman" w:eastAsia="Times New Roman" w:hAnsi="Times New Roman" w:cs="Times New Roman"/>
          <w:color w:val="000000" w:themeColor="text1"/>
        </w:rPr>
      </w:pPr>
    </w:p>
    <w:p w14:paraId="00411277" w14:textId="77777777" w:rsidR="000A5EDC" w:rsidRDefault="000A5EDC" w:rsidP="000A5EDC">
      <w:pPr>
        <w:jc w:val="center"/>
        <w:rPr>
          <w:rFonts w:ascii="Times New Roman" w:eastAsia="Times New Roman" w:hAnsi="Times New Roman" w:cs="Times New Roman"/>
          <w:color w:val="000000" w:themeColor="text1"/>
        </w:rPr>
      </w:pPr>
    </w:p>
    <w:p w14:paraId="5B6E0AB0" w14:textId="77777777" w:rsidR="000A5EDC" w:rsidRDefault="000A5EDC" w:rsidP="000A5EDC">
      <w:pPr>
        <w:jc w:val="center"/>
        <w:rPr>
          <w:rFonts w:ascii="Times New Roman" w:eastAsia="Times New Roman" w:hAnsi="Times New Roman" w:cs="Times New Roman"/>
          <w:color w:val="000000" w:themeColor="text1"/>
        </w:rPr>
      </w:pPr>
    </w:p>
    <w:p w14:paraId="279CE944" w14:textId="77777777" w:rsidR="000A5EDC" w:rsidRDefault="000A5EDC" w:rsidP="000A5EDC">
      <w:pPr>
        <w:jc w:val="center"/>
        <w:rPr>
          <w:rFonts w:ascii="Times New Roman" w:eastAsia="Times New Roman" w:hAnsi="Times New Roman" w:cs="Times New Roman"/>
          <w:color w:val="000000" w:themeColor="text1"/>
        </w:rPr>
      </w:pPr>
    </w:p>
    <w:p w14:paraId="49ADAA12" w14:textId="43ABB848" w:rsidR="000A5EDC" w:rsidRDefault="000A5EDC" w:rsidP="000A5EDC">
      <w:pPr>
        <w:jc w:val="center"/>
        <w:rPr>
          <w:rFonts w:ascii="Times New Roman" w:eastAsia="Times New Roman" w:hAnsi="Times New Roman" w:cs="Times New Roman"/>
          <w:color w:val="000000" w:themeColor="text1"/>
          <w:sz w:val="28"/>
          <w:szCs w:val="28"/>
        </w:rPr>
      </w:pPr>
      <w:r w:rsidRPr="0606C325">
        <w:rPr>
          <w:rFonts w:ascii="Times New Roman" w:eastAsia="Times New Roman" w:hAnsi="Times New Roman" w:cs="Times New Roman"/>
          <w:color w:val="000000" w:themeColor="text1"/>
          <w:sz w:val="28"/>
          <w:szCs w:val="28"/>
        </w:rPr>
        <w:t>Group Members</w:t>
      </w:r>
    </w:p>
    <w:p w14:paraId="2662629C" w14:textId="0D0B2C0D" w:rsidR="000A5EDC" w:rsidRDefault="000A5EDC" w:rsidP="000A5EDC">
      <w:pPr>
        <w:jc w:val="center"/>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Rylee Renner</w:t>
      </w:r>
      <w:r w:rsidRPr="0606C325">
        <w:rPr>
          <w:rFonts w:ascii="Times New Roman" w:eastAsia="Times New Roman" w:hAnsi="Times New Roman" w:cs="Times New Roman"/>
          <w:i/>
          <w:iCs/>
          <w:color w:val="000000" w:themeColor="text1"/>
        </w:rPr>
        <w:t>,</w:t>
      </w:r>
      <w:r>
        <w:rPr>
          <w:rFonts w:ascii="Times New Roman" w:eastAsia="Times New Roman" w:hAnsi="Times New Roman" w:cs="Times New Roman"/>
          <w:i/>
          <w:iCs/>
          <w:color w:val="000000" w:themeColor="text1"/>
        </w:rPr>
        <w:t xml:space="preserve"> Dylan Dubas, Dawa Lamu Tamang</w:t>
      </w:r>
      <w:r w:rsidRPr="0606C325">
        <w:rPr>
          <w:rFonts w:ascii="Times New Roman" w:eastAsia="Times New Roman" w:hAnsi="Times New Roman" w:cs="Times New Roman"/>
          <w:i/>
          <w:iCs/>
          <w:color w:val="000000" w:themeColor="text1"/>
        </w:rPr>
        <w:t xml:space="preserve"> and Zane Smith</w:t>
      </w:r>
    </w:p>
    <w:p w14:paraId="03C4223F" w14:textId="77777777" w:rsidR="000A5EDC" w:rsidRDefault="000A5EDC" w:rsidP="000A5EDC">
      <w:pPr>
        <w:rPr>
          <w:rStyle w:val="Heading1Char"/>
          <w:rFonts w:ascii="Times New Roman" w:eastAsia="Times New Roman" w:hAnsi="Times New Roman" w:cs="Times New Roman"/>
          <w:b/>
          <w:bCs/>
          <w:color w:val="000000" w:themeColor="text1"/>
          <w:sz w:val="28"/>
          <w:szCs w:val="28"/>
        </w:rPr>
      </w:pPr>
    </w:p>
    <w:p w14:paraId="34B344D8" w14:textId="7374C6A1" w:rsidR="000A5EDC" w:rsidRDefault="000A5EDC" w:rsidP="00B4131D">
      <w:pPr>
        <w:rPr>
          <w:rFonts w:ascii="Times New Roman" w:eastAsia="Times New Roman" w:hAnsi="Times New Roman" w:cs="Times New Roman"/>
          <w:b/>
          <w:bCs/>
          <w:color w:val="000000" w:themeColor="text1"/>
          <w:sz w:val="28"/>
          <w:szCs w:val="28"/>
        </w:rPr>
      </w:pPr>
      <w:r w:rsidRPr="0606C325">
        <w:rPr>
          <w:rFonts w:ascii="Times New Roman" w:eastAsia="Times New Roman" w:hAnsi="Times New Roman" w:cs="Times New Roman"/>
          <w:b/>
          <w:bCs/>
          <w:color w:val="000000" w:themeColor="text1"/>
          <w:sz w:val="28"/>
          <w:szCs w:val="28"/>
        </w:rPr>
        <w:lastRenderedPageBreak/>
        <w:t>Introduction</w:t>
      </w:r>
    </w:p>
    <w:p w14:paraId="72221EB9" w14:textId="31A7D997" w:rsidR="00AC2A29" w:rsidRPr="00AC2A29" w:rsidRDefault="00AC2A29" w:rsidP="00AC2A29">
      <w:r w:rsidRPr="00AC2A29">
        <w:t xml:space="preserve">This project converts an Excel-based NDOT concrete mix design worksheet into a Python program that reproduces the same engineering logic in a more reliable, </w:t>
      </w:r>
      <w:r w:rsidR="001C3DD6">
        <w:t>easy-to-understand</w:t>
      </w:r>
      <w:r w:rsidRPr="00AC2A29">
        <w:t xml:space="preserve">, and repeatable format. </w:t>
      </w:r>
      <w:r w:rsidR="001C3DD6">
        <w:t xml:space="preserve">The main objective </w:t>
      </w:r>
      <w:r w:rsidRPr="00AC2A29">
        <w:t>is to automate the “Mix Design” worksheet process so a user can enter material properties and design parameters and receive a weight chart for one cubic yard of concrete, while also making the logic easier to verify and maintain than a spreadsheet-only workflow.</w:t>
      </w:r>
    </w:p>
    <w:p w14:paraId="22018AE2" w14:textId="0B0DFC30" w:rsidR="00AC2A29" w:rsidRPr="00AC2A29" w:rsidRDefault="00AC2A29" w:rsidP="00AC2A29">
      <w:r w:rsidRPr="00AC2A29">
        <w:t>The engineering context for this work is grounded in Nebraska concrete mix design practice. NDOT’s Standard Specifications define concrete classes and key mix requirements</w:t>
      </w:r>
      <w:r w:rsidR="00EF5D8B" w:rsidRPr="00520616">
        <w:t xml:space="preserve"> (</w:t>
      </w:r>
      <w:r w:rsidRPr="00AC2A29">
        <w:t xml:space="preserve">such as minimum total cementitious content, aggregate ranges, air content ranges, and maximum water-cement ratio) in Table 1002.02, including classes such as 47B, 47BD, and 47B-OL </w:t>
      </w:r>
      <w:r w:rsidR="00BF1D95">
        <w:t>(</w:t>
      </w:r>
      <w:r w:rsidR="00BA3B15">
        <w:t xml:space="preserve">NDOT, 2017). </w:t>
      </w:r>
      <w:r w:rsidRPr="00AC2A29">
        <w:t>In addition, the NDOR (Nebraska Department of Roads) aggregate gradation research report (Final Report P336) emphasizes that aggregate blending and gradation affect workability, constructability, durability, and required water/air-entraining dosage in paving mixes, which directly supports the value of a structured computational tool for proportioning and scenario comparison</w:t>
      </w:r>
      <w:r w:rsidR="00B5492C">
        <w:t xml:space="preserve"> </w:t>
      </w:r>
      <w:r w:rsidR="00842F8E" w:rsidRPr="00842F8E">
        <w:t>(Heyen et al., n.d.)</w:t>
      </w:r>
      <w:r w:rsidR="00614429">
        <w:t>.</w:t>
      </w:r>
    </w:p>
    <w:p w14:paraId="3039B454" w14:textId="32906C32" w:rsidR="00AC2A29" w:rsidRPr="00AC2A29" w:rsidRDefault="00AC2A29" w:rsidP="00AC2A29">
      <w:r w:rsidRPr="00AC2A29">
        <w:t xml:space="preserve">This </w:t>
      </w:r>
      <w:r w:rsidR="00A95EFC">
        <w:t xml:space="preserve">migration </w:t>
      </w:r>
      <w:r w:rsidRPr="00AC2A29">
        <w:t>is not just a software rewrite. It is an engineering workflow improvemen</w:t>
      </w:r>
      <w:r w:rsidR="00A95EFC">
        <w:t>t</w:t>
      </w:r>
      <w:r w:rsidR="00362265">
        <w:t>;</w:t>
      </w:r>
      <w:r w:rsidRPr="00AC2A29">
        <w:t xml:space="preserve"> the Python version preserves the original mix proportioning logic while making it more modular and easier to test for future use in a larger software tool.</w:t>
      </w:r>
    </w:p>
    <w:p w14:paraId="0D8718FD" w14:textId="77777777" w:rsidR="00B4131D" w:rsidRPr="00B4131D" w:rsidRDefault="00B4131D" w:rsidP="00B4131D"/>
    <w:p w14:paraId="5C64DA66" w14:textId="0B4B76F9" w:rsidR="000A5EDC" w:rsidRDefault="000A5EDC" w:rsidP="000A5EDC">
      <w:pPr>
        <w:pStyle w:val="Heading1"/>
        <w:rPr>
          <w:rFonts w:ascii="Times New Roman" w:eastAsia="Times New Roman" w:hAnsi="Times New Roman" w:cs="Times New Roman"/>
          <w:b/>
          <w:bCs/>
          <w:color w:val="000000" w:themeColor="text1"/>
          <w:sz w:val="28"/>
          <w:szCs w:val="28"/>
        </w:rPr>
      </w:pPr>
      <w:r w:rsidRPr="0606C325">
        <w:rPr>
          <w:rFonts w:ascii="Times New Roman" w:eastAsia="Times New Roman" w:hAnsi="Times New Roman" w:cs="Times New Roman"/>
          <w:b/>
          <w:bCs/>
          <w:color w:val="000000" w:themeColor="text1"/>
          <w:sz w:val="28"/>
          <w:szCs w:val="28"/>
        </w:rPr>
        <w:t xml:space="preserve">Methods </w:t>
      </w:r>
    </w:p>
    <w:p w14:paraId="7CD0786C" w14:textId="77777777" w:rsidR="00353DC5" w:rsidRPr="00353DC5" w:rsidRDefault="00353DC5" w:rsidP="00353DC5">
      <w:pPr>
        <w:rPr>
          <w:b/>
          <w:bCs/>
        </w:rPr>
      </w:pPr>
      <w:r w:rsidRPr="00353DC5">
        <w:rPr>
          <w:b/>
          <w:bCs/>
        </w:rPr>
        <w:t>Excel-to-Python translation strategy</w:t>
      </w:r>
    </w:p>
    <w:p w14:paraId="64A8B142" w14:textId="45B5FEE4" w:rsidR="00353DC5" w:rsidRPr="00353DC5" w:rsidRDefault="00353DC5" w:rsidP="00353DC5">
      <w:r w:rsidRPr="00353DC5">
        <w:t xml:space="preserve">The </w:t>
      </w:r>
      <w:r w:rsidR="00584DB7">
        <w:t xml:space="preserve">written code </w:t>
      </w:r>
      <w:r w:rsidRPr="00353DC5">
        <w:t>implements the worksheet logic as a sequence of Python functions and stepwise calculations rather than embedded spreadsheet formulas. In the notebook, the workflow begins by defining constants, then creates individual functions for each major calculation step, prompts the user for material/design inputs, and</w:t>
      </w:r>
      <w:r w:rsidR="00102428">
        <w:t xml:space="preserve"> </w:t>
      </w:r>
      <w:r w:rsidRPr="00353DC5">
        <w:t>finally computes and prints a one-cubic-yard weight summary.</w:t>
      </w:r>
    </w:p>
    <w:p w14:paraId="15C9565E" w14:textId="1AE72355" w:rsidR="00D506CE" w:rsidRDefault="00AD259E" w:rsidP="00353DC5">
      <w:r>
        <w:t>The main calculation functions include</w:t>
      </w:r>
      <w:r w:rsidR="00D506CE">
        <w:t>:</w:t>
      </w:r>
    </w:p>
    <w:p w14:paraId="31E93EC1" w14:textId="305C766D" w:rsidR="00D506CE" w:rsidRPr="00D506CE" w:rsidRDefault="00D506CE" w:rsidP="007E54C1">
      <w:pPr>
        <w:pStyle w:val="ListParagraph"/>
        <w:numPr>
          <w:ilvl w:val="0"/>
          <w:numId w:val="1"/>
        </w:numPr>
      </w:pPr>
      <w:proofErr w:type="spellStart"/>
      <w:r w:rsidRPr="00D506CE">
        <w:t>calculate_water_weight_Q</w:t>
      </w:r>
      <w:proofErr w:type="spellEnd"/>
      <w:r w:rsidRPr="00D506CE">
        <w:t>(...)</w:t>
      </w:r>
    </w:p>
    <w:p w14:paraId="5C193493" w14:textId="14CCC27E" w:rsidR="00D506CE" w:rsidRPr="00D506CE" w:rsidRDefault="00D506CE" w:rsidP="007E54C1">
      <w:pPr>
        <w:pStyle w:val="ListParagraph"/>
        <w:numPr>
          <w:ilvl w:val="0"/>
          <w:numId w:val="1"/>
        </w:numPr>
      </w:pPr>
      <w:proofErr w:type="spellStart"/>
      <w:r w:rsidRPr="00D506CE">
        <w:t>calculate_volume_R</w:t>
      </w:r>
      <w:proofErr w:type="spellEnd"/>
      <w:r w:rsidRPr="00D506CE">
        <w:t>(...) (cement volume)</w:t>
      </w:r>
    </w:p>
    <w:p w14:paraId="4E02C9A9" w14:textId="63176D66" w:rsidR="00D506CE" w:rsidRPr="00D506CE" w:rsidRDefault="00D506CE" w:rsidP="007E54C1">
      <w:pPr>
        <w:pStyle w:val="ListParagraph"/>
        <w:numPr>
          <w:ilvl w:val="0"/>
          <w:numId w:val="1"/>
        </w:numPr>
      </w:pPr>
      <w:proofErr w:type="spellStart"/>
      <w:r w:rsidRPr="00D506CE">
        <w:t>calculate_volume_S</w:t>
      </w:r>
      <w:proofErr w:type="spellEnd"/>
      <w:r w:rsidRPr="00D506CE">
        <w:t>(...) (fly ash volume)</w:t>
      </w:r>
    </w:p>
    <w:p w14:paraId="5BFF4590" w14:textId="40049A9E" w:rsidR="00D506CE" w:rsidRPr="00D506CE" w:rsidRDefault="00D506CE" w:rsidP="007E54C1">
      <w:pPr>
        <w:pStyle w:val="ListParagraph"/>
        <w:numPr>
          <w:ilvl w:val="0"/>
          <w:numId w:val="1"/>
        </w:numPr>
      </w:pPr>
      <w:proofErr w:type="spellStart"/>
      <w:r w:rsidRPr="00D506CE">
        <w:t>calculate_volume_T</w:t>
      </w:r>
      <w:proofErr w:type="spellEnd"/>
      <w:r w:rsidRPr="00D506CE">
        <w:t>(...) (silica fume volume)</w:t>
      </w:r>
    </w:p>
    <w:p w14:paraId="6B1C981A" w14:textId="0F8EA959" w:rsidR="00D506CE" w:rsidRPr="00D506CE" w:rsidRDefault="00D506CE" w:rsidP="007E54C1">
      <w:pPr>
        <w:pStyle w:val="ListParagraph"/>
        <w:numPr>
          <w:ilvl w:val="0"/>
          <w:numId w:val="1"/>
        </w:numPr>
      </w:pPr>
      <w:proofErr w:type="spellStart"/>
      <w:r w:rsidRPr="00D506CE">
        <w:t>calculate_volume_U</w:t>
      </w:r>
      <w:proofErr w:type="spellEnd"/>
      <w:r w:rsidRPr="00D506CE">
        <w:t>(...) (other SCM volume)</w:t>
      </w:r>
    </w:p>
    <w:p w14:paraId="430401C6" w14:textId="24B0A225" w:rsidR="00D506CE" w:rsidRPr="00D506CE" w:rsidRDefault="00D506CE" w:rsidP="007E54C1">
      <w:pPr>
        <w:pStyle w:val="ListParagraph"/>
        <w:numPr>
          <w:ilvl w:val="0"/>
          <w:numId w:val="1"/>
        </w:numPr>
      </w:pPr>
      <w:proofErr w:type="spellStart"/>
      <w:r w:rsidRPr="00D506CE">
        <w:lastRenderedPageBreak/>
        <w:t>calculate_air_volume_V</w:t>
      </w:r>
      <w:proofErr w:type="spellEnd"/>
      <w:r w:rsidRPr="00D506CE">
        <w:t>(...)</w:t>
      </w:r>
    </w:p>
    <w:p w14:paraId="0BC4EB2A" w14:textId="5C2B385A" w:rsidR="00D506CE" w:rsidRPr="00D506CE" w:rsidRDefault="00D506CE" w:rsidP="007E54C1">
      <w:pPr>
        <w:pStyle w:val="ListParagraph"/>
        <w:numPr>
          <w:ilvl w:val="0"/>
          <w:numId w:val="1"/>
        </w:numPr>
      </w:pPr>
      <w:proofErr w:type="spellStart"/>
      <w:r w:rsidRPr="00D506CE">
        <w:t>calculate_water_volume_W</w:t>
      </w:r>
      <w:proofErr w:type="spellEnd"/>
      <w:r w:rsidRPr="00D506CE">
        <w:t>(...)</w:t>
      </w:r>
    </w:p>
    <w:p w14:paraId="1C7E62C2" w14:textId="2E42001A" w:rsidR="00D506CE" w:rsidRPr="00D506CE" w:rsidRDefault="00D506CE" w:rsidP="007E54C1">
      <w:pPr>
        <w:pStyle w:val="ListParagraph"/>
        <w:numPr>
          <w:ilvl w:val="0"/>
          <w:numId w:val="1"/>
        </w:numPr>
      </w:pPr>
      <w:proofErr w:type="spellStart"/>
      <w:r w:rsidRPr="00D506CE">
        <w:t>calculate_total_aggregate_volume_X</w:t>
      </w:r>
      <w:proofErr w:type="spellEnd"/>
      <w:r w:rsidRPr="00D506CE">
        <w:t>(...)</w:t>
      </w:r>
    </w:p>
    <w:p w14:paraId="379F5E4E" w14:textId="17E11D51" w:rsidR="00D506CE" w:rsidRPr="00D506CE" w:rsidRDefault="00D506CE" w:rsidP="007E54C1">
      <w:pPr>
        <w:pStyle w:val="ListParagraph"/>
        <w:numPr>
          <w:ilvl w:val="0"/>
          <w:numId w:val="1"/>
        </w:numPr>
      </w:pPr>
      <w:proofErr w:type="spellStart"/>
      <w:r w:rsidRPr="00D506CE">
        <w:t>calculate_fine_aggregate_Y</w:t>
      </w:r>
      <w:proofErr w:type="spellEnd"/>
      <w:r w:rsidRPr="00D506CE">
        <w:t>(...)</w:t>
      </w:r>
    </w:p>
    <w:p w14:paraId="77F1A828" w14:textId="43E48C5C" w:rsidR="00D506CE" w:rsidRPr="00D506CE" w:rsidRDefault="00D506CE" w:rsidP="007E54C1">
      <w:pPr>
        <w:pStyle w:val="ListParagraph"/>
        <w:numPr>
          <w:ilvl w:val="0"/>
          <w:numId w:val="1"/>
        </w:numPr>
      </w:pPr>
      <w:proofErr w:type="spellStart"/>
      <w:r w:rsidRPr="00D506CE">
        <w:t>calculate_coarse_aggregate_Z</w:t>
      </w:r>
      <w:proofErr w:type="spellEnd"/>
      <w:r w:rsidRPr="00D506CE">
        <w:t>(...)</w:t>
      </w:r>
    </w:p>
    <w:p w14:paraId="0CCCEDDC" w14:textId="3B7B9F33" w:rsidR="00D506CE" w:rsidRDefault="00D506CE" w:rsidP="007E54C1">
      <w:pPr>
        <w:pStyle w:val="ListParagraph"/>
        <w:numPr>
          <w:ilvl w:val="0"/>
          <w:numId w:val="1"/>
        </w:numPr>
      </w:pPr>
      <w:proofErr w:type="spellStart"/>
      <w:r w:rsidRPr="00D506CE">
        <w:t>calculate_other_aggregate_AA</w:t>
      </w:r>
      <w:proofErr w:type="spellEnd"/>
      <w:r w:rsidRPr="00D506CE">
        <w:t>(...)</w:t>
      </w:r>
    </w:p>
    <w:p w14:paraId="7869D096" w14:textId="3D25A914" w:rsidR="008A388F" w:rsidRDefault="008A388F" w:rsidP="008A388F">
      <w:r w:rsidRPr="008A388F">
        <w:t>This m</w:t>
      </w:r>
      <w:r>
        <w:t>atches</w:t>
      </w:r>
      <w:r w:rsidRPr="008A388F">
        <w:t xml:space="preserve"> the original worksheet’s absolute-volume logic, which is consistent with </w:t>
      </w:r>
      <w:r w:rsidRPr="00D239E5">
        <w:t>NDOT/NDOR</w:t>
      </w:r>
      <w:r w:rsidRPr="008A388F">
        <w:t xml:space="preserve"> concrete proportioning practice where paste volume, air volume, and aggregate gradation/volume all interact to determine final proportions</w:t>
      </w:r>
      <w:r w:rsidR="00EC0061">
        <w:t xml:space="preserve"> (</w:t>
      </w:r>
      <w:r w:rsidR="00DA7345" w:rsidRPr="00DA7345">
        <w:t>James J. Knott, P.E. &amp; Moe Jamshidi, PE, 2017)</w:t>
      </w:r>
      <w:r w:rsidR="00EC0061">
        <w:t>.</w:t>
      </w:r>
    </w:p>
    <w:p w14:paraId="39F53CF6" w14:textId="78817BFD" w:rsidR="001701B0" w:rsidRPr="001701B0" w:rsidRDefault="001701B0" w:rsidP="001701B0">
      <w:pPr>
        <w:rPr>
          <w:b/>
          <w:bCs/>
        </w:rPr>
      </w:pPr>
      <w:r w:rsidRPr="001701B0">
        <w:rPr>
          <w:b/>
          <w:bCs/>
        </w:rPr>
        <w:t xml:space="preserve">Calculation workflow </w:t>
      </w:r>
    </w:p>
    <w:p w14:paraId="103088AE" w14:textId="77777777" w:rsidR="001701B0" w:rsidRPr="001701B0" w:rsidRDefault="001701B0" w:rsidP="001701B0">
      <w:r w:rsidRPr="001701B0">
        <w:t>The Python notebook follows this computational order:</w:t>
      </w:r>
    </w:p>
    <w:p w14:paraId="30F8307C" w14:textId="77777777" w:rsidR="001701B0" w:rsidRPr="001701B0" w:rsidRDefault="001701B0" w:rsidP="001701B0">
      <w:pPr>
        <w:numPr>
          <w:ilvl w:val="0"/>
          <w:numId w:val="2"/>
        </w:numPr>
      </w:pPr>
      <w:r w:rsidRPr="001701B0">
        <w:rPr>
          <w:b/>
          <w:bCs/>
        </w:rPr>
        <w:t>Water weight calculation (Q)</w:t>
      </w:r>
      <w:r w:rsidRPr="001701B0">
        <w:br/>
        <w:t>Water weight is computed from total cementitious content and the selected water-cement ratio (or water-cementitious ratio), using the sum of cement, fly ash, silica fume, and other SCM. This matches the expected worksheet logic for controlling water demand through the ratio target.</w:t>
      </w:r>
    </w:p>
    <w:p w14:paraId="3C68E482" w14:textId="06764C34" w:rsidR="001701B0" w:rsidRPr="001701B0" w:rsidRDefault="001701B0" w:rsidP="001701B0">
      <w:pPr>
        <w:numPr>
          <w:ilvl w:val="0"/>
          <w:numId w:val="2"/>
        </w:numPr>
      </w:pPr>
      <w:r w:rsidRPr="001701B0">
        <w:rPr>
          <w:b/>
          <w:bCs/>
        </w:rPr>
        <w:t>Cementitious component volumes (R, S, T, U)</w:t>
      </w:r>
      <w:r w:rsidRPr="001701B0">
        <w:br/>
        <w:t>Each cementitious material weight is converted to volume using its specific gravity and the unit weight of water. This is required for</w:t>
      </w:r>
      <w:r w:rsidR="005737B9">
        <w:t xml:space="preserve"> an</w:t>
      </w:r>
      <w:r w:rsidRPr="001701B0">
        <w:t xml:space="preserve"> absolute-volume mix design.</w:t>
      </w:r>
    </w:p>
    <w:p w14:paraId="1F131271" w14:textId="77777777" w:rsidR="001701B0" w:rsidRPr="001701B0" w:rsidRDefault="001701B0" w:rsidP="001701B0">
      <w:pPr>
        <w:numPr>
          <w:ilvl w:val="0"/>
          <w:numId w:val="2"/>
        </w:numPr>
      </w:pPr>
      <w:r w:rsidRPr="001701B0">
        <w:rPr>
          <w:b/>
          <w:bCs/>
        </w:rPr>
        <w:t>Air volume (V) and water volume (W)</w:t>
      </w:r>
      <w:r w:rsidRPr="001701B0">
        <w:br/>
        <w:t>Entrained air content and water weight are both converted into volumetric terms so they can be included in the one-cubic-yard volume balance.</w:t>
      </w:r>
    </w:p>
    <w:p w14:paraId="39B729E8" w14:textId="77777777" w:rsidR="001701B0" w:rsidRPr="001701B0" w:rsidRDefault="001701B0" w:rsidP="001701B0">
      <w:pPr>
        <w:numPr>
          <w:ilvl w:val="0"/>
          <w:numId w:val="2"/>
        </w:numPr>
      </w:pPr>
      <w:r w:rsidRPr="001701B0">
        <w:rPr>
          <w:b/>
          <w:bCs/>
        </w:rPr>
        <w:t>Total aggregate volume (X)</w:t>
      </w:r>
      <w:r w:rsidRPr="001701B0">
        <w:br/>
        <w:t>The remaining volume available for aggregate is calculated by subtracting all cementitious volumes, air volume, and water volume from one cubic yard (27 ft³).</w:t>
      </w:r>
    </w:p>
    <w:p w14:paraId="42CF6D3E" w14:textId="77777777" w:rsidR="001701B0" w:rsidRPr="001701B0" w:rsidRDefault="001701B0" w:rsidP="001701B0">
      <w:pPr>
        <w:numPr>
          <w:ilvl w:val="0"/>
          <w:numId w:val="2"/>
        </w:numPr>
      </w:pPr>
      <w:r w:rsidRPr="001701B0">
        <w:rPr>
          <w:b/>
          <w:bCs/>
        </w:rPr>
        <w:t>Aggregate weight calculations (Y, Z, AA)</w:t>
      </w:r>
      <w:r w:rsidRPr="001701B0">
        <w:br/>
        <w:t>The remaining aggregate volume is split into fine, coarse, and other aggregate fractions using percentage inputs, and each portion is converted to weight using the respective specific gravity.</w:t>
      </w:r>
    </w:p>
    <w:p w14:paraId="2A9EB3B3" w14:textId="29FA9E9A" w:rsidR="001701B0" w:rsidRPr="001701B0" w:rsidRDefault="001701B0" w:rsidP="001701B0">
      <w:pPr>
        <w:numPr>
          <w:ilvl w:val="0"/>
          <w:numId w:val="2"/>
        </w:numPr>
      </w:pPr>
      <w:r w:rsidRPr="001701B0">
        <w:rPr>
          <w:b/>
          <w:bCs/>
        </w:rPr>
        <w:t>Final weight chart output</w:t>
      </w:r>
      <w:r w:rsidRPr="001701B0">
        <w:br/>
        <w:t xml:space="preserve">The notebook prints a structured one-cubic-yard weight summary for all materials </w:t>
      </w:r>
      <w:r w:rsidRPr="001701B0">
        <w:lastRenderedPageBreak/>
        <w:t>(</w:t>
      </w:r>
      <w:r w:rsidR="00842F8E">
        <w:t>cementitious</w:t>
      </w:r>
      <w:r w:rsidRPr="001701B0">
        <w:t>, aggregates, and water), which is the required deliverable for the NDOT mix design workflow.</w:t>
      </w:r>
    </w:p>
    <w:p w14:paraId="25609B24" w14:textId="77777777" w:rsidR="001701B0" w:rsidRDefault="001701B0" w:rsidP="001701B0">
      <w:r w:rsidRPr="001701B0">
        <w:t>This decomposition into functions improves reliability compared with Excel because each engineering step can be independently inspected, tested, and reused.</w:t>
      </w:r>
    </w:p>
    <w:p w14:paraId="25988AC3" w14:textId="77777777" w:rsidR="00267B77" w:rsidRPr="00267B77" w:rsidRDefault="00267B77" w:rsidP="00267B77">
      <w:pPr>
        <w:rPr>
          <w:b/>
          <w:bCs/>
        </w:rPr>
      </w:pPr>
      <w:r w:rsidRPr="00267B77">
        <w:rPr>
          <w:b/>
          <w:bCs/>
        </w:rPr>
        <w:t>Input and output parameters for future users</w:t>
      </w:r>
    </w:p>
    <w:p w14:paraId="2C57DA43" w14:textId="13671401" w:rsidR="00267B77" w:rsidRDefault="00267B77" w:rsidP="00267B77">
      <w:r w:rsidRPr="00267B77">
        <w:t xml:space="preserve">Below is a list of the key parameters used in the Python </w:t>
      </w:r>
      <w:r>
        <w:t>implementation.</w:t>
      </w:r>
    </w:p>
    <w:p w14:paraId="5D1EB82A" w14:textId="77777777" w:rsidR="00267B77" w:rsidRDefault="00267B77" w:rsidP="00267B77">
      <w:pPr>
        <w:rPr>
          <w:b/>
          <w:bCs/>
        </w:rPr>
      </w:pPr>
      <w:r w:rsidRPr="00267B77">
        <w:rPr>
          <w:b/>
          <w:bCs/>
        </w:rPr>
        <w:t xml:space="preserve">Inputs </w:t>
      </w:r>
    </w:p>
    <w:p w14:paraId="079CC31D" w14:textId="77777777" w:rsidR="00267B77" w:rsidRPr="00267B77" w:rsidRDefault="00267B77" w:rsidP="00267B77">
      <w:pPr>
        <w:numPr>
          <w:ilvl w:val="0"/>
          <w:numId w:val="3"/>
        </w:numPr>
      </w:pPr>
      <w:proofErr w:type="spellStart"/>
      <w:r w:rsidRPr="00267B77">
        <w:t>project_no</w:t>
      </w:r>
      <w:proofErr w:type="spellEnd"/>
      <w:r w:rsidRPr="00267B77">
        <w:t xml:space="preserve"> — project identifier</w:t>
      </w:r>
    </w:p>
    <w:p w14:paraId="23F5DB85" w14:textId="77777777" w:rsidR="00267B77" w:rsidRDefault="00267B77" w:rsidP="00267B77">
      <w:pPr>
        <w:numPr>
          <w:ilvl w:val="0"/>
          <w:numId w:val="3"/>
        </w:numPr>
      </w:pPr>
      <w:proofErr w:type="spellStart"/>
      <w:r w:rsidRPr="00267B77">
        <w:t>concrete_class</w:t>
      </w:r>
      <w:proofErr w:type="spellEnd"/>
      <w:r w:rsidRPr="00267B77">
        <w:t xml:space="preserve"> — NDOT concrete class (e.g., 47B, 47BD, 47B-OL)</w:t>
      </w:r>
    </w:p>
    <w:p w14:paraId="6F295619" w14:textId="77777777" w:rsidR="00061019" w:rsidRPr="00061019" w:rsidRDefault="00061019" w:rsidP="00061019">
      <w:r w:rsidRPr="00061019">
        <w:rPr>
          <w:b/>
          <w:bCs/>
        </w:rPr>
        <w:t>Cementitious materials (</w:t>
      </w:r>
      <w:proofErr w:type="spellStart"/>
      <w:r w:rsidRPr="00061019">
        <w:rPr>
          <w:b/>
          <w:bCs/>
        </w:rPr>
        <w:t>lb</w:t>
      </w:r>
      <w:proofErr w:type="spellEnd"/>
      <w:r w:rsidRPr="00061019">
        <w:rPr>
          <w:b/>
          <w:bCs/>
        </w:rPr>
        <w:t>/cy)</w:t>
      </w:r>
    </w:p>
    <w:p w14:paraId="1FD8F7AB" w14:textId="77777777" w:rsidR="00061019" w:rsidRPr="00061019" w:rsidRDefault="00061019" w:rsidP="00061019">
      <w:pPr>
        <w:numPr>
          <w:ilvl w:val="0"/>
          <w:numId w:val="4"/>
        </w:numPr>
      </w:pPr>
      <w:proofErr w:type="spellStart"/>
      <w:r w:rsidRPr="00061019">
        <w:t>cement_A</w:t>
      </w:r>
      <w:proofErr w:type="spellEnd"/>
      <w:r w:rsidRPr="00061019">
        <w:t xml:space="preserve"> — cement content</w:t>
      </w:r>
    </w:p>
    <w:p w14:paraId="61A214E4" w14:textId="77777777" w:rsidR="00061019" w:rsidRPr="00061019" w:rsidRDefault="00061019" w:rsidP="00061019">
      <w:pPr>
        <w:numPr>
          <w:ilvl w:val="0"/>
          <w:numId w:val="4"/>
        </w:numPr>
      </w:pPr>
      <w:proofErr w:type="spellStart"/>
      <w:r w:rsidRPr="00061019">
        <w:t>fly_ash_B</w:t>
      </w:r>
      <w:proofErr w:type="spellEnd"/>
      <w:r w:rsidRPr="00061019">
        <w:t xml:space="preserve"> — fly ash content</w:t>
      </w:r>
    </w:p>
    <w:p w14:paraId="22084A65" w14:textId="77777777" w:rsidR="00061019" w:rsidRPr="00061019" w:rsidRDefault="00061019" w:rsidP="00061019">
      <w:pPr>
        <w:numPr>
          <w:ilvl w:val="0"/>
          <w:numId w:val="4"/>
        </w:numPr>
      </w:pPr>
      <w:proofErr w:type="spellStart"/>
      <w:r w:rsidRPr="00061019">
        <w:t>silica_fume_C</w:t>
      </w:r>
      <w:proofErr w:type="spellEnd"/>
      <w:r w:rsidRPr="00061019">
        <w:t xml:space="preserve"> — silica fume content</w:t>
      </w:r>
    </w:p>
    <w:p w14:paraId="331AB6D2" w14:textId="77777777" w:rsidR="00061019" w:rsidRPr="00061019" w:rsidRDefault="00061019" w:rsidP="00061019">
      <w:pPr>
        <w:numPr>
          <w:ilvl w:val="0"/>
          <w:numId w:val="4"/>
        </w:numPr>
      </w:pPr>
      <w:proofErr w:type="spellStart"/>
      <w:r w:rsidRPr="00061019">
        <w:t>other_scm_D</w:t>
      </w:r>
      <w:proofErr w:type="spellEnd"/>
      <w:r w:rsidRPr="00061019">
        <w:t xml:space="preserve"> — other supplementary cementitious material</w:t>
      </w:r>
    </w:p>
    <w:p w14:paraId="22E45D9F" w14:textId="77777777" w:rsidR="00061019" w:rsidRPr="00061019" w:rsidRDefault="00061019" w:rsidP="00061019">
      <w:r w:rsidRPr="00061019">
        <w:rPr>
          <w:b/>
          <w:bCs/>
        </w:rPr>
        <w:t>Design targets</w:t>
      </w:r>
    </w:p>
    <w:p w14:paraId="2DE8739B" w14:textId="77777777" w:rsidR="00061019" w:rsidRPr="00061019" w:rsidRDefault="00061019" w:rsidP="00061019">
      <w:pPr>
        <w:numPr>
          <w:ilvl w:val="0"/>
          <w:numId w:val="5"/>
        </w:numPr>
      </w:pPr>
      <w:proofErr w:type="spellStart"/>
      <w:r w:rsidRPr="00061019">
        <w:t>wc_ratio_E</w:t>
      </w:r>
      <w:proofErr w:type="spellEnd"/>
      <w:r w:rsidRPr="00061019">
        <w:t xml:space="preserve"> — maximum/target water-cement ratio</w:t>
      </w:r>
    </w:p>
    <w:p w14:paraId="49A7C8CA" w14:textId="77777777" w:rsidR="00061019" w:rsidRPr="00061019" w:rsidRDefault="00061019" w:rsidP="00061019">
      <w:pPr>
        <w:numPr>
          <w:ilvl w:val="0"/>
          <w:numId w:val="5"/>
        </w:numPr>
      </w:pPr>
      <w:proofErr w:type="spellStart"/>
      <w:r w:rsidRPr="00061019">
        <w:t>air_content_F</w:t>
      </w:r>
      <w:proofErr w:type="spellEnd"/>
      <w:r w:rsidRPr="00061019">
        <w:t xml:space="preserve"> — target entrained air content (%)</w:t>
      </w:r>
    </w:p>
    <w:p w14:paraId="44CED229" w14:textId="77777777" w:rsidR="00061019" w:rsidRPr="00061019" w:rsidRDefault="00061019" w:rsidP="00061019">
      <w:r w:rsidRPr="00061019">
        <w:rPr>
          <w:b/>
          <w:bCs/>
        </w:rPr>
        <w:t>Aggregate volume split</w:t>
      </w:r>
    </w:p>
    <w:p w14:paraId="4D61547F" w14:textId="77777777" w:rsidR="00061019" w:rsidRPr="00061019" w:rsidRDefault="00061019" w:rsidP="00061019">
      <w:pPr>
        <w:numPr>
          <w:ilvl w:val="0"/>
          <w:numId w:val="6"/>
        </w:numPr>
      </w:pPr>
      <w:proofErr w:type="spellStart"/>
      <w:r w:rsidRPr="00061019">
        <w:t>percent_fine_G</w:t>
      </w:r>
      <w:proofErr w:type="spellEnd"/>
      <w:r w:rsidRPr="00061019">
        <w:t xml:space="preserve"> — percent fine aggregate</w:t>
      </w:r>
    </w:p>
    <w:p w14:paraId="29F371AB" w14:textId="77777777" w:rsidR="00061019" w:rsidRPr="00061019" w:rsidRDefault="00061019" w:rsidP="00061019">
      <w:pPr>
        <w:numPr>
          <w:ilvl w:val="0"/>
          <w:numId w:val="6"/>
        </w:numPr>
      </w:pPr>
      <w:proofErr w:type="spellStart"/>
      <w:r w:rsidRPr="00061019">
        <w:t>percent_coarse_H</w:t>
      </w:r>
      <w:proofErr w:type="spellEnd"/>
      <w:r w:rsidRPr="00061019">
        <w:t xml:space="preserve"> — percent coarse aggregate</w:t>
      </w:r>
    </w:p>
    <w:p w14:paraId="7B5C6550" w14:textId="77777777" w:rsidR="00061019" w:rsidRPr="00061019" w:rsidRDefault="00061019" w:rsidP="00061019">
      <w:pPr>
        <w:numPr>
          <w:ilvl w:val="0"/>
          <w:numId w:val="6"/>
        </w:numPr>
      </w:pPr>
      <w:proofErr w:type="spellStart"/>
      <w:r w:rsidRPr="00061019">
        <w:t>percent_other_I</w:t>
      </w:r>
      <w:proofErr w:type="spellEnd"/>
      <w:r w:rsidRPr="00061019">
        <w:t xml:space="preserve"> — percent other aggregate (if used)</w:t>
      </w:r>
    </w:p>
    <w:p w14:paraId="22A7B71C" w14:textId="77777777" w:rsidR="00061019" w:rsidRPr="00061019" w:rsidRDefault="00061019" w:rsidP="00061019">
      <w:r w:rsidRPr="00061019">
        <w:rPr>
          <w:b/>
          <w:bCs/>
        </w:rPr>
        <w:t>Specific gravities</w:t>
      </w:r>
    </w:p>
    <w:p w14:paraId="17286931" w14:textId="77777777" w:rsidR="00061019" w:rsidRPr="00061019" w:rsidRDefault="00061019" w:rsidP="00061019">
      <w:pPr>
        <w:numPr>
          <w:ilvl w:val="0"/>
          <w:numId w:val="7"/>
        </w:numPr>
      </w:pPr>
      <w:proofErr w:type="spellStart"/>
      <w:r w:rsidRPr="00061019">
        <w:t>sg_cement_J</w:t>
      </w:r>
      <w:proofErr w:type="spellEnd"/>
    </w:p>
    <w:p w14:paraId="0458433D" w14:textId="77777777" w:rsidR="00061019" w:rsidRPr="00061019" w:rsidRDefault="00061019" w:rsidP="00061019">
      <w:pPr>
        <w:numPr>
          <w:ilvl w:val="0"/>
          <w:numId w:val="7"/>
        </w:numPr>
      </w:pPr>
      <w:proofErr w:type="spellStart"/>
      <w:r w:rsidRPr="00061019">
        <w:t>sg_fly_ash_K</w:t>
      </w:r>
      <w:proofErr w:type="spellEnd"/>
    </w:p>
    <w:p w14:paraId="491824BF" w14:textId="77777777" w:rsidR="00061019" w:rsidRPr="00061019" w:rsidRDefault="00061019" w:rsidP="00061019">
      <w:pPr>
        <w:numPr>
          <w:ilvl w:val="0"/>
          <w:numId w:val="7"/>
        </w:numPr>
      </w:pPr>
      <w:proofErr w:type="spellStart"/>
      <w:r w:rsidRPr="00061019">
        <w:t>sg_silica_fume_L</w:t>
      </w:r>
      <w:proofErr w:type="spellEnd"/>
    </w:p>
    <w:p w14:paraId="3E4685F5" w14:textId="77777777" w:rsidR="00061019" w:rsidRPr="00061019" w:rsidRDefault="00061019" w:rsidP="00061019">
      <w:pPr>
        <w:numPr>
          <w:ilvl w:val="0"/>
          <w:numId w:val="7"/>
        </w:numPr>
      </w:pPr>
      <w:proofErr w:type="spellStart"/>
      <w:r w:rsidRPr="00061019">
        <w:t>sg_other_scm_M</w:t>
      </w:r>
      <w:proofErr w:type="spellEnd"/>
    </w:p>
    <w:p w14:paraId="328DE84A" w14:textId="77777777" w:rsidR="00061019" w:rsidRPr="00061019" w:rsidRDefault="00061019" w:rsidP="00061019">
      <w:pPr>
        <w:numPr>
          <w:ilvl w:val="0"/>
          <w:numId w:val="7"/>
        </w:numPr>
      </w:pPr>
      <w:proofErr w:type="spellStart"/>
      <w:r w:rsidRPr="00061019">
        <w:lastRenderedPageBreak/>
        <w:t>sg_fine_N</w:t>
      </w:r>
      <w:proofErr w:type="spellEnd"/>
    </w:p>
    <w:p w14:paraId="09152206" w14:textId="77777777" w:rsidR="00061019" w:rsidRPr="00061019" w:rsidRDefault="00061019" w:rsidP="00061019">
      <w:pPr>
        <w:numPr>
          <w:ilvl w:val="0"/>
          <w:numId w:val="7"/>
        </w:numPr>
      </w:pPr>
      <w:proofErr w:type="spellStart"/>
      <w:r w:rsidRPr="00061019">
        <w:t>sg_coarse_O</w:t>
      </w:r>
      <w:proofErr w:type="spellEnd"/>
    </w:p>
    <w:p w14:paraId="0AC6EA11" w14:textId="77777777" w:rsidR="00061019" w:rsidRPr="00061019" w:rsidRDefault="00061019" w:rsidP="00061019">
      <w:pPr>
        <w:numPr>
          <w:ilvl w:val="0"/>
          <w:numId w:val="7"/>
        </w:numPr>
      </w:pPr>
      <w:proofErr w:type="spellStart"/>
      <w:r w:rsidRPr="00061019">
        <w:t>sg_other_P</w:t>
      </w:r>
      <w:proofErr w:type="spellEnd"/>
    </w:p>
    <w:p w14:paraId="0C0E5643" w14:textId="02BFC0D7" w:rsidR="00061019" w:rsidRDefault="00061019" w:rsidP="00061019">
      <w:r w:rsidRPr="00061019">
        <w:t>These inputs align well with NDOT specification parameters for concrete classes, especially where the specification sets class-specific limits</w:t>
      </w:r>
      <w:r w:rsidR="00D906EE">
        <w:t xml:space="preserve"> </w:t>
      </w:r>
      <w:r w:rsidRPr="00061019">
        <w:t>for total cementitious materials, aggregate quantities, air content, and water-cement ratio. For example, Table 1002.02 in the NDOT Standard Specifications lists class requirements for 47B, 47BD, and 47B-OL, including minimum cementitious content and maximum water-cement ratio</w:t>
      </w:r>
      <w:r w:rsidR="00171DD2">
        <w:t xml:space="preserve"> </w:t>
      </w:r>
      <w:r w:rsidR="001D3C2D" w:rsidRPr="001D3C2D">
        <w:t>(James J. Knott, P.E. &amp; Moe Jamshidi, PE, 2017)</w:t>
      </w:r>
      <w:r w:rsidR="00171DD2">
        <w:t>.</w:t>
      </w:r>
    </w:p>
    <w:p w14:paraId="149E1965" w14:textId="294872C1" w:rsidR="00E55117" w:rsidRPr="00E55117" w:rsidRDefault="00E55117" w:rsidP="00E55117">
      <w:pPr>
        <w:rPr>
          <w:b/>
          <w:bCs/>
        </w:rPr>
      </w:pPr>
      <w:r w:rsidRPr="00E55117">
        <w:rPr>
          <w:b/>
          <w:bCs/>
        </w:rPr>
        <w:t xml:space="preserve">Intermediate outputs </w:t>
      </w:r>
    </w:p>
    <w:p w14:paraId="1040F9C8" w14:textId="77777777" w:rsidR="00E55117" w:rsidRPr="00E55117" w:rsidRDefault="00E55117" w:rsidP="00E55117">
      <w:pPr>
        <w:numPr>
          <w:ilvl w:val="0"/>
          <w:numId w:val="8"/>
        </w:numPr>
      </w:pPr>
      <w:proofErr w:type="spellStart"/>
      <w:r w:rsidRPr="00E55117">
        <w:t>water_weight_Q</w:t>
      </w:r>
      <w:proofErr w:type="spellEnd"/>
      <w:r w:rsidRPr="00E55117">
        <w:t xml:space="preserve"> — water weight (</w:t>
      </w:r>
      <w:proofErr w:type="spellStart"/>
      <w:r w:rsidRPr="00E55117">
        <w:t>lb</w:t>
      </w:r>
      <w:proofErr w:type="spellEnd"/>
      <w:r w:rsidRPr="00E55117">
        <w:t>/cy)</w:t>
      </w:r>
    </w:p>
    <w:p w14:paraId="27BB2914" w14:textId="77777777" w:rsidR="00E55117" w:rsidRPr="00E55117" w:rsidRDefault="00E55117" w:rsidP="00E55117">
      <w:pPr>
        <w:numPr>
          <w:ilvl w:val="0"/>
          <w:numId w:val="8"/>
        </w:numPr>
      </w:pPr>
      <w:r w:rsidRPr="00E55117">
        <w:t>R, S, T, U — cementitious material volumes (ft³)</w:t>
      </w:r>
    </w:p>
    <w:p w14:paraId="52239950" w14:textId="77777777" w:rsidR="00E55117" w:rsidRPr="00E55117" w:rsidRDefault="00E55117" w:rsidP="00E55117">
      <w:pPr>
        <w:numPr>
          <w:ilvl w:val="0"/>
          <w:numId w:val="8"/>
        </w:numPr>
      </w:pPr>
      <w:r w:rsidRPr="00E55117">
        <w:t>V — air volume (ft³)</w:t>
      </w:r>
    </w:p>
    <w:p w14:paraId="3ABD82FB" w14:textId="77777777" w:rsidR="00E55117" w:rsidRPr="00E55117" w:rsidRDefault="00E55117" w:rsidP="00E55117">
      <w:pPr>
        <w:numPr>
          <w:ilvl w:val="0"/>
          <w:numId w:val="8"/>
        </w:numPr>
      </w:pPr>
      <w:r w:rsidRPr="00E55117">
        <w:t>W — water volume (ft³)</w:t>
      </w:r>
    </w:p>
    <w:p w14:paraId="1356A6C3" w14:textId="77777777" w:rsidR="00E55117" w:rsidRPr="00E55117" w:rsidRDefault="00E55117" w:rsidP="00E55117">
      <w:pPr>
        <w:numPr>
          <w:ilvl w:val="0"/>
          <w:numId w:val="8"/>
        </w:numPr>
      </w:pPr>
      <w:r w:rsidRPr="00E55117">
        <w:t>X — total aggregate volume (ft³)</w:t>
      </w:r>
    </w:p>
    <w:p w14:paraId="7E483691" w14:textId="77777777" w:rsidR="00E55117" w:rsidRPr="00E55117" w:rsidRDefault="00E55117" w:rsidP="00E55117">
      <w:pPr>
        <w:numPr>
          <w:ilvl w:val="0"/>
          <w:numId w:val="8"/>
        </w:numPr>
      </w:pPr>
      <w:r w:rsidRPr="00E55117">
        <w:t>Y — fine aggregate weight (</w:t>
      </w:r>
      <w:proofErr w:type="spellStart"/>
      <w:r w:rsidRPr="00E55117">
        <w:t>lb</w:t>
      </w:r>
      <w:proofErr w:type="spellEnd"/>
      <w:r w:rsidRPr="00E55117">
        <w:t>/cy)</w:t>
      </w:r>
    </w:p>
    <w:p w14:paraId="33624D91" w14:textId="77777777" w:rsidR="00E55117" w:rsidRPr="00E55117" w:rsidRDefault="00E55117" w:rsidP="00E55117">
      <w:pPr>
        <w:numPr>
          <w:ilvl w:val="0"/>
          <w:numId w:val="8"/>
        </w:numPr>
      </w:pPr>
      <w:r w:rsidRPr="00E55117">
        <w:t>Z — coarse aggregate weight (</w:t>
      </w:r>
      <w:proofErr w:type="spellStart"/>
      <w:r w:rsidRPr="00E55117">
        <w:t>lb</w:t>
      </w:r>
      <w:proofErr w:type="spellEnd"/>
      <w:r w:rsidRPr="00E55117">
        <w:t>/cy)</w:t>
      </w:r>
    </w:p>
    <w:p w14:paraId="5D4674F0" w14:textId="77777777" w:rsidR="00E55117" w:rsidRDefault="00E55117" w:rsidP="00E55117">
      <w:pPr>
        <w:numPr>
          <w:ilvl w:val="0"/>
          <w:numId w:val="8"/>
        </w:numPr>
      </w:pPr>
      <w:r w:rsidRPr="00E55117">
        <w:t>AA — other aggregate weight (</w:t>
      </w:r>
      <w:proofErr w:type="spellStart"/>
      <w:r w:rsidRPr="00E55117">
        <w:t>lb</w:t>
      </w:r>
      <w:proofErr w:type="spellEnd"/>
      <w:r w:rsidRPr="00E55117">
        <w:t>/cy)</w:t>
      </w:r>
    </w:p>
    <w:p w14:paraId="592701E8" w14:textId="77777777" w:rsidR="005F01A3" w:rsidRPr="005F01A3" w:rsidRDefault="005F01A3" w:rsidP="005F01A3">
      <w:pPr>
        <w:rPr>
          <w:b/>
          <w:bCs/>
        </w:rPr>
      </w:pPr>
      <w:r w:rsidRPr="005F01A3">
        <w:rPr>
          <w:b/>
          <w:bCs/>
        </w:rPr>
        <w:t>Final output</w:t>
      </w:r>
    </w:p>
    <w:p w14:paraId="48811618" w14:textId="77777777" w:rsidR="005F01A3" w:rsidRPr="005F01A3" w:rsidRDefault="005F01A3" w:rsidP="005F01A3">
      <w:pPr>
        <w:numPr>
          <w:ilvl w:val="0"/>
          <w:numId w:val="9"/>
        </w:numPr>
      </w:pPr>
      <w:r w:rsidRPr="005F01A3">
        <w:rPr>
          <w:b/>
          <w:bCs/>
        </w:rPr>
        <w:t>One-cubic-yard weight chart (</w:t>
      </w:r>
      <w:proofErr w:type="spellStart"/>
      <w:r w:rsidRPr="005F01A3">
        <w:rPr>
          <w:b/>
          <w:bCs/>
        </w:rPr>
        <w:t>lb</w:t>
      </w:r>
      <w:proofErr w:type="spellEnd"/>
      <w:r w:rsidRPr="005F01A3">
        <w:rPr>
          <w:b/>
          <w:bCs/>
        </w:rPr>
        <w:t>/cy)</w:t>
      </w:r>
      <w:r w:rsidRPr="005F01A3">
        <w:t xml:space="preserve"> for:</w:t>
      </w:r>
    </w:p>
    <w:p w14:paraId="1B397761" w14:textId="0982B0E0" w:rsidR="005F01A3" w:rsidRPr="005F01A3" w:rsidRDefault="005F01A3" w:rsidP="005F01A3">
      <w:pPr>
        <w:pStyle w:val="ListParagraph"/>
        <w:ind w:left="1440"/>
      </w:pPr>
      <w:r>
        <w:t>-</w:t>
      </w:r>
      <w:r w:rsidRPr="005F01A3">
        <w:t>Cement</w:t>
      </w:r>
    </w:p>
    <w:p w14:paraId="06A583DB" w14:textId="75C82B09" w:rsidR="005F01A3" w:rsidRPr="005F01A3" w:rsidRDefault="005F01A3" w:rsidP="005F01A3">
      <w:pPr>
        <w:pStyle w:val="ListParagraph"/>
        <w:ind w:left="1440"/>
      </w:pPr>
      <w:r>
        <w:t>-</w:t>
      </w:r>
      <w:r w:rsidRPr="005F01A3">
        <w:t>Fly ash</w:t>
      </w:r>
    </w:p>
    <w:p w14:paraId="16C02434" w14:textId="1B27E8CE" w:rsidR="005F01A3" w:rsidRPr="005F01A3" w:rsidRDefault="005F01A3" w:rsidP="005F01A3">
      <w:pPr>
        <w:pStyle w:val="ListParagraph"/>
        <w:ind w:left="1440"/>
      </w:pPr>
      <w:r>
        <w:t>-</w:t>
      </w:r>
      <w:r w:rsidRPr="005F01A3">
        <w:t>Silica fume</w:t>
      </w:r>
    </w:p>
    <w:p w14:paraId="6439A8D8" w14:textId="651AEACB" w:rsidR="005F01A3" w:rsidRPr="005F01A3" w:rsidRDefault="005F01A3" w:rsidP="005F01A3">
      <w:pPr>
        <w:pStyle w:val="ListParagraph"/>
        <w:ind w:left="1440"/>
      </w:pPr>
      <w:r>
        <w:t>-</w:t>
      </w:r>
      <w:r w:rsidRPr="005F01A3">
        <w:t>Other SCM</w:t>
      </w:r>
    </w:p>
    <w:p w14:paraId="130F4B07" w14:textId="1D4FCF31" w:rsidR="005F01A3" w:rsidRPr="005F01A3" w:rsidRDefault="005F01A3" w:rsidP="005F01A3">
      <w:pPr>
        <w:pStyle w:val="ListParagraph"/>
        <w:ind w:left="1440"/>
      </w:pPr>
      <w:r>
        <w:t>-</w:t>
      </w:r>
      <w:r w:rsidRPr="005F01A3">
        <w:t>Fine aggregate</w:t>
      </w:r>
    </w:p>
    <w:p w14:paraId="4CBDF5E1" w14:textId="4FC6EBC5" w:rsidR="005F01A3" w:rsidRPr="005F01A3" w:rsidRDefault="005F01A3" w:rsidP="005F01A3">
      <w:pPr>
        <w:pStyle w:val="ListParagraph"/>
        <w:ind w:left="1440"/>
      </w:pPr>
      <w:r>
        <w:t>-</w:t>
      </w:r>
      <w:r w:rsidRPr="005F01A3">
        <w:t>Coarse aggregate</w:t>
      </w:r>
    </w:p>
    <w:p w14:paraId="2E8E8444" w14:textId="414A05A2" w:rsidR="005F01A3" w:rsidRPr="005F01A3" w:rsidRDefault="005F01A3" w:rsidP="005F01A3">
      <w:pPr>
        <w:pStyle w:val="ListParagraph"/>
        <w:ind w:left="1440"/>
      </w:pPr>
      <w:r>
        <w:t>-</w:t>
      </w:r>
      <w:r w:rsidRPr="005F01A3">
        <w:t>Other aggregate</w:t>
      </w:r>
    </w:p>
    <w:p w14:paraId="70D664E5" w14:textId="4DCA5B5F" w:rsidR="001701B0" w:rsidRPr="00D506CE" w:rsidRDefault="005F01A3" w:rsidP="00614429">
      <w:pPr>
        <w:pStyle w:val="ListParagraph"/>
        <w:ind w:left="1440"/>
      </w:pPr>
      <w:r>
        <w:t>-</w:t>
      </w:r>
      <w:r w:rsidRPr="005F01A3">
        <w:t>Water</w:t>
      </w:r>
    </w:p>
    <w:p w14:paraId="58C3794C" w14:textId="1A883494" w:rsidR="000A5EDC" w:rsidRDefault="00B4131D" w:rsidP="7D0D1A90">
      <w:r>
        <w:br w:type="page"/>
      </w:r>
    </w:p>
    <w:p w14:paraId="49BC8E08" w14:textId="18FCC66D" w:rsidR="000A5EDC" w:rsidRDefault="00B4131D" w:rsidP="000A5EDC">
      <w:pPr>
        <w:pStyle w:val="Heading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Results </w:t>
      </w:r>
    </w:p>
    <w:p w14:paraId="671B8890" w14:textId="77777777" w:rsidR="0025040A" w:rsidRPr="0025040A" w:rsidRDefault="0025040A" w:rsidP="0025040A"/>
    <w:p w14:paraId="35CD7049" w14:textId="77777777" w:rsidR="0025040A" w:rsidRPr="0025040A" w:rsidRDefault="0025040A" w:rsidP="0025040A">
      <w:pPr>
        <w:rPr>
          <w:b/>
          <w:bCs/>
        </w:rPr>
      </w:pPr>
      <w:r w:rsidRPr="0025040A">
        <w:rPr>
          <w:b/>
          <w:bCs/>
        </w:rPr>
        <w:t>Comparison of the four selected mix designs</w:t>
      </w:r>
    </w:p>
    <w:p w14:paraId="255965FB" w14:textId="2652E165" w:rsidR="0025040A" w:rsidRPr="0025040A" w:rsidRDefault="0025040A" w:rsidP="0025040A">
      <w:r w:rsidRPr="0025040A">
        <w:t>The project compares four mix scenarios to verify that the Python implementation reproduces expected mix-design behavior. Even without changing the equations, the scenario testing is valuable because it confirms the code responds correctly when key engineering parameters (water-cement ratio, air content, and cementitious content) are changed.</w:t>
      </w:r>
    </w:p>
    <w:p w14:paraId="71AA1045" w14:textId="77777777" w:rsidR="0025040A" w:rsidRDefault="0025040A" w:rsidP="0025040A">
      <w:r w:rsidRPr="0025040A">
        <w:t>The scenario set includes a baseline 47B mix and modified cases involving 47B sensitivity changes, 47BD, and 47B-OL. These are meaningful choices because NDOT specifications treat these classes differently in terms of required cementitious content, air content range, and maximum water-cement ratio.</w:t>
      </w:r>
    </w:p>
    <w:p w14:paraId="6D067687" w14:textId="47D2932F" w:rsidR="00DC1CBE" w:rsidRPr="00DC1CBE" w:rsidRDefault="00DC1CBE" w:rsidP="0025040A">
      <w:pPr>
        <w:rPr>
          <w:b/>
          <w:bCs/>
        </w:rPr>
      </w:pPr>
      <w:r>
        <w:rPr>
          <w:b/>
          <w:bCs/>
        </w:rPr>
        <w:t>Scenario 1:</w:t>
      </w:r>
    </w:p>
    <w:p w14:paraId="630DED7C" w14:textId="567DBA17" w:rsidR="00DC1CBE" w:rsidRDefault="00DC1CBE" w:rsidP="0025040A">
      <w:r>
        <w:rPr>
          <w:noProof/>
        </w:rPr>
        <w:drawing>
          <wp:inline distT="0" distB="0" distL="0" distR="0" wp14:anchorId="13D93E34" wp14:editId="47B97074">
            <wp:extent cx="3533775" cy="2757488"/>
            <wp:effectExtent l="0" t="0" r="0" b="5080"/>
            <wp:docPr id="1941734560" name="Picture 1" descr="The image displays a detailed breakdown of a concrete mix design for Project 101, specifically for Class 47B, including the weights of various components such as cement, fine aggregate, and water.&#10;&#10;AI-generated content may be incorrect.">
              <a:extLst xmlns:a="http://schemas.openxmlformats.org/drawingml/2006/main">
                <a:ext uri="{FF2B5EF4-FFF2-40B4-BE49-F238E27FC236}">
                  <a16:creationId xmlns:a16="http://schemas.microsoft.com/office/drawing/2014/main" id="{642EDCE0-F4FD-472D-A7B3-775B12CB0A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34560" name="Picture 1" descr="The image displays a detailed breakdown of a concrete mix design for Project 101, specifically for Class 47B, including the weights of various components such as cement, fine aggregate, and wa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1345" cy="2763395"/>
                    </a:xfrm>
                    <a:prstGeom prst="rect">
                      <a:avLst/>
                    </a:prstGeom>
                    <a:noFill/>
                    <a:ln>
                      <a:noFill/>
                    </a:ln>
                  </pic:spPr>
                </pic:pic>
              </a:graphicData>
            </a:graphic>
          </wp:inline>
        </w:drawing>
      </w:r>
    </w:p>
    <w:p w14:paraId="19C4D3A4" w14:textId="77777777" w:rsidR="005A01AF" w:rsidRDefault="005A01AF" w:rsidP="0025040A"/>
    <w:p w14:paraId="6573BCEA" w14:textId="4C9D49D6" w:rsidR="00DC1CBE" w:rsidRDefault="005A01AF" w:rsidP="0025040A">
      <w:r w:rsidRPr="005A01AF">
        <w:t xml:space="preserve">Scenario 1 represents a baseline NDOT Class 47B paving concrete mix. The selection of Class 47B is based on the NDOT Standard Specifications for Highway Construction, which define standard classes of concrete used for pavement applications. The Portland cement content was selected as 564 </w:t>
      </w:r>
      <w:proofErr w:type="spellStart"/>
      <w:r w:rsidRPr="005A01AF">
        <w:t>lb</w:t>
      </w:r>
      <w:proofErr w:type="spellEnd"/>
      <w:r w:rsidRPr="005A01AF">
        <w:t xml:space="preserve"> per cubic yard. to satisfy the NDOT minimum Portland cement requirement for paving concrete. NDOT specifications require </w:t>
      </w:r>
      <w:r>
        <w:t>air-entrained</w:t>
      </w:r>
      <w:r w:rsidRPr="005A01AF">
        <w:t xml:space="preserve"> concrete for </w:t>
      </w:r>
      <w:r>
        <w:t>freeze-thaw</w:t>
      </w:r>
      <w:r w:rsidRPr="005A01AF">
        <w:t xml:space="preserve"> durability, and a target air content of 7% was selected to represent typical paving concrete practice. A water–cement ratio of 0.45 was selected in accordance with NDOT durability-based limits for paving concrete. Aggregate proportions and specific gravity values were </w:t>
      </w:r>
      <w:r w:rsidRPr="005A01AF">
        <w:lastRenderedPageBreak/>
        <w:t>selected based on standard material property ranges commonly used in concrete mix design practice.</w:t>
      </w:r>
    </w:p>
    <w:p w14:paraId="275EBE8B" w14:textId="77777777" w:rsidR="00685722" w:rsidRDefault="00685722" w:rsidP="0025040A"/>
    <w:p w14:paraId="136E7D72" w14:textId="3A196AA3" w:rsidR="00685722" w:rsidRDefault="00685722" w:rsidP="0025040A">
      <w:r w:rsidRPr="00685722">
        <w:rPr>
          <w:b/>
          <w:bCs/>
          <w:lang w:val="en-GB"/>
        </w:rPr>
        <w:t>Scenario 2:</w:t>
      </w:r>
      <w:r w:rsidRPr="00685722">
        <w:t> </w:t>
      </w:r>
    </w:p>
    <w:p w14:paraId="2F314875" w14:textId="6F8C9978" w:rsidR="0012219C" w:rsidRPr="0025040A" w:rsidRDefault="0012219C" w:rsidP="0025040A">
      <w:r>
        <w:rPr>
          <w:noProof/>
        </w:rPr>
        <w:drawing>
          <wp:inline distT="0" distB="0" distL="0" distR="0" wp14:anchorId="322E1530" wp14:editId="1BCD27FA">
            <wp:extent cx="3848100" cy="3457575"/>
            <wp:effectExtent l="0" t="0" r="0" b="9525"/>
            <wp:docPr id="1257655015" name="Picture 2" descr="The image displays a detailed input form for a concrete mix design, specifically for a project number 2 with a concrete class 47B, including various aggregate types, their weights, and specific gravity values.&#10;&#10;AI-generated content may be incorrect.">
              <a:extLst xmlns:a="http://schemas.openxmlformats.org/drawingml/2006/main">
                <a:ext uri="{FF2B5EF4-FFF2-40B4-BE49-F238E27FC236}">
                  <a16:creationId xmlns:a16="http://schemas.microsoft.com/office/drawing/2014/main" id="{7926C982-4A1A-424F-9A0E-4075542C18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5015" name="Picture 2" descr="The image displays a detailed input form for a concrete mix design, specifically for a project number 2 with a concrete class 47B, including various aggregate types, their weights, and specific gravity valu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0608" cy="3459828"/>
                    </a:xfrm>
                    <a:prstGeom prst="rect">
                      <a:avLst/>
                    </a:prstGeom>
                    <a:noFill/>
                    <a:ln>
                      <a:noFill/>
                    </a:ln>
                  </pic:spPr>
                </pic:pic>
              </a:graphicData>
            </a:graphic>
          </wp:inline>
        </w:drawing>
      </w:r>
    </w:p>
    <w:p w14:paraId="07137EBA" w14:textId="77777777" w:rsidR="009D26CB" w:rsidRDefault="009D26CB" w:rsidP="009D26CB"/>
    <w:p w14:paraId="7392EBC9" w14:textId="6FBDC912" w:rsidR="009D26CB" w:rsidRDefault="00AC2CEB" w:rsidP="009D26CB">
      <w:pPr>
        <w:rPr>
          <w:lang w:val="en-GB"/>
        </w:rPr>
      </w:pPr>
      <w:r w:rsidRPr="00AC2CEB">
        <w:rPr>
          <w:lang w:val="en-GB"/>
        </w:rPr>
        <w:t>Scenario 2 was developed as a sensitivity test of the automated mix design workflow by reducing the target water-cement ratio from 0.45 to 0.42 and the target air content from 7% to 6%, while maintaining the NDOT minimum Portland cement content and aggregate proportions used in Scenario 1. As expected, the reduction in water–cement ratio resulted in a lower calculated water weight (from 254 lb to 237 lb per cubic yard)</w:t>
      </w:r>
      <w:r w:rsidR="009C018C">
        <w:rPr>
          <w:lang w:val="en-GB"/>
        </w:rPr>
        <w:t xml:space="preserve">, as well as </w:t>
      </w:r>
      <w:r w:rsidR="00D2010D">
        <w:rPr>
          <w:lang w:val="en-GB"/>
        </w:rPr>
        <w:t>an</w:t>
      </w:r>
      <w:r w:rsidR="009C018C">
        <w:rPr>
          <w:lang w:val="en-GB"/>
        </w:rPr>
        <w:t xml:space="preserve"> </w:t>
      </w:r>
      <w:r w:rsidR="00712F98">
        <w:rPr>
          <w:lang w:val="en-GB"/>
        </w:rPr>
        <w:t xml:space="preserve">increase in calculated aggregate weight, with both course and fine aggregate increasing in weight compared to the </w:t>
      </w:r>
      <w:r w:rsidR="00D2010D">
        <w:rPr>
          <w:lang w:val="en-GB"/>
        </w:rPr>
        <w:t>control group from Scenario 1.</w:t>
      </w:r>
    </w:p>
    <w:p w14:paraId="4E3F8AE4" w14:textId="77777777" w:rsidR="00672446" w:rsidRDefault="00672446" w:rsidP="009D26CB">
      <w:pPr>
        <w:rPr>
          <w:lang w:val="en-GB"/>
        </w:rPr>
      </w:pPr>
    </w:p>
    <w:p w14:paraId="62996F10" w14:textId="77777777" w:rsidR="0010689D" w:rsidRDefault="0010689D">
      <w:pPr>
        <w:spacing w:line="278" w:lineRule="auto"/>
        <w:rPr>
          <w:b/>
          <w:bCs/>
          <w:lang w:val="en-GB"/>
        </w:rPr>
      </w:pPr>
      <w:r>
        <w:rPr>
          <w:b/>
          <w:bCs/>
          <w:lang w:val="en-GB"/>
        </w:rPr>
        <w:br w:type="page"/>
      </w:r>
    </w:p>
    <w:p w14:paraId="1F2767E8" w14:textId="14357A17" w:rsidR="00D152D6" w:rsidRDefault="00672446" w:rsidP="009D26CB">
      <w:r w:rsidRPr="00672446">
        <w:rPr>
          <w:b/>
          <w:bCs/>
          <w:lang w:val="en-GB"/>
        </w:rPr>
        <w:lastRenderedPageBreak/>
        <w:t>Scenario 3</w:t>
      </w:r>
      <w:r w:rsidRPr="00672446">
        <w:rPr>
          <w:lang w:val="en-GB"/>
        </w:rPr>
        <w:t>:</w:t>
      </w:r>
      <w:r w:rsidRPr="00672446">
        <w:t> </w:t>
      </w:r>
    </w:p>
    <w:p w14:paraId="52776A41" w14:textId="2D067007" w:rsidR="0012219C" w:rsidRDefault="00262D97" w:rsidP="009D26CB">
      <w:r>
        <w:rPr>
          <w:noProof/>
        </w:rPr>
        <w:drawing>
          <wp:inline distT="0" distB="0" distL="0" distR="0" wp14:anchorId="32AA7081" wp14:editId="2A3E51B0">
            <wp:extent cx="3790950" cy="4738688"/>
            <wp:effectExtent l="0" t="0" r="0" b="5080"/>
            <wp:docPr id="635338619" name="Picture 1" descr="The image displays a detailed concrete mix design form for a project numbered 3, specifying the quantities of various materials like cement, fly ash, and aggregates, leading to a total weight of 1 cubic yard of concrete.&#10;&#10;AI-generated content may be incorrect.">
              <a:extLst xmlns:a="http://schemas.openxmlformats.org/drawingml/2006/main">
                <a:ext uri="{FF2B5EF4-FFF2-40B4-BE49-F238E27FC236}">
                  <a16:creationId xmlns:a16="http://schemas.microsoft.com/office/drawing/2014/main" id="{F301EB43-AF8E-48E3-9C80-9DEBDD9DDB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8619" name="Picture 1" descr="The image displays a detailed concrete mix design form for a project numbered 3, specifying the quantities of various materials like cement, fly ash, and aggregates, leading to a total weight of 1 cubic yard of concret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1641" cy="4739552"/>
                    </a:xfrm>
                    <a:prstGeom prst="rect">
                      <a:avLst/>
                    </a:prstGeom>
                    <a:noFill/>
                    <a:ln>
                      <a:noFill/>
                    </a:ln>
                  </pic:spPr>
                </pic:pic>
              </a:graphicData>
            </a:graphic>
          </wp:inline>
        </w:drawing>
      </w:r>
    </w:p>
    <w:p w14:paraId="4BBE68F1" w14:textId="391037F4" w:rsidR="0012219C" w:rsidRDefault="00262D97" w:rsidP="009D26CB">
      <w:r w:rsidRPr="00262D97">
        <w:rPr>
          <w:lang w:val="en-GB"/>
        </w:rPr>
        <w:t>NDOT guidance for Class 47BD requires a higher total cementitious content and stricter durability controls than Class 47B. For this scenario, the total cementitious content was set to 658 lb per cubic yard using 560 lb per cubic yard of Portland cement and 98 lb per cubic yard of fly ash, while maintaining a target water–cement ratio of 0.42 and air content of 7.0%</w:t>
      </w:r>
      <w:r w:rsidR="001C4661">
        <w:t xml:space="preserve">. </w:t>
      </w:r>
      <w:proofErr w:type="spellStart"/>
      <w:r w:rsidR="001C4661">
        <w:t>Overrall</w:t>
      </w:r>
      <w:proofErr w:type="spellEnd"/>
      <w:r w:rsidR="001C4661">
        <w:t xml:space="preserve"> this </w:t>
      </w:r>
      <w:r w:rsidR="00567FF0">
        <w:t xml:space="preserve">mix should have a higher </w:t>
      </w:r>
      <w:r w:rsidR="006C4C60">
        <w:t>paste-related</w:t>
      </w:r>
      <w:r w:rsidR="00567FF0">
        <w:t xml:space="preserve"> volume, </w:t>
      </w:r>
      <w:r w:rsidR="007E743F">
        <w:t xml:space="preserve">less remaining aggregate volume, and </w:t>
      </w:r>
      <w:r w:rsidR="007E743F" w:rsidRPr="007E743F">
        <w:t>aggregate weights</w:t>
      </w:r>
      <w:r w:rsidR="007E743F">
        <w:t xml:space="preserve"> should</w:t>
      </w:r>
      <w:r w:rsidR="007E743F" w:rsidRPr="007E743F">
        <w:t xml:space="preserve"> </w:t>
      </w:r>
      <w:r w:rsidR="007E743F">
        <w:t xml:space="preserve">be </w:t>
      </w:r>
      <w:r w:rsidR="007E743F" w:rsidRPr="007E743F">
        <w:t>adjusted downward relative to a lower-paste case</w:t>
      </w:r>
      <w:r w:rsidR="007E743F">
        <w:t>.</w:t>
      </w:r>
      <w:r w:rsidR="006C4C60">
        <w:t xml:space="preserve"> </w:t>
      </w:r>
      <w:r w:rsidR="006C4C60" w:rsidRPr="006C4C60">
        <w:t>This is an important validation case because it confirms the code can handle class-driven constraint changes, not just one fixed worksheet setup.</w:t>
      </w:r>
    </w:p>
    <w:p w14:paraId="1FC92102" w14:textId="77777777" w:rsidR="006C4C60" w:rsidRDefault="006C4C60" w:rsidP="009D26CB"/>
    <w:p w14:paraId="20075BAF" w14:textId="77777777" w:rsidR="00547E9E" w:rsidRDefault="00547E9E">
      <w:pPr>
        <w:spacing w:line="278" w:lineRule="auto"/>
        <w:rPr>
          <w:b/>
          <w:bCs/>
        </w:rPr>
      </w:pPr>
      <w:r>
        <w:rPr>
          <w:b/>
          <w:bCs/>
        </w:rPr>
        <w:br w:type="page"/>
      </w:r>
    </w:p>
    <w:p w14:paraId="6E016677" w14:textId="384090FF" w:rsidR="006C4C60" w:rsidRPr="0010689D" w:rsidRDefault="006C4C60" w:rsidP="009D26CB">
      <w:pPr>
        <w:rPr>
          <w:b/>
          <w:bCs/>
        </w:rPr>
      </w:pPr>
      <w:r w:rsidRPr="0010689D">
        <w:rPr>
          <w:b/>
          <w:bCs/>
        </w:rPr>
        <w:lastRenderedPageBreak/>
        <w:t>Scenario 4:</w:t>
      </w:r>
    </w:p>
    <w:p w14:paraId="64640AA9" w14:textId="73A25696" w:rsidR="0012219C" w:rsidRDefault="00C46911" w:rsidP="009D26CB">
      <w:r>
        <w:rPr>
          <w:noProof/>
        </w:rPr>
        <w:drawing>
          <wp:inline distT="0" distB="0" distL="0" distR="0" wp14:anchorId="4F4FFAA8" wp14:editId="65145C95">
            <wp:extent cx="4238625" cy="4657725"/>
            <wp:effectExtent l="0" t="0" r="9525" b="9525"/>
            <wp:docPr id="1773512250" name="Picture 2" descr="The image displays a detailed concrete mix design summary for Project 4, featuring a 47B-OL concrete class with specific weights for cement, fine and coarse aggregate, and water, while excluding fly ash, silica fume, and other SCM.&#10;&#10;AI-generated content may be incorrect.">
              <a:extLst xmlns:a="http://schemas.openxmlformats.org/drawingml/2006/main">
                <a:ext uri="{FF2B5EF4-FFF2-40B4-BE49-F238E27FC236}">
                  <a16:creationId xmlns:a16="http://schemas.microsoft.com/office/drawing/2014/main" id="{5ED2DA05-B99B-4484-977B-131D5FA7D6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2250" name="Picture 2" descr="The image displays a detailed concrete mix design summary for Project 4, featuring a 47B-OL concrete class with specific weights for cement, fine and coarse aggregate, and water, while excluding fly ash, silica fume, and other SC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9135" cy="4658285"/>
                    </a:xfrm>
                    <a:prstGeom prst="rect">
                      <a:avLst/>
                    </a:prstGeom>
                    <a:noFill/>
                    <a:ln>
                      <a:noFill/>
                    </a:ln>
                  </pic:spPr>
                </pic:pic>
              </a:graphicData>
            </a:graphic>
          </wp:inline>
        </w:drawing>
      </w:r>
    </w:p>
    <w:p w14:paraId="4ABA727D" w14:textId="7F94ACB9" w:rsidR="0012219C" w:rsidRDefault="002F3A1B" w:rsidP="009D26CB">
      <w:r w:rsidRPr="002F3A1B">
        <w:rPr>
          <w:lang w:val="en-GB"/>
        </w:rPr>
        <w:t>Scenario 4 represents NDOT Class 47B-OL, which includes stricter durability controls than standard Class 47B. NDOT Table 1002.02 specifies a minimum total cementitious content of 564 lb/cy for 47B-OL, specifies an air content range of 5.0–7.0%</w:t>
      </w:r>
      <w:r w:rsidR="00E218BD">
        <w:rPr>
          <w:lang w:val="en-GB"/>
        </w:rPr>
        <w:t>,</w:t>
      </w:r>
      <w:r w:rsidRPr="002F3A1B">
        <w:rPr>
          <w:lang w:val="en-GB"/>
        </w:rPr>
        <w:t xml:space="preserve"> and a maximum allowable water–cement ratio of 0.36</w:t>
      </w:r>
      <w:r w:rsidR="00E218BD">
        <w:t>. This</w:t>
      </w:r>
      <w:r w:rsidR="00595D08">
        <w:t xml:space="preserve"> </w:t>
      </w:r>
      <w:r w:rsidR="007B2625">
        <w:t xml:space="preserve">can increase the volume available for </w:t>
      </w:r>
      <w:r w:rsidR="00E218BD">
        <w:t>aggregate.</w:t>
      </w:r>
    </w:p>
    <w:p w14:paraId="070442DF" w14:textId="77777777" w:rsidR="0012219C" w:rsidRDefault="0012219C" w:rsidP="009D26CB"/>
    <w:p w14:paraId="47BD1B95" w14:textId="019731F9" w:rsidR="00672446" w:rsidRPr="00C151A5" w:rsidRDefault="00D64AA7" w:rsidP="009D26CB">
      <w:pPr>
        <w:rPr>
          <w:rFonts w:asciiTheme="majorHAnsi" w:hAnsiTheme="majorHAnsi" w:cstheme="majorHAnsi"/>
          <w:b/>
          <w:bCs/>
          <w:sz w:val="28"/>
          <w:szCs w:val="28"/>
        </w:rPr>
      </w:pPr>
      <w:r w:rsidRPr="00C151A5">
        <w:rPr>
          <w:rFonts w:asciiTheme="majorHAnsi" w:hAnsiTheme="majorHAnsi" w:cstheme="majorHAnsi"/>
          <w:b/>
          <w:bCs/>
          <w:sz w:val="28"/>
          <w:szCs w:val="28"/>
        </w:rPr>
        <w:t>Discussion</w:t>
      </w:r>
    </w:p>
    <w:p w14:paraId="7FCC7F78" w14:textId="747F44F3" w:rsidR="005F136F" w:rsidRPr="005F136F" w:rsidRDefault="005F136F" w:rsidP="005F136F">
      <w:pPr>
        <w:rPr>
          <w:rFonts w:cstheme="minorHAnsi"/>
        </w:rPr>
      </w:pPr>
      <w:r w:rsidRPr="005F136F">
        <w:rPr>
          <w:rFonts w:cstheme="minorHAnsi"/>
        </w:rPr>
        <w:t xml:space="preserve">The four selected cases show that the Python implementation preserves the engineering relationships </w:t>
      </w:r>
      <w:r w:rsidR="0040316E">
        <w:rPr>
          <w:rFonts w:cstheme="minorHAnsi"/>
        </w:rPr>
        <w:t xml:space="preserve">that </w:t>
      </w:r>
      <w:r w:rsidRPr="005F136F">
        <w:rPr>
          <w:rFonts w:cstheme="minorHAnsi"/>
        </w:rPr>
        <w:t>the Excel worksheet was intended to capture</w:t>
      </w:r>
    </w:p>
    <w:p w14:paraId="6343155A" w14:textId="29FE318C" w:rsidR="005F136F" w:rsidRPr="005F136F" w:rsidRDefault="005F136F" w:rsidP="005F136F">
      <w:pPr>
        <w:numPr>
          <w:ilvl w:val="0"/>
          <w:numId w:val="10"/>
        </w:numPr>
        <w:rPr>
          <w:rFonts w:cstheme="minorHAnsi"/>
        </w:rPr>
      </w:pPr>
      <w:r w:rsidRPr="005F136F">
        <w:rPr>
          <w:rFonts w:cstheme="minorHAnsi"/>
        </w:rPr>
        <w:t>47B is a strong baseline case for general validation and routine paving/structural calculations.</w:t>
      </w:r>
    </w:p>
    <w:p w14:paraId="1F971A27" w14:textId="77777777" w:rsidR="005F136F" w:rsidRPr="005F136F" w:rsidRDefault="005F136F" w:rsidP="005F136F">
      <w:pPr>
        <w:numPr>
          <w:ilvl w:val="0"/>
          <w:numId w:val="10"/>
        </w:numPr>
        <w:rPr>
          <w:rFonts w:cstheme="minorHAnsi"/>
        </w:rPr>
      </w:pPr>
      <w:r w:rsidRPr="005F136F">
        <w:rPr>
          <w:rFonts w:cstheme="minorHAnsi"/>
        </w:rPr>
        <w:t>Modified 47B sensitivity testing is useful for exploring how small changes in air content and water-cement ratio affect final batch weights.</w:t>
      </w:r>
    </w:p>
    <w:p w14:paraId="36E98F69" w14:textId="77777777" w:rsidR="00D0254D" w:rsidRDefault="005F136F" w:rsidP="005F136F">
      <w:pPr>
        <w:numPr>
          <w:ilvl w:val="0"/>
          <w:numId w:val="10"/>
        </w:numPr>
        <w:rPr>
          <w:rFonts w:cstheme="minorHAnsi"/>
        </w:rPr>
      </w:pPr>
      <w:r w:rsidRPr="005F136F">
        <w:rPr>
          <w:rFonts w:cstheme="minorHAnsi"/>
        </w:rPr>
        <w:lastRenderedPageBreak/>
        <w:t>47BD is appropriate for more durability</w:t>
      </w:r>
      <w:r w:rsidR="00A00414" w:rsidRPr="00D0254D">
        <w:rPr>
          <w:rFonts w:cstheme="minorHAnsi"/>
        </w:rPr>
        <w:t xml:space="preserve"> </w:t>
      </w:r>
      <w:r w:rsidRPr="005F136F">
        <w:rPr>
          <w:rFonts w:cstheme="minorHAnsi"/>
        </w:rPr>
        <w:t xml:space="preserve">or bridge-related applications where stricter class requirements apply. </w:t>
      </w:r>
    </w:p>
    <w:p w14:paraId="776725EC" w14:textId="2D9136A1" w:rsidR="005F136F" w:rsidRDefault="005F136F" w:rsidP="005F136F">
      <w:pPr>
        <w:numPr>
          <w:ilvl w:val="0"/>
          <w:numId w:val="10"/>
        </w:numPr>
        <w:rPr>
          <w:rFonts w:cstheme="minorHAnsi"/>
        </w:rPr>
      </w:pPr>
      <w:r w:rsidRPr="005F136F">
        <w:rPr>
          <w:rFonts w:cstheme="minorHAnsi"/>
        </w:rPr>
        <w:t>47B-OL supports overlay-specific scenarios and demonstrates that the code can handle alternate class requirements and corresponding mix proportion changes.</w:t>
      </w:r>
    </w:p>
    <w:p w14:paraId="55EEA3CF" w14:textId="1E1CF089" w:rsidR="00672446" w:rsidRPr="00021C9D" w:rsidRDefault="00441219" w:rsidP="009D26CB">
      <w:pPr>
        <w:rPr>
          <w:rFonts w:cstheme="minorHAnsi"/>
        </w:rPr>
      </w:pPr>
      <w:r w:rsidRPr="00441219">
        <w:rPr>
          <w:rFonts w:cstheme="minorHAnsi"/>
        </w:rPr>
        <w:t>From an engineering software perspective, the most important result is that the Python implementation preserves the cause-and-effect behavior expected in concrete proportioning</w:t>
      </w:r>
      <w:r w:rsidR="007B5B10">
        <w:rPr>
          <w:rFonts w:cstheme="minorHAnsi"/>
        </w:rPr>
        <w:t>, finding that these scenarios apply</w:t>
      </w:r>
      <w:r w:rsidR="003D66E8">
        <w:rPr>
          <w:rFonts w:cstheme="minorHAnsi"/>
        </w:rPr>
        <w:t xml:space="preserve">. A </w:t>
      </w:r>
      <w:r w:rsidRPr="00441219">
        <w:rPr>
          <w:rFonts w:cstheme="minorHAnsi"/>
        </w:rPr>
        <w:t>lower allowed water-cement ratio reduces water content</w:t>
      </w:r>
      <w:r w:rsidR="003D66E8">
        <w:rPr>
          <w:rFonts w:cstheme="minorHAnsi"/>
        </w:rPr>
        <w:t xml:space="preserve">. </w:t>
      </w:r>
      <w:r w:rsidR="00954950">
        <w:rPr>
          <w:rFonts w:cstheme="minorHAnsi"/>
        </w:rPr>
        <w:t>Changing</w:t>
      </w:r>
      <w:r w:rsidRPr="00441219">
        <w:rPr>
          <w:rFonts w:cstheme="minorHAnsi"/>
        </w:rPr>
        <w:t xml:space="preserve"> air content shifts the solid volume available to aggregates</w:t>
      </w:r>
      <w:r w:rsidR="00954950">
        <w:rPr>
          <w:rFonts w:cstheme="minorHAnsi"/>
        </w:rPr>
        <w:t>.</w:t>
      </w:r>
      <w:r w:rsidR="00647B15">
        <w:rPr>
          <w:rFonts w:cstheme="minorHAnsi"/>
        </w:rPr>
        <w:t xml:space="preserve"> Stricter</w:t>
      </w:r>
      <w:r w:rsidRPr="00441219">
        <w:rPr>
          <w:rFonts w:cstheme="minorHAnsi"/>
        </w:rPr>
        <w:t xml:space="preserve"> classes alter cementitious and aggregate balances</w:t>
      </w:r>
      <w:r w:rsidR="00647B15">
        <w:rPr>
          <w:rFonts w:cstheme="minorHAnsi"/>
        </w:rPr>
        <w:t xml:space="preserve">. Finally, </w:t>
      </w:r>
      <w:r w:rsidRPr="00441219">
        <w:rPr>
          <w:rFonts w:cstheme="minorHAnsi"/>
        </w:rPr>
        <w:t>aggregate-specific gravity/percent splits directly affect final batch weights</w:t>
      </w:r>
      <w:r w:rsidR="00647B15">
        <w:rPr>
          <w:rFonts w:cstheme="minorHAnsi"/>
        </w:rPr>
        <w:t>.</w:t>
      </w:r>
      <w:r w:rsidR="00981516">
        <w:rPr>
          <w:rFonts w:cstheme="minorHAnsi"/>
        </w:rPr>
        <w:t xml:space="preserve"> </w:t>
      </w:r>
      <w:r w:rsidR="00647B15">
        <w:rPr>
          <w:rFonts w:cstheme="minorHAnsi"/>
        </w:rPr>
        <w:t>This</w:t>
      </w:r>
      <w:r w:rsidRPr="00441219">
        <w:rPr>
          <w:rFonts w:cstheme="minorHAnsi"/>
        </w:rPr>
        <w:t xml:space="preserve"> is the key evidence that the migration successfully translated the Excel logic into code.</w:t>
      </w:r>
    </w:p>
    <w:p w14:paraId="0AD616D0" w14:textId="21EA628F" w:rsidR="000A5EDC" w:rsidRDefault="000A5EDC" w:rsidP="169307FA">
      <w:pPr>
        <w:pStyle w:val="Heading1"/>
        <w:rPr>
          <w:rFonts w:ascii="Times New Roman" w:eastAsia="Times New Roman" w:hAnsi="Times New Roman" w:cs="Times New Roman"/>
          <w:b/>
          <w:bCs/>
          <w:color w:val="000000" w:themeColor="text1"/>
          <w:sz w:val="28"/>
          <w:szCs w:val="28"/>
        </w:rPr>
      </w:pPr>
    </w:p>
    <w:p w14:paraId="13860209" w14:textId="640BBF05" w:rsidR="000A5EDC" w:rsidRDefault="00B4131D" w:rsidP="169307FA">
      <w:r>
        <w:br w:type="page"/>
      </w:r>
    </w:p>
    <w:p w14:paraId="1303F302" w14:textId="120F94A3" w:rsidR="000A5EDC" w:rsidRDefault="00B4131D" w:rsidP="000A5EDC">
      <w:pPr>
        <w:pStyle w:val="Heading1"/>
        <w:rPr>
          <w:rFonts w:ascii="Times New Roman" w:eastAsia="Times New Roman" w:hAnsi="Times New Roman" w:cs="Times New Roman"/>
          <w:color w:val="000000" w:themeColor="text1"/>
          <w:sz w:val="28"/>
          <w:szCs w:val="28"/>
        </w:rPr>
      </w:pPr>
      <w:r w:rsidRPr="169307FA">
        <w:rPr>
          <w:rFonts w:ascii="Times New Roman" w:eastAsia="Times New Roman" w:hAnsi="Times New Roman" w:cs="Times New Roman"/>
          <w:b/>
          <w:bCs/>
          <w:color w:val="000000" w:themeColor="text1"/>
          <w:sz w:val="28"/>
          <w:szCs w:val="28"/>
        </w:rPr>
        <w:lastRenderedPageBreak/>
        <w:t xml:space="preserve">References </w:t>
      </w:r>
    </w:p>
    <w:p w14:paraId="198E4781" w14:textId="77777777" w:rsidR="000A5EDC" w:rsidRDefault="000A5EDC" w:rsidP="000A5EDC">
      <w:pPr>
        <w:rPr>
          <w:rFonts w:ascii="Times New Roman" w:eastAsia="Times New Roman" w:hAnsi="Times New Roman" w:cs="Times New Roman"/>
          <w:color w:val="000000" w:themeColor="text1"/>
        </w:rPr>
      </w:pPr>
    </w:p>
    <w:p w14:paraId="52AD96B9" w14:textId="0DD76EFE" w:rsidR="00021C9D" w:rsidRDefault="00021C9D" w:rsidP="00021C9D">
      <w:pPr>
        <w:rPr>
          <w:rFonts w:ascii="Times New Roman" w:eastAsia="Times New Roman" w:hAnsi="Times New Roman" w:cs="Times New Roman"/>
          <w:color w:val="000000" w:themeColor="text1"/>
        </w:rPr>
      </w:pPr>
      <w:r w:rsidRPr="169307FA">
        <w:rPr>
          <w:rFonts w:ascii="Times New Roman" w:eastAsia="Times New Roman" w:hAnsi="Times New Roman" w:cs="Times New Roman"/>
          <w:color w:val="000000" w:themeColor="text1"/>
        </w:rPr>
        <w:t>Heyen, W., Halsey, L., Robert Rea, Mick Syslo, Tim Krason, Tom Gernert, Jeremy Weigel,</w:t>
      </w:r>
      <w:r>
        <w:tab/>
      </w:r>
      <w:r w:rsidRPr="169307FA">
        <w:rPr>
          <w:rFonts w:ascii="Times New Roman" w:eastAsia="Times New Roman" w:hAnsi="Times New Roman" w:cs="Times New Roman"/>
          <w:color w:val="000000" w:themeColor="text1"/>
        </w:rPr>
        <w:t xml:space="preserve">Debra Swanson, &amp; Jim Beason. (n.d.). </w:t>
      </w:r>
      <w:r w:rsidRPr="169307FA">
        <w:rPr>
          <w:rFonts w:ascii="Times New Roman" w:eastAsia="Times New Roman" w:hAnsi="Times New Roman" w:cs="Times New Roman"/>
          <w:i/>
          <w:iCs/>
          <w:color w:val="000000" w:themeColor="text1"/>
        </w:rPr>
        <w:t>Optimized Aggregates Gradations for Portland</w:t>
      </w:r>
      <w:r>
        <w:tab/>
      </w:r>
      <w:r w:rsidRPr="169307FA">
        <w:rPr>
          <w:rFonts w:ascii="Times New Roman" w:eastAsia="Times New Roman" w:hAnsi="Times New Roman" w:cs="Times New Roman"/>
          <w:i/>
          <w:iCs/>
          <w:color w:val="000000" w:themeColor="text1"/>
        </w:rPr>
        <w:t>Cement Concrete Mix Designs Evaluation</w:t>
      </w:r>
      <w:r w:rsidRPr="169307FA">
        <w:rPr>
          <w:rFonts w:ascii="Times New Roman" w:eastAsia="Times New Roman" w:hAnsi="Times New Roman" w:cs="Times New Roman"/>
          <w:color w:val="000000" w:themeColor="text1"/>
        </w:rPr>
        <w:t xml:space="preserve">. </w:t>
      </w:r>
      <w:r w:rsidR="00E007B6" w:rsidRPr="169307FA">
        <w:rPr>
          <w:rFonts w:ascii="Times New Roman" w:eastAsia="Times New Roman" w:hAnsi="Times New Roman" w:cs="Times New Roman"/>
        </w:rPr>
        <w:t>https://dot.nebraska.gov/media/3isfdv45/final</w:t>
      </w:r>
      <w:r>
        <w:tab/>
      </w:r>
      <w:r w:rsidR="00E007B6" w:rsidRPr="169307FA">
        <w:rPr>
          <w:rFonts w:ascii="Times New Roman" w:eastAsia="Times New Roman" w:hAnsi="Times New Roman" w:cs="Times New Roman"/>
        </w:rPr>
        <w:t>report-p336.pdf</w:t>
      </w:r>
    </w:p>
    <w:p w14:paraId="4B381959" w14:textId="77777777" w:rsidR="00E007B6" w:rsidRPr="00021C9D" w:rsidRDefault="00E007B6" w:rsidP="00021C9D">
      <w:pPr>
        <w:rPr>
          <w:rFonts w:ascii="Times New Roman" w:eastAsia="Times New Roman" w:hAnsi="Times New Roman" w:cs="Times New Roman"/>
          <w:color w:val="000000" w:themeColor="text1"/>
        </w:rPr>
      </w:pPr>
    </w:p>
    <w:p w14:paraId="0259E70D" w14:textId="63C4179B" w:rsidR="000A5EDC" w:rsidRDefault="00B51CEC" w:rsidP="000A5EDC">
      <w:pPr>
        <w:rPr>
          <w:rFonts w:ascii="Times New Roman" w:eastAsia="Times New Roman" w:hAnsi="Times New Roman" w:cs="Times New Roman"/>
          <w:color w:val="000000" w:themeColor="text1"/>
        </w:rPr>
      </w:pPr>
      <w:r w:rsidRPr="169307FA">
        <w:rPr>
          <w:rFonts w:ascii="Times New Roman" w:eastAsia="Times New Roman" w:hAnsi="Times New Roman" w:cs="Times New Roman"/>
          <w:color w:val="000000" w:themeColor="text1"/>
        </w:rPr>
        <w:t xml:space="preserve">James J. Knott, P.E. &amp; Moe Jamshidi, PE. (2017). </w:t>
      </w:r>
      <w:r w:rsidRPr="169307FA">
        <w:rPr>
          <w:rFonts w:ascii="Times New Roman" w:eastAsia="Times New Roman" w:hAnsi="Times New Roman" w:cs="Times New Roman"/>
          <w:i/>
          <w:iCs/>
          <w:color w:val="000000" w:themeColor="text1"/>
        </w:rPr>
        <w:t>Standard Specifications for Highway</w:t>
      </w:r>
      <w:r>
        <w:tab/>
      </w:r>
      <w:r w:rsidRPr="169307FA">
        <w:rPr>
          <w:rFonts w:ascii="Times New Roman" w:eastAsia="Times New Roman" w:hAnsi="Times New Roman" w:cs="Times New Roman"/>
          <w:i/>
          <w:iCs/>
          <w:color w:val="000000" w:themeColor="text1"/>
        </w:rPr>
        <w:t>Construction 2017 Edition</w:t>
      </w:r>
      <w:r w:rsidRPr="169307FA">
        <w:rPr>
          <w:rFonts w:ascii="Times New Roman" w:eastAsia="Times New Roman" w:hAnsi="Times New Roman" w:cs="Times New Roman"/>
          <w:color w:val="000000" w:themeColor="text1"/>
        </w:rPr>
        <w:t xml:space="preserve">. Nebraska Department of Transportation. </w:t>
      </w:r>
      <w:r>
        <w:tab/>
      </w:r>
      <w:r w:rsidR="00E007B6" w:rsidRPr="169307FA">
        <w:rPr>
          <w:rFonts w:ascii="Times New Roman" w:eastAsia="Times New Roman" w:hAnsi="Times New Roman" w:cs="Times New Roman"/>
        </w:rPr>
        <w:t>https://dot.nebraska.gov/media/g4qp4y0d/2017-specbook.pdf</w:t>
      </w:r>
    </w:p>
    <w:p w14:paraId="5BC60924" w14:textId="77777777" w:rsidR="00E007B6" w:rsidRDefault="00E007B6" w:rsidP="000A5EDC">
      <w:pPr>
        <w:rPr>
          <w:rFonts w:ascii="Times New Roman" w:eastAsia="Times New Roman" w:hAnsi="Times New Roman" w:cs="Times New Roman"/>
          <w:color w:val="000000" w:themeColor="text1"/>
        </w:rPr>
      </w:pPr>
    </w:p>
    <w:p w14:paraId="50CAF4F3" w14:textId="77777777" w:rsidR="00E007B6" w:rsidRPr="00E007B6" w:rsidRDefault="00E007B6" w:rsidP="00E007B6">
      <w:pPr>
        <w:rPr>
          <w:rFonts w:ascii="Times New Roman" w:eastAsia="Times New Roman" w:hAnsi="Times New Roman" w:cs="Times New Roman"/>
          <w:color w:val="000000" w:themeColor="text1"/>
        </w:rPr>
      </w:pPr>
      <w:r w:rsidRPr="00E007B6">
        <w:rPr>
          <w:rFonts w:ascii="Times New Roman" w:eastAsia="Times New Roman" w:hAnsi="Times New Roman" w:cs="Times New Roman"/>
          <w:i/>
          <w:iCs/>
          <w:color w:val="000000" w:themeColor="text1"/>
        </w:rPr>
        <w:t>Tarantula Mixture Design</w:t>
      </w:r>
      <w:r w:rsidRPr="00E007B6">
        <w:rPr>
          <w:rFonts w:ascii="Times New Roman" w:eastAsia="Times New Roman" w:hAnsi="Times New Roman" w:cs="Times New Roman"/>
          <w:color w:val="000000" w:themeColor="text1"/>
        </w:rPr>
        <w:t>. (2021).</w:t>
      </w:r>
    </w:p>
    <w:p w14:paraId="206CA6BC" w14:textId="77777777" w:rsidR="00E007B6" w:rsidRDefault="00E007B6" w:rsidP="000A5EDC">
      <w:pPr>
        <w:rPr>
          <w:rFonts w:ascii="Times New Roman" w:eastAsia="Times New Roman" w:hAnsi="Times New Roman" w:cs="Times New Roman"/>
          <w:color w:val="000000" w:themeColor="text1"/>
        </w:rPr>
      </w:pPr>
    </w:p>
    <w:p w14:paraId="4E018044" w14:textId="77777777" w:rsidR="000A5EDC" w:rsidRDefault="000A5EDC" w:rsidP="000A5EDC">
      <w:pPr>
        <w:rPr>
          <w:rFonts w:ascii="Times New Roman" w:eastAsia="Times New Roman" w:hAnsi="Times New Roman" w:cs="Times New Roman"/>
          <w:color w:val="000000" w:themeColor="text1"/>
        </w:rPr>
      </w:pPr>
    </w:p>
    <w:p w14:paraId="2AA2806E" w14:textId="77777777" w:rsidR="000A5EDC" w:rsidRDefault="000A5EDC" w:rsidP="000A5EDC">
      <w:pPr>
        <w:rPr>
          <w:rFonts w:ascii="Times New Roman" w:eastAsia="Times New Roman" w:hAnsi="Times New Roman" w:cs="Times New Roman"/>
          <w:color w:val="000000" w:themeColor="text1"/>
        </w:rPr>
      </w:pPr>
    </w:p>
    <w:p w14:paraId="3725D0A1" w14:textId="77777777" w:rsidR="000A5EDC" w:rsidRDefault="000A5EDC" w:rsidP="000A5EDC"/>
    <w:p w14:paraId="0876F7B7" w14:textId="77777777" w:rsidR="00CA7041" w:rsidRDefault="00CA7041"/>
    <w:sectPr w:rsidR="00CA7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53EC"/>
    <w:multiLevelType w:val="hybridMultilevel"/>
    <w:tmpl w:val="83FCB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6721C"/>
    <w:multiLevelType w:val="multilevel"/>
    <w:tmpl w:val="F190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D70BE7"/>
    <w:multiLevelType w:val="multilevel"/>
    <w:tmpl w:val="BF9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07673"/>
    <w:multiLevelType w:val="multilevel"/>
    <w:tmpl w:val="CA2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13C69"/>
    <w:multiLevelType w:val="multilevel"/>
    <w:tmpl w:val="7558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D5E69"/>
    <w:multiLevelType w:val="multilevel"/>
    <w:tmpl w:val="332C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F5D6F"/>
    <w:multiLevelType w:val="multilevel"/>
    <w:tmpl w:val="7D2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D7C64"/>
    <w:multiLevelType w:val="multilevel"/>
    <w:tmpl w:val="98D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92BD3"/>
    <w:multiLevelType w:val="multilevel"/>
    <w:tmpl w:val="D76A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F6E11"/>
    <w:multiLevelType w:val="multilevel"/>
    <w:tmpl w:val="7D6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7D50"/>
    <w:multiLevelType w:val="multilevel"/>
    <w:tmpl w:val="5752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828103">
    <w:abstractNumId w:val="0"/>
  </w:num>
  <w:num w:numId="2" w16cid:durableId="757680770">
    <w:abstractNumId w:val="1"/>
  </w:num>
  <w:num w:numId="3" w16cid:durableId="923488790">
    <w:abstractNumId w:val="2"/>
  </w:num>
  <w:num w:numId="4" w16cid:durableId="1546789841">
    <w:abstractNumId w:val="9"/>
  </w:num>
  <w:num w:numId="5" w16cid:durableId="537473365">
    <w:abstractNumId w:val="4"/>
  </w:num>
  <w:num w:numId="6" w16cid:durableId="1447889988">
    <w:abstractNumId w:val="6"/>
  </w:num>
  <w:num w:numId="7" w16cid:durableId="1459379177">
    <w:abstractNumId w:val="7"/>
  </w:num>
  <w:num w:numId="8" w16cid:durableId="1077941377">
    <w:abstractNumId w:val="3"/>
  </w:num>
  <w:num w:numId="9" w16cid:durableId="473789568">
    <w:abstractNumId w:val="8"/>
  </w:num>
  <w:num w:numId="10" w16cid:durableId="866678144">
    <w:abstractNumId w:val="10"/>
  </w:num>
  <w:num w:numId="11" w16cid:durableId="1796674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94"/>
    <w:rsid w:val="00021C9D"/>
    <w:rsid w:val="000508B0"/>
    <w:rsid w:val="00061019"/>
    <w:rsid w:val="000A2450"/>
    <w:rsid w:val="000A424C"/>
    <w:rsid w:val="000A5EDC"/>
    <w:rsid w:val="000E2029"/>
    <w:rsid w:val="00102428"/>
    <w:rsid w:val="0010689D"/>
    <w:rsid w:val="0012219C"/>
    <w:rsid w:val="0014144D"/>
    <w:rsid w:val="001701B0"/>
    <w:rsid w:val="00171DD2"/>
    <w:rsid w:val="001C3DD6"/>
    <w:rsid w:val="001C4661"/>
    <w:rsid w:val="001D3C2D"/>
    <w:rsid w:val="0025040A"/>
    <w:rsid w:val="00262D97"/>
    <w:rsid w:val="00267B77"/>
    <w:rsid w:val="00271594"/>
    <w:rsid w:val="002F3A1B"/>
    <w:rsid w:val="00322CD9"/>
    <w:rsid w:val="00353DC5"/>
    <w:rsid w:val="00362265"/>
    <w:rsid w:val="003D66E8"/>
    <w:rsid w:val="0040316E"/>
    <w:rsid w:val="00441219"/>
    <w:rsid w:val="00520616"/>
    <w:rsid w:val="00547E9E"/>
    <w:rsid w:val="00567FF0"/>
    <w:rsid w:val="005737B9"/>
    <w:rsid w:val="00584DB7"/>
    <w:rsid w:val="00595D08"/>
    <w:rsid w:val="005A01AF"/>
    <w:rsid w:val="005F01A3"/>
    <w:rsid w:val="005F136F"/>
    <w:rsid w:val="00614429"/>
    <w:rsid w:val="00647B15"/>
    <w:rsid w:val="00672446"/>
    <w:rsid w:val="0067656D"/>
    <w:rsid w:val="00685722"/>
    <w:rsid w:val="006C4C60"/>
    <w:rsid w:val="006D1A8D"/>
    <w:rsid w:val="007030AC"/>
    <w:rsid w:val="00712F98"/>
    <w:rsid w:val="0072074A"/>
    <w:rsid w:val="00775B56"/>
    <w:rsid w:val="007B2625"/>
    <w:rsid w:val="007B5B10"/>
    <w:rsid w:val="007D7498"/>
    <w:rsid w:val="007E54C1"/>
    <w:rsid w:val="007E743F"/>
    <w:rsid w:val="00842F8E"/>
    <w:rsid w:val="008A388F"/>
    <w:rsid w:val="00954950"/>
    <w:rsid w:val="00981516"/>
    <w:rsid w:val="009C018C"/>
    <w:rsid w:val="009D26CB"/>
    <w:rsid w:val="00A00414"/>
    <w:rsid w:val="00A751F8"/>
    <w:rsid w:val="00A95EFC"/>
    <w:rsid w:val="00AC2A29"/>
    <w:rsid w:val="00AC2CEB"/>
    <w:rsid w:val="00AD259E"/>
    <w:rsid w:val="00B4131D"/>
    <w:rsid w:val="00B51CEC"/>
    <w:rsid w:val="00B5492C"/>
    <w:rsid w:val="00B55EF3"/>
    <w:rsid w:val="00B91832"/>
    <w:rsid w:val="00BA3B15"/>
    <w:rsid w:val="00BF1D95"/>
    <w:rsid w:val="00C151A5"/>
    <w:rsid w:val="00C46911"/>
    <w:rsid w:val="00C54658"/>
    <w:rsid w:val="00C75800"/>
    <w:rsid w:val="00C869E9"/>
    <w:rsid w:val="00C879E7"/>
    <w:rsid w:val="00CA7041"/>
    <w:rsid w:val="00D0254D"/>
    <w:rsid w:val="00D152D6"/>
    <w:rsid w:val="00D1746F"/>
    <w:rsid w:val="00D2010D"/>
    <w:rsid w:val="00D232F9"/>
    <w:rsid w:val="00D239E5"/>
    <w:rsid w:val="00D425A0"/>
    <w:rsid w:val="00D506CE"/>
    <w:rsid w:val="00D64AA7"/>
    <w:rsid w:val="00D66901"/>
    <w:rsid w:val="00D906EE"/>
    <w:rsid w:val="00DA7345"/>
    <w:rsid w:val="00DC1CBE"/>
    <w:rsid w:val="00DF3C42"/>
    <w:rsid w:val="00E007B6"/>
    <w:rsid w:val="00E218BD"/>
    <w:rsid w:val="00E53710"/>
    <w:rsid w:val="00E55117"/>
    <w:rsid w:val="00EC0061"/>
    <w:rsid w:val="00EF5D8B"/>
    <w:rsid w:val="00F23396"/>
    <w:rsid w:val="00F44CD4"/>
    <w:rsid w:val="00FF6E65"/>
    <w:rsid w:val="147A364B"/>
    <w:rsid w:val="152B3356"/>
    <w:rsid w:val="169307FA"/>
    <w:rsid w:val="1ECDEC74"/>
    <w:rsid w:val="2419A6B4"/>
    <w:rsid w:val="327587CE"/>
    <w:rsid w:val="38524B3D"/>
    <w:rsid w:val="52AB602D"/>
    <w:rsid w:val="592DA341"/>
    <w:rsid w:val="62E9EE98"/>
    <w:rsid w:val="7D0D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3EA9"/>
  <w15:chartTrackingRefBased/>
  <w15:docId w15:val="{754C611F-27DD-4138-BFED-9D6CF75C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DC"/>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271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94"/>
    <w:rPr>
      <w:rFonts w:eastAsiaTheme="majorEastAsia" w:cstheme="majorBidi"/>
      <w:color w:val="272727" w:themeColor="text1" w:themeTint="D8"/>
    </w:rPr>
  </w:style>
  <w:style w:type="paragraph" w:styleId="Title">
    <w:name w:val="Title"/>
    <w:basedOn w:val="Normal"/>
    <w:next w:val="Normal"/>
    <w:link w:val="TitleChar"/>
    <w:uiPriority w:val="10"/>
    <w:qFormat/>
    <w:rsid w:val="0027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94"/>
    <w:pPr>
      <w:spacing w:before="160"/>
      <w:jc w:val="center"/>
    </w:pPr>
    <w:rPr>
      <w:i/>
      <w:iCs/>
      <w:color w:val="404040" w:themeColor="text1" w:themeTint="BF"/>
    </w:rPr>
  </w:style>
  <w:style w:type="character" w:customStyle="1" w:styleId="QuoteChar">
    <w:name w:val="Quote Char"/>
    <w:basedOn w:val="DefaultParagraphFont"/>
    <w:link w:val="Quote"/>
    <w:uiPriority w:val="29"/>
    <w:rsid w:val="00271594"/>
    <w:rPr>
      <w:i/>
      <w:iCs/>
      <w:color w:val="404040" w:themeColor="text1" w:themeTint="BF"/>
    </w:rPr>
  </w:style>
  <w:style w:type="paragraph" w:styleId="ListParagraph">
    <w:name w:val="List Paragraph"/>
    <w:basedOn w:val="Normal"/>
    <w:uiPriority w:val="34"/>
    <w:qFormat/>
    <w:rsid w:val="00271594"/>
    <w:pPr>
      <w:ind w:left="720"/>
      <w:contextualSpacing/>
    </w:pPr>
  </w:style>
  <w:style w:type="character" w:styleId="IntenseEmphasis">
    <w:name w:val="Intense Emphasis"/>
    <w:basedOn w:val="DefaultParagraphFont"/>
    <w:uiPriority w:val="21"/>
    <w:qFormat/>
    <w:rsid w:val="00271594"/>
    <w:rPr>
      <w:i/>
      <w:iCs/>
      <w:color w:val="2F5496" w:themeColor="accent1" w:themeShade="BF"/>
    </w:rPr>
  </w:style>
  <w:style w:type="paragraph" w:styleId="IntenseQuote">
    <w:name w:val="Intense Quote"/>
    <w:basedOn w:val="Normal"/>
    <w:next w:val="Normal"/>
    <w:link w:val="IntenseQuoteChar"/>
    <w:uiPriority w:val="30"/>
    <w:qFormat/>
    <w:rsid w:val="00271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594"/>
    <w:rPr>
      <w:i/>
      <w:iCs/>
      <w:color w:val="2F5496" w:themeColor="accent1" w:themeShade="BF"/>
    </w:rPr>
  </w:style>
  <w:style w:type="character" w:styleId="IntenseReference">
    <w:name w:val="Intense Reference"/>
    <w:basedOn w:val="DefaultParagraphFont"/>
    <w:uiPriority w:val="32"/>
    <w:qFormat/>
    <w:rsid w:val="00271594"/>
    <w:rPr>
      <w:b/>
      <w:bCs/>
      <w:smallCaps/>
      <w:color w:val="2F5496" w:themeColor="accent1" w:themeShade="BF"/>
      <w:spacing w:val="5"/>
    </w:rPr>
  </w:style>
  <w:style w:type="character" w:styleId="Hyperlink">
    <w:name w:val="Hyperlink"/>
    <w:basedOn w:val="DefaultParagraphFont"/>
    <w:uiPriority w:val="99"/>
    <w:unhideWhenUsed/>
    <w:rsid w:val="00E007B6"/>
    <w:rPr>
      <w:color w:val="0563C1" w:themeColor="hyperlink"/>
      <w:u w:val="single"/>
    </w:rPr>
  </w:style>
  <w:style w:type="character" w:styleId="UnresolvedMention">
    <w:name w:val="Unresolved Mention"/>
    <w:basedOn w:val="DefaultParagraphFont"/>
    <w:uiPriority w:val="99"/>
    <w:semiHidden/>
    <w:unhideWhenUsed/>
    <w:rsid w:val="00E00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8" ma:contentTypeDescription="Create a new document." ma:contentTypeScope="" ma:versionID="738a4baed04d223e49b98cfa35c7dd91">
  <xsd:schema xmlns:xsd="http://www.w3.org/2001/XMLSchema" xmlns:xs="http://www.w3.org/2001/XMLSchema" xmlns:p="http://schemas.microsoft.com/office/2006/metadata/properties" xmlns:ns3="e9421992-1748-4946-9df7-7dcc5eeedeef" targetNamespace="http://schemas.microsoft.com/office/2006/metadata/properties" ma:root="true" ma:fieldsID="5f83f7333ceaf027929a01b6cc979dd6"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21652B-B6DA-4357-A9AB-5DA12FFED9FB}">
  <ds:schemaRefs>
    <ds:schemaRef ds:uri="http://schemas.microsoft.com/sharepoint/v3/contenttype/forms"/>
  </ds:schemaRefs>
</ds:datastoreItem>
</file>

<file path=customXml/itemProps2.xml><?xml version="1.0" encoding="utf-8"?>
<ds:datastoreItem xmlns:ds="http://schemas.openxmlformats.org/officeDocument/2006/customXml" ds:itemID="{8BAADD57-8023-4A61-9DD0-5F81A5963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E104B2-8013-4CE5-AD99-E820F550C925}">
  <ds:schemaRefs>
    <ds:schemaRef ds:uri="http://purl.org/dc/terms/"/>
    <ds:schemaRef ds:uri="http://schemas.microsoft.com/office/2006/metadata/properties"/>
    <ds:schemaRef ds:uri="http://www.w3.org/XML/1998/namespac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e9421992-1748-4946-9df7-7dcc5eeedee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1659</Words>
  <Characters>9460</Characters>
  <Application>Microsoft Office Word</Application>
  <DocSecurity>0</DocSecurity>
  <Lines>78</Lines>
  <Paragraphs>22</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Smith</dc:creator>
  <cp:keywords/>
  <dc:description/>
  <cp:lastModifiedBy>Rylee Renner</cp:lastModifiedBy>
  <cp:revision>2</cp:revision>
  <dcterms:created xsi:type="dcterms:W3CDTF">2026-02-24T19:53:00Z</dcterms:created>
  <dcterms:modified xsi:type="dcterms:W3CDTF">2026-02-24T19:53:00Z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e6460790-e6da-4774-9b75-5588527eb2a9</vt:lpwstr>
  </property>
  <property fmtid="{D5CDD505-2E9C-101B-9397-08002B2CF9AE}" pid="3" name="ContentTypeId">
    <vt:lpwstr>0x010100E13BDF199B2F7A44A7B3C70F4EA79324</vt:lpwstr>
  </property>
</Properties>
</file>