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6F42C1"/>
          <w:sz w:val="36"/>
        </w:rPr>
        <w:t>SCHEME OF WORK</w:t>
      </w:r>
    </w:p>
    <w:p>
      <w:pPr>
        <w:spacing w:after="200"/>
        <w:jc w:val="center"/>
      </w:pPr>
      <w:r>
        <w:rPr>
          <w:b/>
          <w:sz w:val="20"/>
        </w:rPr>
        <w:t>WUC |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Programme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Craft Certificate in Automotive Mechanics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Academic year</w:t>
            </w:r>
          </w:p>
        </w:tc>
        <w:tc>
          <w:tcPr>
            <w:tcW w:type="dxa" w:w="63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2026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Course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CCAM-101 — Workshop Practice and Processes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Academic period</w:t>
            </w:r>
          </w:p>
        </w:tc>
        <w:tc>
          <w:tcPr>
            <w:tcW w:type="dxa" w:w="63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Term 1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Lecturer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Test AllRoles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4C2C8B"/>
                <w:sz w:val="17"/>
              </w:rPr>
              <w:t>Document</w:t>
            </w:r>
          </w:p>
        </w:tc>
        <w:tc>
          <w:tcPr>
            <w:tcW w:type="dxa" w:w="63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SOW-2026-00001 | v1 | APPROVED</w:t>
            </w:r>
          </w:p>
        </w:tc>
      </w:tr>
    </w:tbl>
    <w:p>
      <w:pPr>
        <w:spacing w:after="40"/>
      </w:pPr>
    </w:p>
    <w:tbl>
      <w:tblPr>
        <w:tblStyle w:val="TableGrid"/>
        <w:tblW w:type="dxa" w:w="1440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blHeader w:val="true"/>
        </w:trPr>
        <w:tc>
          <w:tcPr>
            <w:tcW w:type="dxa" w:w="1152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Week / date</w:t>
            </w:r>
          </w:p>
        </w:tc>
        <w:tc>
          <w:tcPr>
            <w:tcW w:type="dxa" w:w="2880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Topic &amp; subtopics</w:t>
            </w:r>
          </w:p>
        </w:tc>
        <w:tc>
          <w:tcPr>
            <w:tcW w:type="dxa" w:w="2232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Learning outcome</w:t>
            </w:r>
          </w:p>
        </w:tc>
        <w:tc>
          <w:tcPr>
            <w:tcW w:type="dxa" w:w="3096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Methods &amp; activities</w:t>
            </w:r>
          </w:p>
        </w:tc>
        <w:tc>
          <w:tcPr>
            <w:tcW w:type="dxa" w:w="1655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Resources</w:t>
            </w:r>
          </w:p>
        </w:tc>
        <w:tc>
          <w:tcPr>
            <w:tcW w:type="dxa" w:w="1655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Assessment</w:t>
            </w:r>
          </w:p>
        </w:tc>
        <w:tc>
          <w:tcPr>
            <w:tcW w:type="dxa" w:w="792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Hours</w:t>
            </w:r>
          </w:p>
        </w:tc>
        <w:tc>
          <w:tcPr>
            <w:tcW w:type="dxa" w:w="936"/>
            <w:vAlign w:val="center"/>
            <w:shd w:fill="6F42C1"/>
          </w:tcPr>
          <w:p>
            <w:pPr>
              <w:spacing w:after="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Remarks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Approved Test Topic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Apply the approved test outcome.</w:t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Guided instruction, demonstration and learner practice</w:t>
              <w:br/>
              <w:t>Lecturer: Explain, demonstrate, question and provide feedback.</w:t>
              <w:br/>
              <w:t>Learners: Observe, discuss, practise and respond to checks for understanding.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Formative questioning and task observation</w:t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W2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W3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W4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W5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W6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W7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W8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W9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W10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W11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W12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W13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W14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W15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W16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W17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W18</w:t>
              <w:br/>
              <w:t>0000-00-00</w:t>
              <w:br/>
              <w:t>08:00–10:00</w:t>
            </w:r>
          </w:p>
        </w:tc>
        <w:tc>
          <w:tcPr>
            <w:tcW w:type="dxa" w:w="2880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Revision / contingency session</w:t>
              <w:br/>
              <w:t/>
            </w:r>
          </w:p>
        </w:tc>
        <w:tc>
          <w:tcPr>
            <w:tcW w:type="dxa" w:w="223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309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  <w:br/>
              <w:t>Lecturer: </w:t>
              <w:br/>
              <w:t>Learners: </w:t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1655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  <w:tc>
          <w:tcPr>
            <w:tcW w:type="dxa" w:w="792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>120 minutes</w:t>
            </w:r>
          </w:p>
        </w:tc>
        <w:tc>
          <w:tcPr>
            <w:tcW w:type="dxa" w:w="936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sz w:val="15"/>
              </w:rPr>
              <w:t/>
            </w:r>
          </w:p>
        </w:tc>
      </w:tr>
    </w:tbl>
    <w:p>
      <w:pPr>
        <w:spacing w:before="120" w:after="0"/>
      </w:pPr>
      <w:r>
        <w:rPr>
          <w:color w:val="5A526E"/>
          <w:sz w:val="16"/>
        </w:rPr>
        <w:t>References:   |  Template preview watermark: 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20" w:bottom="792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Template-controlled layout • Approved syllabus content • Deterministic scheduling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color w:val="5A526E"/>
        <w:sz w:val="16"/>
      </w:rPr>
      <w:t>WUC | Academic Quality Assurance | Controlled Teaching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