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6F42C1"/>
          <w:sz w:val="36"/>
        </w:rPr>
        <w:t>SCHEME OF WORK</w:t>
      </w:r>
    </w:p>
    <w:p>
      <w:pPr>
        <w:spacing w:after="200"/>
        <w:jc w:val="center"/>
      </w:pPr>
      <w:r>
        <w:rPr>
          <w:b/>
          <w:sz w:val="20"/>
        </w:rPr>
        <w:t>{{institution_name}} | {{department_name}}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15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4C2C8B"/>
                <w:sz w:val="17"/>
              </w:rPr>
              <w:t>Programme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{{programme_name}}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4C2C8B"/>
                <w:sz w:val="17"/>
              </w:rPr>
              <w:t>Academic year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{{academic_year}}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4C2C8B"/>
                <w:sz w:val="17"/>
              </w:rPr>
              <w:t>Course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{{course_code}} — {{course_name}}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4C2C8B"/>
                <w:sz w:val="17"/>
              </w:rPr>
              <w:t>Academic period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{{academic_period}}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4C2C8B"/>
                <w:sz w:val="17"/>
              </w:rPr>
              <w:t>Lecturer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{{lecturer_name}}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4C2C8B"/>
                <w:sz w:val="17"/>
              </w:rPr>
              <w:t>Document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{{document_number}} | v{{document_version}} | {{approval_status}}</w:t>
            </w:r>
          </w:p>
        </w:tc>
      </w:tr>
    </w:tbl>
    <w:p>
      <w:pPr>
        <w:spacing w:after="40"/>
      </w:pP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blHeader w:val="true"/>
        </w:trPr>
        <w:tc>
          <w:tcPr>
            <w:tcW w:type="dxa" w:w="1152"/>
            <w:vAlign w:val="center"/>
            <w:shd w:fill="6F42C1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Week / date</w:t>
            </w:r>
          </w:p>
        </w:tc>
        <w:tc>
          <w:tcPr>
            <w:tcW w:type="dxa" w:w="2880"/>
            <w:vAlign w:val="center"/>
            <w:shd w:fill="6F42C1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Topic &amp; subtopics</w:t>
            </w:r>
          </w:p>
        </w:tc>
        <w:tc>
          <w:tcPr>
            <w:tcW w:type="dxa" w:w="2232"/>
            <w:vAlign w:val="center"/>
            <w:shd w:fill="6F42C1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Learning outcome</w:t>
            </w:r>
          </w:p>
        </w:tc>
        <w:tc>
          <w:tcPr>
            <w:tcW w:type="dxa" w:w="3096"/>
            <w:vAlign w:val="center"/>
            <w:shd w:fill="6F42C1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Methods &amp; activities</w:t>
            </w:r>
          </w:p>
        </w:tc>
        <w:tc>
          <w:tcPr>
            <w:tcW w:type="dxa" w:w="1655"/>
            <w:vAlign w:val="center"/>
            <w:shd w:fill="6F42C1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Resources</w:t>
            </w:r>
          </w:p>
        </w:tc>
        <w:tc>
          <w:tcPr>
            <w:tcW w:type="dxa" w:w="1655"/>
            <w:vAlign w:val="center"/>
            <w:shd w:fill="6F42C1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Assessment</w:t>
            </w:r>
          </w:p>
        </w:tc>
        <w:tc>
          <w:tcPr>
            <w:tcW w:type="dxa" w:w="792"/>
            <w:vAlign w:val="center"/>
            <w:shd w:fill="6F42C1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Hours</w:t>
            </w:r>
          </w:p>
        </w:tc>
        <w:tc>
          <w:tcPr>
            <w:tcW w:type="dxa" w:w="936"/>
            <w:vAlign w:val="center"/>
            <w:shd w:fill="6F42C1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Remarks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W{{week_number}}</w:t>
              <w:br/>
              <w:t>{{session_date}}</w:t>
              <w:br/>
              <w:t>{{start_time}}–{{end_time}}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{{topic}}</w:t>
              <w:br/>
              <w:t>{{subtopics}}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{{learning_outcomes}}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{{teaching_methods}}</w:t>
              <w:br/>
              <w:t>Lecturer: {{lecturer_activities}}</w:t>
              <w:br/>
              <w:t>Learners: {{learner_activities}}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{{resources}}</w:t>
            </w:r>
          </w:p>
        </w:tc>
        <w:tc>
          <w:tcPr>
            <w:tcW w:type="dxa" w:w="165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{{assessment_method}}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{{duration}}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{{remarks}}</w:t>
            </w:r>
          </w:p>
        </w:tc>
      </w:tr>
    </w:tbl>
    <w:p>
      <w:pPr>
        <w:spacing w:before="120" w:after="0"/>
      </w:pPr>
      <w:r>
        <w:rPr>
          <w:color w:val="5A526E"/>
          <w:sz w:val="16"/>
        </w:rPr>
        <w:t>References: {{references}}  |  Template preview watermark: {{watermark}}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20" w:bottom="792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Template-controlled layout • Approved syllabus content • Deterministic scheduling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color w:val="5A526E"/>
        <w:sz w:val="16"/>
      </w:rPr>
      <w:t>WUC | Academic Quality Assurance | Controlled Teaching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