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6B" w:rsidRDefault="0027250F">
      <w:r w:rsidRPr="0027250F">
        <w:drawing>
          <wp:inline distT="0" distB="0" distL="0" distR="0">
            <wp:extent cx="8976095" cy="5550196"/>
            <wp:effectExtent l="19050" t="0" r="1550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D5C6B" w:rsidSect="0027250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250F"/>
    <w:rsid w:val="0027250F"/>
    <w:rsid w:val="005D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5C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2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okresu drgań</a:t>
            </a:r>
            <a:r>
              <a:rPr lang="pl-PL" baseline="0"/>
              <a:t> T od odległości x ciężarka od ostrza</a:t>
            </a:r>
            <a:endParaRPr lang="pl-PL"/>
          </a:p>
        </c:rich>
      </c:tx>
    </c:title>
    <c:plotArea>
      <c:layout/>
      <c:lineChart>
        <c:grouping val="standard"/>
        <c:ser>
          <c:idx val="0"/>
          <c:order val="0"/>
          <c:tx>
            <c:v>T1</c:v>
          </c:tx>
          <c:marker>
            <c:symbol val="none"/>
          </c:marker>
          <c:cat>
            <c:numRef>
              <c:f>Arkusz1!$B$3:$B$23</c:f>
              <c:numCache>
                <c:formatCode>General</c:formatCode>
                <c:ptCount val="2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</c:numCache>
            </c:numRef>
          </c:cat>
          <c:val>
            <c:numRef>
              <c:f>Arkusz1!$F$3:$F$23</c:f>
              <c:numCache>
                <c:formatCode>General</c:formatCode>
                <c:ptCount val="21"/>
                <c:pt idx="0">
                  <c:v>1.337</c:v>
                </c:pt>
                <c:pt idx="1">
                  <c:v>1.1930000000000001</c:v>
                </c:pt>
                <c:pt idx="2">
                  <c:v>1.1179999999999997</c:v>
                </c:pt>
                <c:pt idx="3">
                  <c:v>1.0720000000000001</c:v>
                </c:pt>
                <c:pt idx="4">
                  <c:v>1.046</c:v>
                </c:pt>
                <c:pt idx="5">
                  <c:v>1.036</c:v>
                </c:pt>
                <c:pt idx="6">
                  <c:v>1.036</c:v>
                </c:pt>
                <c:pt idx="7">
                  <c:v>1.0429999999999997</c:v>
                </c:pt>
                <c:pt idx="8">
                  <c:v>1.0550000000000002</c:v>
                </c:pt>
                <c:pt idx="9">
                  <c:v>1.073</c:v>
                </c:pt>
                <c:pt idx="10">
                  <c:v>1.091</c:v>
                </c:pt>
                <c:pt idx="11">
                  <c:v>1.113</c:v>
                </c:pt>
                <c:pt idx="12">
                  <c:v>1.137</c:v>
                </c:pt>
                <c:pt idx="13">
                  <c:v>1.1599999999999997</c:v>
                </c:pt>
                <c:pt idx="14">
                  <c:v>1.1859999999999997</c:v>
                </c:pt>
                <c:pt idx="15">
                  <c:v>1.2109999999999996</c:v>
                </c:pt>
                <c:pt idx="16">
                  <c:v>1.2369999999999997</c:v>
                </c:pt>
                <c:pt idx="17">
                  <c:v>1.262</c:v>
                </c:pt>
                <c:pt idx="18">
                  <c:v>1.2869999999999997</c:v>
                </c:pt>
                <c:pt idx="19">
                  <c:v>1.3130000000000002</c:v>
                </c:pt>
                <c:pt idx="20">
                  <c:v>1.339</c:v>
                </c:pt>
              </c:numCache>
            </c:numRef>
          </c:val>
        </c:ser>
        <c:ser>
          <c:idx val="1"/>
          <c:order val="1"/>
          <c:tx>
            <c:v>T2</c:v>
          </c:tx>
          <c:marker>
            <c:symbol val="none"/>
          </c:marker>
          <c:cat>
            <c:numRef>
              <c:f>Arkusz1!$B$3:$B$23</c:f>
              <c:numCache>
                <c:formatCode>General</c:formatCode>
                <c:ptCount val="2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</c:numCache>
            </c:numRef>
          </c:cat>
          <c:val>
            <c:numRef>
              <c:f>Arkusz1!$G$3:$G$23</c:f>
              <c:numCache>
                <c:formatCode>General</c:formatCode>
                <c:ptCount val="21"/>
                <c:pt idx="0">
                  <c:v>1.3260000000000001</c:v>
                </c:pt>
                <c:pt idx="1">
                  <c:v>1.3080000000000001</c:v>
                </c:pt>
                <c:pt idx="2">
                  <c:v>1.292</c:v>
                </c:pt>
                <c:pt idx="3">
                  <c:v>1.2749999999999997</c:v>
                </c:pt>
                <c:pt idx="4">
                  <c:v>1.2689999999999997</c:v>
                </c:pt>
                <c:pt idx="5">
                  <c:v>1.262</c:v>
                </c:pt>
                <c:pt idx="6">
                  <c:v>1.256</c:v>
                </c:pt>
                <c:pt idx="7">
                  <c:v>1.252</c:v>
                </c:pt>
                <c:pt idx="8">
                  <c:v>1.2509999999999997</c:v>
                </c:pt>
                <c:pt idx="9">
                  <c:v>1.25</c:v>
                </c:pt>
                <c:pt idx="10">
                  <c:v>1.254</c:v>
                </c:pt>
                <c:pt idx="11">
                  <c:v>1.2569999999999999</c:v>
                </c:pt>
                <c:pt idx="12">
                  <c:v>1.262</c:v>
                </c:pt>
                <c:pt idx="13">
                  <c:v>1.268</c:v>
                </c:pt>
                <c:pt idx="14">
                  <c:v>1.2749999999999997</c:v>
                </c:pt>
                <c:pt idx="15">
                  <c:v>1.284</c:v>
                </c:pt>
                <c:pt idx="16">
                  <c:v>1.2929999999999997</c:v>
                </c:pt>
                <c:pt idx="17">
                  <c:v>1.3029999999999997</c:v>
                </c:pt>
                <c:pt idx="18">
                  <c:v>1.3130000000000002</c:v>
                </c:pt>
                <c:pt idx="19">
                  <c:v>1.325</c:v>
                </c:pt>
                <c:pt idx="20">
                  <c:v>1.339</c:v>
                </c:pt>
              </c:numCache>
            </c:numRef>
          </c:val>
        </c:ser>
        <c:hiLowLines>
          <c:spPr>
            <a:ln>
              <a:solidFill>
                <a:sysClr val="window" lastClr="FFFFFF"/>
              </a:solidFill>
            </a:ln>
          </c:spPr>
        </c:hiLowLines>
        <c:marker val="1"/>
        <c:axId val="109909120"/>
        <c:axId val="109911040"/>
      </c:lineChart>
      <c:catAx>
        <c:axId val="109909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Odległość ciężarka</a:t>
                </a:r>
                <a:r>
                  <a:rPr lang="pl-PL" sz="1200" baseline="0"/>
                  <a:t> [cm]</a:t>
                </a:r>
                <a:endParaRPr lang="pl-PL" sz="1200"/>
              </a:p>
            </c:rich>
          </c:tx>
        </c:title>
        <c:numFmt formatCode="General" sourceLinked="1"/>
        <c:majorTickMark val="none"/>
        <c:tickLblPos val="nextTo"/>
        <c:crossAx val="109911040"/>
        <c:crosses val="autoZero"/>
        <c:auto val="1"/>
        <c:lblAlgn val="ctr"/>
        <c:lblOffset val="100"/>
      </c:catAx>
      <c:valAx>
        <c:axId val="1099110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Czas twania</a:t>
                </a:r>
                <a:r>
                  <a:rPr lang="pl-PL" sz="1200" baseline="0"/>
                  <a:t> drgania [s]</a:t>
                </a:r>
                <a:endParaRPr lang="pl-PL" sz="1200"/>
              </a:p>
            </c:rich>
          </c:tx>
        </c:title>
        <c:numFmt formatCode="General" sourceLinked="1"/>
        <c:tickLblPos val="nextTo"/>
        <c:crossAx val="109909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Gaj</dc:creator>
  <cp:lastModifiedBy>Michal Gaj</cp:lastModifiedBy>
  <cp:revision>1</cp:revision>
  <dcterms:created xsi:type="dcterms:W3CDTF">2017-03-15T21:07:00Z</dcterms:created>
  <dcterms:modified xsi:type="dcterms:W3CDTF">2017-03-15T21:09:00Z</dcterms:modified>
</cp:coreProperties>
</file>