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pPr>
      <w:r>
        <w:rPr>
          <w:rFonts w:ascii="Arial" w:cs="Arial" w:eastAsia="Arial" w:hAnsi="Arial"/>
          <w:b/>
          <w:bCs/>
          <w:color w:val="1B4F8C"/>
          <w:sz w:val="52"/>
          <w:szCs w:val="52"/>
        </w:rPr>
        <w:t xml:space="preserve">Hub Locator</w:t>
      </w:r>
    </w:p>
    <w:p>
      <w:pPr>
        <w:pBdr>
          <w:bottom w:val="single" w:color="2E75B6" w:sz="12" w:space="4"/>
        </w:pBdr>
        <w:spacing w:after="80" w:before="0"/>
      </w:pPr>
      <w:r>
        <w:rPr>
          <w:rFonts w:ascii="Arial" w:cs="Arial" w:eastAsia="Arial" w:hAnsi="Arial"/>
          <w:color w:val="2E75B6"/>
          <w:sz w:val="28"/>
          <w:szCs w:val="28"/>
        </w:rPr>
        <w:t xml:space="preserve">Metro Analysis Page — Component Reference</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2E"/>
                <w:sz w:val="19"/>
                <w:szCs w:val="19"/>
              </w:rPr>
              <w:t xml:space="preserve">Route</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ourier New" w:cs="Courier New" w:eastAsia="Courier New" w:hAnsi="Courier New"/>
                <w:color w:val="555555"/>
                <w:sz w:val="19"/>
                <w:szCs w:val="19"/>
              </w:rPr>
              <w:t xml:space="preserve">/hub-locator/[city]/[state]</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2E"/>
                <w:sz w:val="19"/>
                <w:szCs w:val="19"/>
              </w:rPr>
              <w:t xml:space="preserve">Canvas Component</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ourier New" w:cs="Courier New" w:eastAsia="Courier New" w:hAnsi="Courier New"/>
                <w:color w:val="555555"/>
                <w:sz w:val="19"/>
                <w:szCs w:val="19"/>
              </w:rPr>
              <w:t xml:space="preserve">MetroAnalysisCanvas.tsx</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2E"/>
                <w:sz w:val="19"/>
                <w:szCs w:val="19"/>
              </w:rPr>
              <w:t xml:space="preserve">Total Components</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19"/>
                <w:szCs w:val="19"/>
              </w:rPr>
              <w:t xml:space="preserve">10</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1A2E"/>
                <w:sz w:val="19"/>
                <w:szCs w:val="19"/>
              </w:rPr>
              <w:t xml:space="preserve">Last Updated</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19"/>
                <w:szCs w:val="19"/>
              </w:rPr>
              <w:t xml:space="preserve">April 24, 2026</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B4F8C"/>
          <w:sz w:val="28"/>
          <w:szCs w:val="28"/>
        </w:rPr>
        <w:t xml:space="preserve">Overview</w:t>
      </w:r>
    </w:p>
    <w:p>
      <w:pPr>
        <w:spacing w:after="60" w:before="60"/>
      </w:pPr>
      <w:r>
        <w:rPr>
          <w:rFonts w:ascii="Arial" w:cs="Arial" w:eastAsia="Arial" w:hAnsi="Arial"/>
          <w:color w:val="555555"/>
          <w:sz w:val="20"/>
          <w:szCs w:val="20"/>
        </w:rPr>
        <w:t xml:space="preserve">The Hub Locator Metro Analysis page is the primary decision-support interface for evaluating whether a given metropolitan market is viable for a flex-work hub. It combines demand analytics, economic modeling, behavioral classification, and geospatial visualization into a single integrated canvas.</w:t>
      </w:r>
    </w:p>
    <w:p>
      <w:pPr>
        <w:spacing w:after="0" w:before="60"/>
      </w:pPr>
      <w:r>
        <w:t xml:space="preserve"/>
      </w:r>
    </w:p>
    <w:p>
      <w:pPr>
        <w:spacing w:after="60" w:before="60"/>
      </w:pPr>
      <w:r>
        <w:rPr>
          <w:rFonts w:ascii="Arial" w:cs="Arial" w:eastAsia="Arial" w:hAnsi="Arial"/>
          <w:color w:val="555555"/>
          <w:sz w:val="20"/>
          <w:szCs w:val="20"/>
        </w:rPr>
        <w:t xml:space="preserve">The page is organized around a central scoring model — the Hub Viability Score (HVS) — composed of three weighted sub-indices: the Demand Viability Index (DVI), Demand Concentration Index (DCI), and Economic Return Index (ERI). All components derive from this score and reflect its constituent data.</w:t>
      </w:r>
    </w:p>
    <w:p>
      <w:pPr>
        <w:spacing w:after="0" w:before="60"/>
      </w:pPr>
      <w:r>
        <w:t xml:space="preserve"/>
      </w:r>
    </w:p>
    <w:p>
      <w:pPr>
        <w:spacing w:after="60" w:before="60"/>
      </w:pPr>
      <w:r>
        <w:rPr>
          <w:rFonts w:ascii="Arial" w:cs="Arial" w:eastAsia="Arial" w:hAnsi="Arial"/>
          <w:color w:val="555555"/>
          <w:sz w:val="20"/>
          <w:szCs w:val="20"/>
        </w:rPr>
        <w:t xml:space="preserve">This document provides a formal component-by-component reference covering the purpose, layout position, sections, and data dependencies of each UI element on the page.</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B4F8C"/>
          <w:sz w:val="28"/>
          <w:szCs w:val="28"/>
        </w:rPr>
        <w:t xml:space="preserve">Scoring Model Summary</w:t>
      </w:r>
    </w:p>
    <w:p>
      <w:pPr>
        <w:spacing w:after="60" w:before="60"/>
      </w:pPr>
      <w:r>
        <w:rPr>
          <w:rFonts w:ascii="Arial" w:cs="Arial" w:eastAsia="Arial" w:hAnsi="Arial"/>
          <w:color w:val="555555"/>
          <w:sz w:val="20"/>
          <w:szCs w:val="20"/>
        </w:rPr>
        <w:t xml:space="preserve">All components on the Metro Analysis page are downstream of the Hub Viability Score. The formula and sub-index structure are summarized below.</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1800"/>
        <w:gridCol w:w="5360"/>
      </w:tblGrid>
      <w:tr>
        <w:tc>
          <w:tcPr>
            <w:tcW w:type="dxa" w:w="2200"/>
            <w:tcBorders>
              <w:top w:val="none" w:color="FFFFFF" w:sz="0"/>
              <w:left w:val="none" w:color="FFFFFF" w:sz="0"/>
              <w:bottom w:val="single" w:color="2E75B6" w:sz="1"/>
              <w:right w:val="none" w:color="FFFFFF" w:sz="0"/>
            </w:tcBorders>
            <w:shd w:fill="EBF3FB" w:val="clear"/>
            <w:tcMar>
              <w:top w:type="dxa" w:w="80"/>
              <w:left w:type="dxa" w:w="160"/>
              <w:bottom w:type="dxa" w:w="80"/>
              <w:right w:type="dxa" w:w="80"/>
            </w:tcMar>
          </w:tcPr>
          <w:p>
            <w:r>
              <w:rPr>
                <w:rFonts w:ascii="Arial" w:cs="Arial" w:eastAsia="Arial" w:hAnsi="Arial"/>
                <w:b/>
                <w:bCs/>
                <w:color w:val="1B4F8C"/>
                <w:sz w:val="19"/>
                <w:szCs w:val="19"/>
              </w:rPr>
              <w:t xml:space="preserve">Sub-Index</w:t>
            </w:r>
          </w:p>
        </w:tc>
        <w:tc>
          <w:tcPr>
            <w:tcW w:type="dxa" w:w="1800"/>
            <w:tcBorders>
              <w:top w:val="none" w:color="FFFFFF" w:sz="0"/>
              <w:left w:val="none" w:color="FFFFFF" w:sz="0"/>
              <w:bottom w:val="single" w:color="2E75B6" w:sz="1"/>
              <w:right w:val="none" w:color="FFFFFF" w:sz="0"/>
            </w:tcBorders>
            <w:shd w:fill="EBF3FB" w:val="clear"/>
            <w:tcMar>
              <w:top w:type="dxa" w:w="80"/>
              <w:left w:type="dxa" w:w="80"/>
              <w:bottom w:type="dxa" w:w="80"/>
              <w:right w:type="dxa" w:w="80"/>
            </w:tcMar>
          </w:tcPr>
          <w:p>
            <w:r>
              <w:rPr>
                <w:rFonts w:ascii="Arial" w:cs="Arial" w:eastAsia="Arial" w:hAnsi="Arial"/>
                <w:b/>
                <w:bCs/>
                <w:color w:val="1B4F8C"/>
                <w:sz w:val="19"/>
                <w:szCs w:val="19"/>
              </w:rPr>
              <w:t xml:space="preserve">Weight</w:t>
            </w:r>
          </w:p>
        </w:tc>
        <w:tc>
          <w:tcPr>
            <w:tcW w:type="dxa" w:w="5360"/>
            <w:tcBorders>
              <w:top w:val="none" w:color="FFFFFF" w:sz="0"/>
              <w:left w:val="none" w:color="FFFFFF" w:sz="0"/>
              <w:bottom w:val="single" w:color="2E75B6" w:sz="1"/>
              <w:right w:val="none" w:color="FFFFFF" w:sz="0"/>
            </w:tcBorders>
            <w:shd w:fill="EBF3FB" w:val="clear"/>
            <w:tcMar>
              <w:top w:type="dxa" w:w="80"/>
              <w:left w:type="dxa" w:w="80"/>
              <w:bottom w:type="dxa" w:w="80"/>
              <w:right w:type="dxa" w:w="80"/>
            </w:tcMar>
          </w:tcPr>
          <w:p>
            <w:r>
              <w:rPr>
                <w:rFonts w:ascii="Arial" w:cs="Arial" w:eastAsia="Arial" w:hAnsi="Arial"/>
                <w:b/>
                <w:bCs/>
                <w:color w:val="1B4F8C"/>
                <w:sz w:val="19"/>
                <w:szCs w:val="19"/>
              </w:rPr>
              <w:t xml:space="preserve">Measures</w:t>
            </w:r>
          </w:p>
        </w:tc>
      </w:tr>
      <w:tr>
        <w:tc>
          <w:tcPr>
            <w:tcW w:type="dxa" w:w="2200"/>
            <w:tcBorders>
              <w:top w:val="none" w:color="FFFFFF" w:sz="0"/>
              <w:left w:val="none" w:color="FFFFFF" w:sz="0"/>
              <w:bottom w:val="single" w:color="EEEEEE" w:sz="1"/>
              <w:right w:val="none" w:color="FFFFFF" w:sz="0"/>
            </w:tcBorders>
            <w:tcMar>
              <w:top w:type="dxa" w:w="80"/>
              <w:left w:type="dxa" w:w="160"/>
              <w:bottom w:type="dxa" w:w="80"/>
              <w:right w:type="dxa" w:w="80"/>
            </w:tcMar>
          </w:tcPr>
          <w:p>
            <w:r>
              <w:rPr>
                <w:rFonts w:ascii="Arial" w:cs="Arial" w:eastAsia="Arial" w:hAnsi="Arial"/>
                <w:b/>
                <w:bCs/>
                <w:color w:val="1A1A2E"/>
                <w:sz w:val="18"/>
                <w:szCs w:val="18"/>
              </w:rPr>
              <w:t xml:space="preserve">DVI — Demand Viability Index</w:t>
            </w:r>
          </w:p>
        </w:tc>
        <w:tc>
          <w:tcPr>
            <w:tcW w:type="dxa" w:w="1800"/>
            <w:tcBorders>
              <w:top w:val="none" w:color="FFFFFF" w:sz="0"/>
              <w:left w:val="none" w:color="FFFFFF" w:sz="0"/>
              <w:bottom w:val="single" w:color="EEEEEE" w:sz="1"/>
              <w:right w:val="none" w:color="FFFFFF" w:sz="0"/>
            </w:tcBorders>
            <w:tcMar>
              <w:top w:type="dxa" w:w="80"/>
              <w:left w:type="dxa" w:w="80"/>
              <w:bottom w:type="dxa" w:w="80"/>
              <w:right w:type="dxa" w:w="80"/>
            </w:tcMar>
          </w:tcPr>
          <w:p>
            <w:r>
              <w:rPr>
                <w:rFonts w:ascii="Arial" w:cs="Arial" w:eastAsia="Arial" w:hAnsi="Arial"/>
                <w:color w:val="555555"/>
                <w:sz w:val="18"/>
                <w:szCs w:val="18"/>
              </w:rPr>
              <w:t xml:space="preserve">40%</w:t>
            </w:r>
          </w:p>
        </w:tc>
        <w:tc>
          <w:tcPr>
            <w:tcW w:type="dxa" w:w="5360"/>
            <w:tcBorders>
              <w:top w:val="none" w:color="FFFFFF" w:sz="0"/>
              <w:left w:val="none" w:color="FFFFFF" w:sz="0"/>
              <w:bottom w:val="single" w:color="EEEEEE" w:sz="1"/>
              <w:right w:val="none" w:color="FFFFFF" w:sz="0"/>
            </w:tcBorders>
            <w:tcMar>
              <w:top w:type="dxa" w:w="80"/>
              <w:left w:type="dxa" w:w="80"/>
              <w:bottom w:type="dxa" w:w="80"/>
              <w:right w:type="dxa" w:w="80"/>
            </w:tcMar>
          </w:tcPr>
          <w:p>
            <w:r>
              <w:rPr>
                <w:rFonts w:ascii="Arial" w:cs="Arial" w:eastAsia="Arial" w:hAnsi="Arial"/>
                <w:color w:val="555555"/>
                <w:sz w:val="18"/>
                <w:szCs w:val="18"/>
              </w:rPr>
              <w:t xml:space="preserve">Booking volume and consistency across the trailing 12-month period</w:t>
            </w:r>
          </w:p>
        </w:tc>
      </w:tr>
      <w:tr>
        <w:tc>
          <w:tcPr>
            <w:tcW w:type="dxa" w:w="2200"/>
            <w:tcBorders>
              <w:top w:val="none" w:color="FFFFFF" w:sz="0"/>
              <w:left w:val="none" w:color="FFFFFF" w:sz="0"/>
              <w:bottom w:val="single" w:color="EEEEEE" w:sz="1"/>
              <w:right w:val="none" w:color="FFFFFF" w:sz="0"/>
            </w:tcBorders>
            <w:tcMar>
              <w:top w:type="dxa" w:w="80"/>
              <w:left w:type="dxa" w:w="160"/>
              <w:bottom w:type="dxa" w:w="80"/>
              <w:right w:type="dxa" w:w="80"/>
            </w:tcMar>
          </w:tcPr>
          <w:p>
            <w:r>
              <w:rPr>
                <w:rFonts w:ascii="Arial" w:cs="Arial" w:eastAsia="Arial" w:hAnsi="Arial"/>
                <w:b/>
                <w:bCs/>
                <w:color w:val="1A1A2E"/>
                <w:sz w:val="18"/>
                <w:szCs w:val="18"/>
              </w:rPr>
              <w:t xml:space="preserve">DCI — Demand Concentration Index</w:t>
            </w:r>
          </w:p>
        </w:tc>
        <w:tc>
          <w:tcPr>
            <w:tcW w:type="dxa" w:w="1800"/>
            <w:tcBorders>
              <w:top w:val="none" w:color="FFFFFF" w:sz="0"/>
              <w:left w:val="none" w:color="FFFFFF" w:sz="0"/>
              <w:bottom w:val="single" w:color="EEEEEE" w:sz="1"/>
              <w:right w:val="none" w:color="FFFFFF" w:sz="0"/>
            </w:tcBorders>
            <w:tcMar>
              <w:top w:type="dxa" w:w="80"/>
              <w:left w:type="dxa" w:w="80"/>
              <w:bottom w:type="dxa" w:w="80"/>
              <w:right w:type="dxa" w:w="80"/>
            </w:tcMar>
          </w:tcPr>
          <w:p>
            <w:r>
              <w:rPr>
                <w:rFonts w:ascii="Arial" w:cs="Arial" w:eastAsia="Arial" w:hAnsi="Arial"/>
                <w:color w:val="555555"/>
                <w:sz w:val="18"/>
                <w:szCs w:val="18"/>
              </w:rPr>
              <w:t xml:space="preserve">30%</w:t>
            </w:r>
          </w:p>
        </w:tc>
        <w:tc>
          <w:tcPr>
            <w:tcW w:type="dxa" w:w="5360"/>
            <w:tcBorders>
              <w:top w:val="none" w:color="FFFFFF" w:sz="0"/>
              <w:left w:val="none" w:color="FFFFFF" w:sz="0"/>
              <w:bottom w:val="single" w:color="EEEEEE" w:sz="1"/>
              <w:right w:val="none" w:color="FFFFFF" w:sz="0"/>
            </w:tcBorders>
            <w:tcMar>
              <w:top w:type="dxa" w:w="80"/>
              <w:left w:type="dxa" w:w="80"/>
              <w:bottom w:type="dxa" w:w="80"/>
              <w:right w:type="dxa" w:w="80"/>
            </w:tcMar>
          </w:tcPr>
          <w:p>
            <w:r>
              <w:rPr>
                <w:rFonts w:ascii="Arial" w:cs="Arial" w:eastAsia="Arial" w:hAnsi="Arial"/>
                <w:color w:val="555555"/>
                <w:sz w:val="18"/>
                <w:szCs w:val="18"/>
              </w:rPr>
              <w:t xml:space="preserve">Geographic clustering of venue usage within the market</w:t>
            </w:r>
          </w:p>
        </w:tc>
      </w:tr>
      <w:tr>
        <w:tc>
          <w:tcPr>
            <w:tcW w:type="dxa" w:w="2200"/>
            <w:tcBorders>
              <w:top w:val="none" w:color="FFFFFF" w:sz="0"/>
              <w:left w:val="none" w:color="FFFFFF" w:sz="0"/>
              <w:bottom w:val="single" w:color="EEEEEE" w:sz="1"/>
              <w:right w:val="none" w:color="FFFFFF" w:sz="0"/>
            </w:tcBorders>
            <w:tcMar>
              <w:top w:type="dxa" w:w="80"/>
              <w:left w:type="dxa" w:w="160"/>
              <w:bottom w:type="dxa" w:w="80"/>
              <w:right w:type="dxa" w:w="80"/>
            </w:tcMar>
          </w:tcPr>
          <w:p>
            <w:r>
              <w:rPr>
                <w:rFonts w:ascii="Arial" w:cs="Arial" w:eastAsia="Arial" w:hAnsi="Arial"/>
                <w:b/>
                <w:bCs/>
                <w:color w:val="1A1A2E"/>
                <w:sz w:val="18"/>
                <w:szCs w:val="18"/>
              </w:rPr>
              <w:t xml:space="preserve">ERI — Economic Return Index</w:t>
            </w:r>
          </w:p>
        </w:tc>
        <w:tc>
          <w:tcPr>
            <w:tcW w:type="dxa" w:w="1800"/>
            <w:tcBorders>
              <w:top w:val="none" w:color="FFFFFF" w:sz="0"/>
              <w:left w:val="none" w:color="FFFFFF" w:sz="0"/>
              <w:bottom w:val="single" w:color="EEEEEE" w:sz="1"/>
              <w:right w:val="none" w:color="FFFFFF" w:sz="0"/>
            </w:tcBorders>
            <w:tcMar>
              <w:top w:type="dxa" w:w="80"/>
              <w:left w:type="dxa" w:w="80"/>
              <w:bottom w:type="dxa" w:w="80"/>
              <w:right w:type="dxa" w:w="80"/>
            </w:tcMar>
          </w:tcPr>
          <w:p>
            <w:r>
              <w:rPr>
                <w:rFonts w:ascii="Arial" w:cs="Arial" w:eastAsia="Arial" w:hAnsi="Arial"/>
                <w:color w:val="555555"/>
                <w:sz w:val="18"/>
                <w:szCs w:val="18"/>
              </w:rPr>
              <w:t xml:space="preserve">30%</w:t>
            </w:r>
          </w:p>
        </w:tc>
        <w:tc>
          <w:tcPr>
            <w:tcW w:type="dxa" w:w="5360"/>
            <w:tcBorders>
              <w:top w:val="none" w:color="FFFFFF" w:sz="0"/>
              <w:left w:val="none" w:color="FFFFFF" w:sz="0"/>
              <w:bottom w:val="single" w:color="EEEEEE" w:sz="1"/>
              <w:right w:val="none" w:color="FFFFFF" w:sz="0"/>
            </w:tcBorders>
            <w:tcMar>
              <w:top w:type="dxa" w:w="80"/>
              <w:left w:type="dxa" w:w="80"/>
              <w:bottom w:type="dxa" w:w="80"/>
              <w:right w:type="dxa" w:w="80"/>
            </w:tcMar>
          </w:tcPr>
          <w:p>
            <w:r>
              <w:rPr>
                <w:rFonts w:ascii="Arial" w:cs="Arial" w:eastAsia="Arial" w:hAnsi="Arial"/>
                <w:color w:val="555555"/>
                <w:sz w:val="18"/>
                <w:szCs w:val="18"/>
              </w:rPr>
              <w:t xml:space="preserve">Net economics relative to projected hub cost</w:t>
            </w:r>
          </w:p>
        </w:tc>
      </w:tr>
    </w:tbl>
    <w:p>
      <w:pPr>
        <w:spacing w:after="0" w:before="80"/>
      </w:pPr>
      <w:r>
        <w:t xml:space="preserve"/>
      </w:r>
    </w:p>
    <w:p>
      <w:pPr>
        <w:shd w:fill="F5F7FA" w:val="clear"/>
        <w:spacing w:after="80" w:before="80"/>
      </w:pPr>
      <w:r>
        <w:rPr>
          <w:rFonts w:ascii="Arial" w:cs="Arial" w:eastAsia="Arial" w:hAnsi="Arial"/>
          <w:b/>
          <w:bCs/>
          <w:color w:val="1A1A2E"/>
          <w:sz w:val="19"/>
          <w:szCs w:val="19"/>
        </w:rPr>
        <w:t xml:space="preserve">Composite formula: </w:t>
      </w:r>
      <w:r>
        <w:rPr>
          <w:rFonts w:ascii="Courier New" w:cs="Courier New" w:eastAsia="Courier New" w:hAnsi="Courier New"/>
          <w:color w:val="2E75B6"/>
          <w:sz w:val="19"/>
          <w:szCs w:val="19"/>
        </w:rPr>
        <w:t xml:space="preserve">HVS = (DVI × 0.4) + (DCI × 0.3) + (ERI × 0.3)</w:t>
      </w:r>
    </w:p>
    <w:p>
      <w:pPr>
        <w:spacing w:after="0" w:before="160"/>
      </w:pPr>
      <w:r>
        <w:t xml:space="preserve"/>
      </w:r>
    </w:p>
    <w:p>
      <w:pPr>
        <w:pStyle w:val="Heading1"/>
        <w:pBdr>
          <w:bottom w:val="single" w:color="2E75B6" w:sz="6" w:space="4"/>
        </w:pBdr>
        <w:spacing w:after="120" w:before="360"/>
      </w:pPr>
      <w:r>
        <w:rPr>
          <w:rFonts w:ascii="Arial" w:cs="Arial" w:eastAsia="Arial" w:hAnsi="Arial"/>
          <w:b/>
          <w:bCs/>
          <w:color w:val="1B4F8C"/>
          <w:sz w:val="28"/>
          <w:szCs w:val="28"/>
        </w:rPr>
        <w:t xml:space="preserve">Component Reference</w:t>
      </w:r>
    </w:p>
    <w:p>
      <w:pPr>
        <w:spacing w:after="60" w:before="60"/>
      </w:pPr>
      <w:r>
        <w:rPr>
          <w:rFonts w:ascii="Arial" w:cs="Arial" w:eastAsia="Arial" w:hAnsi="Arial"/>
          <w:color w:val="555555"/>
          <w:sz w:val="20"/>
          <w:szCs w:val="20"/>
        </w:rPr>
        <w:t xml:space="preserve">The following ten components constitute the Metro Analysis page. Components are listed in their visual render order, top to bottom, left to right.</w:t>
      </w:r>
    </w:p>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1B4F8C" w:val="clear"/>
            <w:tcMar>
              <w:top w:type="dxa" w:w="140"/>
              <w:left w:type="dxa" w:w="200"/>
              <w:bottom w:type="dxa" w:w="140"/>
              <w:right w:type="dxa" w:w="200"/>
            </w:tcMar>
          </w:tcPr>
          <w:p>
            <w:r>
              <w:rPr>
                <w:rFonts w:ascii="Arial" w:cs="Arial" w:eastAsia="Arial" w:hAnsi="Arial"/>
                <w:b/>
                <w:bCs/>
                <w:color w:val="AECCE8"/>
                <w:sz w:val="22"/>
                <w:szCs w:val="22"/>
              </w:rPr>
              <w:t xml:space="preserve">01  </w:t>
            </w:r>
            <w:r>
              <w:rPr>
                <w:rFonts w:ascii="Arial" w:cs="Arial" w:eastAsia="Arial" w:hAnsi="Arial"/>
                <w:b/>
                <w:bCs/>
                <w:color w:val="FFFFFF"/>
                <w:sz w:val="22"/>
                <w:szCs w:val="22"/>
              </w:rPr>
              <w:t xml:space="preserve">ThresholdAlertBadge</w:t>
            </w:r>
          </w:p>
        </w:tc>
      </w:tr>
      <w:tr>
        <w:tc>
          <w:tcPr>
            <w:tcW w:type="dxa" w:w="9360"/>
            <w:gridSpan w:val="2"/>
            <w:tcBorders>
              <w:top w:val="none" w:color="FFFFFF" w:sz="0"/>
              <w:left w:val="none" w:color="FFFFFF" w:sz="0"/>
              <w:bottom w:val="none" w:color="FFFFFF" w:sz="0"/>
              <w:right w:val="none" w:color="FFFFFF" w:sz="0"/>
            </w:tcBorders>
            <w:shd w:fill="D5E2F0" w:val="clear"/>
            <w:tcMar>
              <w:top w:type="dxa" w:w="80"/>
              <w:left w:type="dxa" w:w="200"/>
              <w:bottom w:type="dxa" w:w="80"/>
              <w:right w:type="dxa" w:w="200"/>
            </w:tcMar>
          </w:tcPr>
          <w:p>
            <w:r>
              <w:rPr>
                <w:rFonts w:ascii="Courier New" w:cs="Courier New" w:eastAsia="Courier New" w:hAnsi="Courier New"/>
                <w:b/>
                <w:bCs/>
                <w:color w:val="1B4F8C"/>
                <w:sz w:val="17"/>
                <w:szCs w:val="17"/>
              </w:rPr>
              <w:t xml:space="preserve">File  </w:t>
            </w:r>
            <w:r>
              <w:rPr>
                <w:rFonts w:ascii="Courier New" w:cs="Courier New" w:eastAsia="Courier New" w:hAnsi="Courier New"/>
                <w:color w:val="2E75B6"/>
                <w:sz w:val="17"/>
                <w:szCs w:val="17"/>
              </w:rPr>
              <w:t xml:space="preserve">components/hub-locator/ThresholdAlertBadge.tsx</w:t>
            </w:r>
            <w:r>
              <w:rPr>
                <w:rFonts w:ascii="Arial" w:cs="Arial" w:eastAsia="Arial" w:hAnsi="Arial"/>
                <w:b/>
                <w:bCs/>
                <w:color w:val="1B4F8C"/>
                <w:sz w:val="17"/>
                <w:szCs w:val="17"/>
              </w:rPr>
              <w:t xml:space="preserve">     Position  </w:t>
            </w:r>
            <w:r>
              <w:rPr>
                <w:rFonts w:ascii="Arial" w:cs="Arial" w:eastAsia="Arial" w:hAnsi="Arial"/>
                <w:color w:val="555555"/>
                <w:sz w:val="17"/>
                <w:szCs w:val="17"/>
              </w:rPr>
              <w:t xml:space="preserve">Top of page, above the scorecard row. Conditional — only renders when alerts are present.</w:t>
            </w:r>
          </w:p>
        </w:tc>
      </w:tr>
      <w:tr>
        <w:tc>
          <w:tcPr>
            <w:tcW w:type="dxa" w:w="9360"/>
            <w:gridSpan w:val="2"/>
            <w:tcBorders>
              <w:top w:val="none" w:color="FFFFFF" w:sz="0"/>
              <w:left w:val="none" w:color="FFFFFF" w:sz="0"/>
              <w:bottom w:val="none" w:color="FFFFFF" w:sz="0"/>
              <w:right w:val="none" w:color="FFFFFF" w:sz="0"/>
            </w:tcBorders>
            <w:shd w:fill="F5F7FA" w:val="clear"/>
            <w:tcMar>
              <w:top w:type="dxa" w:w="100"/>
              <w:left w:type="dxa" w:w="200"/>
              <w:bottom w:type="dxa" w:w="100"/>
              <w:right w:type="dxa" w:w="200"/>
            </w:tcMar>
          </w:tcPr>
          <w:p>
            <w:r>
              <w:rPr>
                <w:rFonts w:ascii="Arial" w:cs="Arial" w:eastAsia="Arial" w:hAnsi="Arial"/>
                <w:i/>
                <w:iCs/>
                <w:color w:val="1A1A2E"/>
                <w:sz w:val="19"/>
                <w:szCs w:val="19"/>
              </w:rPr>
              <w:t xml:space="preserve">Displays one banner per threshold breach detected in the analysis. Each alert communicates a severity level, the affected metric, a plain-English message, and a comparison of the raw score against its defined threshold. When no breaches exist, the component renders a confirmatory green banner indicating all metrics are within acceptable ranges.</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40"/>
              <w:right w:type="dxa" w:w="200"/>
            </w:tcMar>
          </w:tcPr>
          <w:p>
            <w:r>
              <w:rPr>
                <w:rFonts w:ascii="Arial" w:cs="Arial" w:eastAsia="Arial" w:hAnsi="Arial"/>
                <w:b/>
                <w:bCs/>
                <w:color w:val="1A1A2E"/>
                <w:sz w:val="19"/>
                <w:szCs w:val="19"/>
              </w:rPr>
              <w:t xml:space="preserve">Key Sections</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Severity levels:  </w:t>
            </w:r>
            <w:r>
              <w:rPr>
                <w:rFonts w:ascii="Arial" w:cs="Arial" w:eastAsia="Arial" w:hAnsi="Arial"/>
                <w:color w:val="555555"/>
                <w:sz w:val="19"/>
                <w:szCs w:val="19"/>
              </w:rPr>
              <w:t xml:space="preserve">Red (critical breach), Amber (warning), Green (confirmation — no alerts)</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Alert fields:  </w:t>
            </w:r>
            <w:r>
              <w:rPr>
                <w:rFonts w:ascii="Arial" w:cs="Arial" w:eastAsia="Arial" w:hAnsi="Arial"/>
                <w:color w:val="555555"/>
                <w:sz w:val="19"/>
                <w:szCs w:val="19"/>
              </w:rPr>
              <w:t xml:space="preserve">Metric name, message text, severity classification, raw value, and threshold value</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Empty state:  </w:t>
            </w:r>
            <w:r>
              <w:rPr>
                <w:rFonts w:ascii="Arial" w:cs="Arial" w:eastAsia="Arial" w:hAnsi="Arial"/>
                <w:color w:val="555555"/>
                <w:sz w:val="19"/>
                <w:szCs w:val="19"/>
              </w:rPr>
              <w:t xml:space="preserve">Renders a positive confirmation banner rather than hiding entirely</w:t>
            </w:r>
          </w:p>
        </w:tc>
      </w:tr>
      <w:tr>
        <w:tc>
          <w:tcPr>
            <w:tcW w:type="dxa" w:w="9360"/>
            <w:gridSpan w:val="2"/>
            <w:tcBorders>
              <w:top w:val="single" w:color="CCCCCC" w:sz="1"/>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b/>
                <w:bCs/>
                <w:color w:val="1B4F8C"/>
                <w:sz w:val="18"/>
                <w:szCs w:val="18"/>
              </w:rPr>
              <w:t xml:space="preserve">Data Source  </w:t>
            </w:r>
            <w:r>
              <w:rPr>
                <w:rFonts w:ascii="Arial" w:cs="Arial" w:eastAsia="Arial" w:hAnsi="Arial"/>
                <w:color w:val="555555"/>
                <w:sz w:val="18"/>
                <w:szCs w:val="18"/>
              </w:rPr>
              <w:t xml:space="preserve">data.alerts[] — computed server-side in the API route. Currently, only an ERI score below 40 triggers a red alert.</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1B4F8C" w:val="clear"/>
            <w:tcMar>
              <w:top w:type="dxa" w:w="140"/>
              <w:left w:type="dxa" w:w="200"/>
              <w:bottom w:type="dxa" w:w="140"/>
              <w:right w:type="dxa" w:w="200"/>
            </w:tcMar>
          </w:tcPr>
          <w:p>
            <w:r>
              <w:rPr>
                <w:rFonts w:ascii="Arial" w:cs="Arial" w:eastAsia="Arial" w:hAnsi="Arial"/>
                <w:b/>
                <w:bCs/>
                <w:color w:val="AECCE8"/>
                <w:sz w:val="22"/>
                <w:szCs w:val="22"/>
              </w:rPr>
              <w:t xml:space="preserve">02  </w:t>
            </w:r>
            <w:r>
              <w:rPr>
                <w:rFonts w:ascii="Arial" w:cs="Arial" w:eastAsia="Arial" w:hAnsi="Arial"/>
                <w:b/>
                <w:bCs/>
                <w:color w:val="FFFFFF"/>
                <w:sz w:val="22"/>
                <w:szCs w:val="22"/>
              </w:rPr>
              <w:t xml:space="preserve">HVSScorecard</w:t>
            </w:r>
          </w:p>
        </w:tc>
      </w:tr>
      <w:tr>
        <w:tc>
          <w:tcPr>
            <w:tcW w:type="dxa" w:w="9360"/>
            <w:gridSpan w:val="2"/>
            <w:tcBorders>
              <w:top w:val="none" w:color="FFFFFF" w:sz="0"/>
              <w:left w:val="none" w:color="FFFFFF" w:sz="0"/>
              <w:bottom w:val="none" w:color="FFFFFF" w:sz="0"/>
              <w:right w:val="none" w:color="FFFFFF" w:sz="0"/>
            </w:tcBorders>
            <w:shd w:fill="D5E2F0" w:val="clear"/>
            <w:tcMar>
              <w:top w:type="dxa" w:w="80"/>
              <w:left w:type="dxa" w:w="200"/>
              <w:bottom w:type="dxa" w:w="80"/>
              <w:right w:type="dxa" w:w="200"/>
            </w:tcMar>
          </w:tcPr>
          <w:p>
            <w:r>
              <w:rPr>
                <w:rFonts w:ascii="Courier New" w:cs="Courier New" w:eastAsia="Courier New" w:hAnsi="Courier New"/>
                <w:b/>
                <w:bCs/>
                <w:color w:val="1B4F8C"/>
                <w:sz w:val="17"/>
                <w:szCs w:val="17"/>
              </w:rPr>
              <w:t xml:space="preserve">File  </w:t>
            </w:r>
            <w:r>
              <w:rPr>
                <w:rFonts w:ascii="Courier New" w:cs="Courier New" w:eastAsia="Courier New" w:hAnsi="Courier New"/>
                <w:color w:val="2E75B6"/>
                <w:sz w:val="17"/>
                <w:szCs w:val="17"/>
              </w:rPr>
              <w:t xml:space="preserve">components/hub-locator/HVSScorecard.tsx</w:t>
            </w:r>
            <w:r>
              <w:rPr>
                <w:rFonts w:ascii="Arial" w:cs="Arial" w:eastAsia="Arial" w:hAnsi="Arial"/>
                <w:b/>
                <w:bCs/>
                <w:color w:val="1B4F8C"/>
                <w:sz w:val="17"/>
                <w:szCs w:val="17"/>
              </w:rPr>
              <w:t xml:space="preserve">     Position  </w:t>
            </w:r>
            <w:r>
              <w:rPr>
                <w:rFonts w:ascii="Arial" w:cs="Arial" w:eastAsia="Arial" w:hAnsi="Arial"/>
                <w:color w:val="555555"/>
                <w:sz w:val="17"/>
                <w:szCs w:val="17"/>
              </w:rPr>
              <w:t xml:space="preserve">Row 1, left column (360px fixed width).</w:t>
            </w:r>
          </w:p>
        </w:tc>
      </w:tr>
      <w:tr>
        <w:tc>
          <w:tcPr>
            <w:tcW w:type="dxa" w:w="9360"/>
            <w:gridSpan w:val="2"/>
            <w:tcBorders>
              <w:top w:val="none" w:color="FFFFFF" w:sz="0"/>
              <w:left w:val="none" w:color="FFFFFF" w:sz="0"/>
              <w:bottom w:val="none" w:color="FFFFFF" w:sz="0"/>
              <w:right w:val="none" w:color="FFFFFF" w:sz="0"/>
            </w:tcBorders>
            <w:shd w:fill="F5F7FA" w:val="clear"/>
            <w:tcMar>
              <w:top w:type="dxa" w:w="100"/>
              <w:left w:type="dxa" w:w="200"/>
              <w:bottom w:type="dxa" w:w="100"/>
              <w:right w:type="dxa" w:w="200"/>
            </w:tcMar>
          </w:tcPr>
          <w:p>
            <w:r>
              <w:rPr>
                <w:rFonts w:ascii="Arial" w:cs="Arial" w:eastAsia="Arial" w:hAnsi="Arial"/>
                <w:i/>
                <w:iCs/>
                <w:color w:val="1A1A2E"/>
                <w:sz w:val="19"/>
                <w:szCs w:val="19"/>
              </w:rPr>
              <w:t xml:space="preserve">The primary scoring summary for the market. Presents the Hub Viability Score composite alongside its three constituent sub-indices, providing the analyst with an at-a-glance summary of overall market viability and the specific factors driving or limiting the score.</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40"/>
              <w:right w:type="dxa" w:w="200"/>
            </w:tcMar>
          </w:tcPr>
          <w:p>
            <w:r>
              <w:rPr>
                <w:rFonts w:ascii="Arial" w:cs="Arial" w:eastAsia="Arial" w:hAnsi="Arial"/>
                <w:b/>
                <w:bCs/>
                <w:color w:val="1A1A2E"/>
                <w:sz w:val="19"/>
                <w:szCs w:val="19"/>
              </w:rPr>
              <w:t xml:space="preserve">Key Sections</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Composite score:  </w:t>
            </w:r>
            <w:r>
              <w:rPr>
                <w:rFonts w:ascii="Arial" w:cs="Arial" w:eastAsia="Arial" w:hAnsi="Arial"/>
                <w:color w:val="555555"/>
                <w:sz w:val="19"/>
                <w:szCs w:val="19"/>
              </w:rPr>
              <w:t xml:space="preserve">Large numeric display (0–100) with RAG color coding: green ≥70, amber 40–69, red &lt;40</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Recommendation badge:  </w:t>
            </w:r>
            <w:r>
              <w:rPr>
                <w:rFonts w:ascii="Arial" w:cs="Arial" w:eastAsia="Arial" w:hAnsi="Arial"/>
                <w:color w:val="555555"/>
                <w:sz w:val="19"/>
                <w:szCs w:val="19"/>
              </w:rPr>
              <w:t xml:space="preserve">One of six values: STRONG_BUY, BUY, MONITOR, DO_NOT_PROCEED, INSUFFICIENT_DATA, or ALTERNATIVE_INTERVENTION</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Sub-score bars:  </w:t>
            </w:r>
            <w:r>
              <w:rPr>
                <w:rFonts w:ascii="Arial" w:cs="Arial" w:eastAsia="Arial" w:hAnsi="Arial"/>
                <w:color w:val="555555"/>
                <w:sz w:val="19"/>
                <w:szCs w:val="19"/>
              </w:rPr>
              <w:t xml:space="preserve">DVI (40% weight), DCI (30% weight), and ERI (30% weight), each with a progress bar and RAG indicator</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Composite bar:  </w:t>
            </w:r>
            <w:r>
              <w:rPr>
                <w:rFonts w:ascii="Arial" w:cs="Arial" w:eastAsia="Arial" w:hAnsi="Arial"/>
                <w:color w:val="555555"/>
                <w:sz w:val="19"/>
                <w:szCs w:val="19"/>
              </w:rPr>
              <w:t xml:space="preserve">Weighted rollup visualization with scale markers at 0, 40, 70, and 100</w:t>
            </w:r>
          </w:p>
        </w:tc>
      </w:tr>
      <w:tr>
        <w:tc>
          <w:tcPr>
            <w:tcW w:type="dxa" w:w="9360"/>
            <w:gridSpan w:val="2"/>
            <w:tcBorders>
              <w:top w:val="single" w:color="CCCCCC" w:sz="1"/>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b/>
                <w:bCs/>
                <w:color w:val="1B4F8C"/>
                <w:sz w:val="18"/>
                <w:szCs w:val="18"/>
              </w:rPr>
              <w:t xml:space="preserve">Data Source  </w:t>
            </w:r>
            <w:r>
              <w:rPr>
                <w:rFonts w:ascii="Arial" w:cs="Arial" w:eastAsia="Arial" w:hAnsi="Arial"/>
                <w:color w:val="555555"/>
                <w:sz w:val="18"/>
                <w:szCs w:val="18"/>
              </w:rPr>
              <w:t xml:space="preserve">data.hvs — the full HVSReasoningOutput object computed by buildHVSReasoning() in the API route.</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1B4F8C" w:val="clear"/>
            <w:tcMar>
              <w:top w:type="dxa" w:w="140"/>
              <w:left w:type="dxa" w:w="200"/>
              <w:bottom w:type="dxa" w:w="140"/>
              <w:right w:type="dxa" w:w="200"/>
            </w:tcMar>
          </w:tcPr>
          <w:p>
            <w:r>
              <w:rPr>
                <w:rFonts w:ascii="Arial" w:cs="Arial" w:eastAsia="Arial" w:hAnsi="Arial"/>
                <w:b/>
                <w:bCs/>
                <w:color w:val="AECCE8"/>
                <w:sz w:val="22"/>
                <w:szCs w:val="22"/>
              </w:rPr>
              <w:t xml:space="preserve">03  </w:t>
            </w:r>
            <w:r>
              <w:rPr>
                <w:rFonts w:ascii="Arial" w:cs="Arial" w:eastAsia="Arial" w:hAnsi="Arial"/>
                <w:b/>
                <w:bCs/>
                <w:color w:val="FFFFFF"/>
                <w:sz w:val="22"/>
                <w:szCs w:val="22"/>
              </w:rPr>
              <w:t xml:space="preserve">DemandSignaturePanel</w:t>
            </w:r>
          </w:p>
        </w:tc>
      </w:tr>
      <w:tr>
        <w:tc>
          <w:tcPr>
            <w:tcW w:type="dxa" w:w="9360"/>
            <w:gridSpan w:val="2"/>
            <w:tcBorders>
              <w:top w:val="none" w:color="FFFFFF" w:sz="0"/>
              <w:left w:val="none" w:color="FFFFFF" w:sz="0"/>
              <w:bottom w:val="none" w:color="FFFFFF" w:sz="0"/>
              <w:right w:val="none" w:color="FFFFFF" w:sz="0"/>
            </w:tcBorders>
            <w:shd w:fill="D5E2F0" w:val="clear"/>
            <w:tcMar>
              <w:top w:type="dxa" w:w="80"/>
              <w:left w:type="dxa" w:w="200"/>
              <w:bottom w:type="dxa" w:w="80"/>
              <w:right w:type="dxa" w:w="200"/>
            </w:tcMar>
          </w:tcPr>
          <w:p>
            <w:r>
              <w:rPr>
                <w:rFonts w:ascii="Courier New" w:cs="Courier New" w:eastAsia="Courier New" w:hAnsi="Courier New"/>
                <w:b/>
                <w:bCs/>
                <w:color w:val="1B4F8C"/>
                <w:sz w:val="17"/>
                <w:szCs w:val="17"/>
              </w:rPr>
              <w:t xml:space="preserve">File  </w:t>
            </w:r>
            <w:r>
              <w:rPr>
                <w:rFonts w:ascii="Courier New" w:cs="Courier New" w:eastAsia="Courier New" w:hAnsi="Courier New"/>
                <w:color w:val="2E75B6"/>
                <w:sz w:val="17"/>
                <w:szCs w:val="17"/>
              </w:rPr>
              <w:t xml:space="preserve">components/hub-locator/DemandSignaturePanel.tsx</w:t>
            </w:r>
            <w:r>
              <w:rPr>
                <w:rFonts w:ascii="Arial" w:cs="Arial" w:eastAsia="Arial" w:hAnsi="Arial"/>
                <w:b/>
                <w:bCs/>
                <w:color w:val="1B4F8C"/>
                <w:sz w:val="17"/>
                <w:szCs w:val="17"/>
              </w:rPr>
              <w:t xml:space="preserve">     Position  </w:t>
            </w:r>
            <w:r>
              <w:rPr>
                <w:rFonts w:ascii="Arial" w:cs="Arial" w:eastAsia="Arial" w:hAnsi="Arial"/>
                <w:color w:val="555555"/>
                <w:sz w:val="17"/>
                <w:szCs w:val="17"/>
              </w:rPr>
              <w:t xml:space="preserve">Row 1, right column (fills remaining width).</w:t>
            </w:r>
          </w:p>
        </w:tc>
      </w:tr>
      <w:tr>
        <w:tc>
          <w:tcPr>
            <w:tcW w:type="dxa" w:w="9360"/>
            <w:gridSpan w:val="2"/>
            <w:tcBorders>
              <w:top w:val="none" w:color="FFFFFF" w:sz="0"/>
              <w:left w:val="none" w:color="FFFFFF" w:sz="0"/>
              <w:bottom w:val="none" w:color="FFFFFF" w:sz="0"/>
              <w:right w:val="none" w:color="FFFFFF" w:sz="0"/>
            </w:tcBorders>
            <w:shd w:fill="F5F7FA" w:val="clear"/>
            <w:tcMar>
              <w:top w:type="dxa" w:w="100"/>
              <w:left w:type="dxa" w:w="200"/>
              <w:bottom w:type="dxa" w:w="100"/>
              <w:right w:type="dxa" w:w="200"/>
            </w:tcMar>
          </w:tcPr>
          <w:p>
            <w:r>
              <w:rPr>
                <w:rFonts w:ascii="Arial" w:cs="Arial" w:eastAsia="Arial" w:hAnsi="Arial"/>
                <w:i/>
                <w:iCs/>
                <w:color w:val="1A1A2E"/>
                <w:sz w:val="19"/>
                <w:szCs w:val="19"/>
              </w:rPr>
              <w:t xml:space="preserve">Visualizes 12 months of weekly booking activity as a bar chart, providing the analyst with a visual read of demand volume, seasonality, and spike behavior over the analysis period.</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40"/>
              <w:right w:type="dxa" w:w="200"/>
            </w:tcMar>
          </w:tcPr>
          <w:p>
            <w:r>
              <w:rPr>
                <w:rFonts w:ascii="Arial" w:cs="Arial" w:eastAsia="Arial" w:hAnsi="Arial"/>
                <w:b/>
                <w:bCs/>
                <w:color w:val="1A1A2E"/>
                <w:sz w:val="19"/>
                <w:szCs w:val="19"/>
              </w:rPr>
              <w:t xml:space="preserve">Key Sections</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Header stats:  </w:t>
            </w:r>
            <w:r>
              <w:rPr>
                <w:rFonts w:ascii="Arial" w:cs="Arial" w:eastAsia="Arial" w:hAnsi="Arial"/>
                <w:color w:val="555555"/>
                <w:sz w:val="19"/>
                <w:szCs w:val="19"/>
              </w:rPr>
              <w:t xml:space="preserve">Total bookings over the 12-month window and the single peak week booking count</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Bar chart:  </w:t>
            </w:r>
            <w:r>
              <w:rPr>
                <w:rFonts w:ascii="Arial" w:cs="Arial" w:eastAsia="Arial" w:hAnsi="Arial"/>
                <w:color w:val="555555"/>
                <w:sz w:val="19"/>
                <w:szCs w:val="19"/>
              </w:rPr>
              <w:t xml:space="preserve">Weekly aggregated bookings with two reference lines: a gray dashed weekly average line, and an orange dashed spike threshold set at 2× the weekly average</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Avg Weekly:  </w:t>
            </w:r>
            <w:r>
              <w:rPr>
                <w:rFonts w:ascii="Arial" w:cs="Arial" w:eastAsia="Arial" w:hAnsi="Arial"/>
                <w:color w:val="555555"/>
                <w:sz w:val="19"/>
                <w:szCs w:val="19"/>
              </w:rPr>
              <w:t xml:space="preserve">Total bookings divided by active weeks (weeks with at least one booking). Tooltip includes the full 52-week annualized rate.</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Spike Weeks:  </w:t>
            </w:r>
            <w:r>
              <w:rPr>
                <w:rFonts w:ascii="Arial" w:cs="Arial" w:eastAsia="Arial" w:hAnsi="Arial"/>
                <w:color w:val="555555"/>
                <w:sz w:val="19"/>
                <w:szCs w:val="19"/>
              </w:rPr>
              <w:t xml:space="preserve">Count of weeks that exceeded the 2× average threshold, corresponding directly to the orange reference line</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Active Days:  </w:t>
            </w:r>
            <w:r>
              <w:rPr>
                <w:rFonts w:ascii="Arial" w:cs="Arial" w:eastAsia="Arial" w:hAnsi="Arial"/>
                <w:color w:val="555555"/>
                <w:sz w:val="19"/>
                <w:szCs w:val="19"/>
              </w:rPr>
              <w:t xml:space="preserve">Count of calendar days that recorded at least one booking</w:t>
            </w:r>
          </w:p>
        </w:tc>
      </w:tr>
      <w:tr>
        <w:tc>
          <w:tcPr>
            <w:tcW w:type="dxa" w:w="9360"/>
            <w:gridSpan w:val="2"/>
            <w:tcBorders>
              <w:top w:val="single" w:color="CCCCCC" w:sz="1"/>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b/>
                <w:bCs/>
                <w:color w:val="1B4F8C"/>
                <w:sz w:val="18"/>
                <w:szCs w:val="18"/>
              </w:rPr>
              <w:t xml:space="preserve">Data Source  </w:t>
            </w:r>
            <w:r>
              <w:rPr>
                <w:rFonts w:ascii="Arial" w:cs="Arial" w:eastAsia="Arial" w:hAnsi="Arial"/>
                <w:color w:val="555555"/>
                <w:sz w:val="18"/>
                <w:szCs w:val="18"/>
              </w:rPr>
              <w:t xml:space="preserve">data.dailyDemand[] — array of {day, bookings, spend} records, aggregated to weekly intervals within the component.</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1B4F8C" w:val="clear"/>
            <w:tcMar>
              <w:top w:type="dxa" w:w="140"/>
              <w:left w:type="dxa" w:w="200"/>
              <w:bottom w:type="dxa" w:w="140"/>
              <w:right w:type="dxa" w:w="200"/>
            </w:tcMar>
          </w:tcPr>
          <w:p>
            <w:r>
              <w:rPr>
                <w:rFonts w:ascii="Arial" w:cs="Arial" w:eastAsia="Arial" w:hAnsi="Arial"/>
                <w:b/>
                <w:bCs/>
                <w:color w:val="AECCE8"/>
                <w:sz w:val="22"/>
                <w:szCs w:val="22"/>
              </w:rPr>
              <w:t xml:space="preserve">04  </w:t>
            </w:r>
            <w:r>
              <w:rPr>
                <w:rFonts w:ascii="Arial" w:cs="Arial" w:eastAsia="Arial" w:hAnsi="Arial"/>
                <w:b/>
                <w:bCs/>
                <w:color w:val="FFFFFF"/>
                <w:sz w:val="22"/>
                <w:szCs w:val="22"/>
              </w:rPr>
              <w:t xml:space="preserve">HubPurposePanel</w:t>
            </w:r>
          </w:p>
        </w:tc>
      </w:tr>
      <w:tr>
        <w:tc>
          <w:tcPr>
            <w:tcW w:type="dxa" w:w="9360"/>
            <w:gridSpan w:val="2"/>
            <w:tcBorders>
              <w:top w:val="none" w:color="FFFFFF" w:sz="0"/>
              <w:left w:val="none" w:color="FFFFFF" w:sz="0"/>
              <w:bottom w:val="none" w:color="FFFFFF" w:sz="0"/>
              <w:right w:val="none" w:color="FFFFFF" w:sz="0"/>
            </w:tcBorders>
            <w:shd w:fill="D5E2F0" w:val="clear"/>
            <w:tcMar>
              <w:top w:type="dxa" w:w="80"/>
              <w:left w:type="dxa" w:w="200"/>
              <w:bottom w:type="dxa" w:w="80"/>
              <w:right w:type="dxa" w:w="200"/>
            </w:tcMar>
          </w:tcPr>
          <w:p>
            <w:r>
              <w:rPr>
                <w:rFonts w:ascii="Courier New" w:cs="Courier New" w:eastAsia="Courier New" w:hAnsi="Courier New"/>
                <w:b/>
                <w:bCs/>
                <w:color w:val="1B4F8C"/>
                <w:sz w:val="17"/>
                <w:szCs w:val="17"/>
              </w:rPr>
              <w:t xml:space="preserve">File  </w:t>
            </w:r>
            <w:r>
              <w:rPr>
                <w:rFonts w:ascii="Courier New" w:cs="Courier New" w:eastAsia="Courier New" w:hAnsi="Courier New"/>
                <w:color w:val="2E75B6"/>
                <w:sz w:val="17"/>
                <w:szCs w:val="17"/>
              </w:rPr>
              <w:t xml:space="preserve">components/hub-locator/HubPurposePanel.tsx</w:t>
            </w:r>
            <w:r>
              <w:rPr>
                <w:rFonts w:ascii="Arial" w:cs="Arial" w:eastAsia="Arial" w:hAnsi="Arial"/>
                <w:b/>
                <w:bCs/>
                <w:color w:val="1B4F8C"/>
                <w:sz w:val="17"/>
                <w:szCs w:val="17"/>
              </w:rPr>
              <w:t xml:space="preserve">     Position  </w:t>
            </w:r>
            <w:r>
              <w:rPr>
                <w:rFonts w:ascii="Arial" w:cs="Arial" w:eastAsia="Arial" w:hAnsi="Arial"/>
                <w:color w:val="555555"/>
                <w:sz w:val="17"/>
                <w:szCs w:val="17"/>
              </w:rPr>
              <w:t xml:space="preserve">Full-width row, between the scorecard/demand row and the map row.</w:t>
            </w:r>
          </w:p>
        </w:tc>
      </w:tr>
      <w:tr>
        <w:tc>
          <w:tcPr>
            <w:tcW w:type="dxa" w:w="9360"/>
            <w:gridSpan w:val="2"/>
            <w:tcBorders>
              <w:top w:val="none" w:color="FFFFFF" w:sz="0"/>
              <w:left w:val="none" w:color="FFFFFF" w:sz="0"/>
              <w:bottom w:val="none" w:color="FFFFFF" w:sz="0"/>
              <w:right w:val="none" w:color="FFFFFF" w:sz="0"/>
            </w:tcBorders>
            <w:shd w:fill="F5F7FA" w:val="clear"/>
            <w:tcMar>
              <w:top w:type="dxa" w:w="100"/>
              <w:left w:type="dxa" w:w="200"/>
              <w:bottom w:type="dxa" w:w="100"/>
              <w:right w:type="dxa" w:w="200"/>
            </w:tcMar>
          </w:tcPr>
          <w:p>
            <w:r>
              <w:rPr>
                <w:rFonts w:ascii="Arial" w:cs="Arial" w:eastAsia="Arial" w:hAnsi="Arial"/>
                <w:i/>
                <w:iCs/>
                <w:color w:val="1A1A2E"/>
                <w:sz w:val="19"/>
                <w:szCs w:val="19"/>
              </w:rPr>
              <w:t xml:space="preserve">Classifies the workforce's booking behavior into one of four hub purpose archetypes using two computed behavioral indices. This classification informs hub configuration guidance downstream in the RecommendationCard component. Renders an empty state when behavioral data is unavailable.</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40"/>
              <w:right w:type="dxa" w:w="200"/>
            </w:tcMar>
          </w:tcPr>
          <w:p>
            <w:r>
              <w:rPr>
                <w:rFonts w:ascii="Arial" w:cs="Arial" w:eastAsia="Arial" w:hAnsi="Arial"/>
                <w:b/>
                <w:bCs/>
                <w:color w:val="1A1A2E"/>
                <w:sz w:val="19"/>
                <w:szCs w:val="19"/>
              </w:rPr>
              <w:t xml:space="preserve">Key Sections</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Quadrant chart:  </w:t>
            </w:r>
            <w:r>
              <w:rPr>
                <w:rFonts w:ascii="Arial" w:cs="Arial" w:eastAsia="Arial" w:hAnsi="Arial"/>
                <w:color w:val="555555"/>
                <w:sz w:val="19"/>
                <w:szCs w:val="19"/>
              </w:rPr>
              <w:t xml:space="preserve">168×168px 2×2 grid with HWI on the x-axis (collaboration vs. concentration) and CPI on the y-axis (convergent vs. individual). The active quadrant is highlighted and the customer's dot is plotted at their index coordinates. Threshold: 40 on both axes.</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Four archetypes:  </w:t>
            </w:r>
            <w:r>
              <w:rPr>
                <w:rFonts w:ascii="Arial" w:cs="Arial" w:eastAsia="Arial" w:hAnsi="Arial"/>
                <w:color w:val="555555"/>
                <w:sz w:val="19"/>
                <w:szCs w:val="19"/>
              </w:rPr>
              <w:t xml:space="preserve">Full Collaboration (HWI≥40, CPI≥40), Latent Collaboration (HWI≥40, CPI&lt;40), Cultural Anchor (HWI&lt;40, CPI≥40), Distributed Workforce (HWI&lt;40, CPI&lt;40)</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HWI tile:  </w:t>
            </w:r>
            <w:r>
              <w:rPr>
                <w:rFonts w:ascii="Arial" w:cs="Arial" w:eastAsia="Arial" w:hAnsi="Arial"/>
                <w:color w:val="555555"/>
                <w:sz w:val="19"/>
                <w:szCs w:val="19"/>
              </w:rPr>
              <w:t xml:space="preserve">Hybrid Worktype Index (0–100) — proportion of bookings that are collaboration-type vs. concentration-type. Threshold tick at 40.</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CPI tile:  </w:t>
            </w:r>
            <w:r>
              <w:rPr>
                <w:rFonts w:ascii="Arial" w:cs="Arial" w:eastAsia="Arial" w:hAnsi="Arial"/>
                <w:color w:val="555555"/>
                <w:sz w:val="19"/>
                <w:szCs w:val="19"/>
              </w:rPr>
              <w:t xml:space="preserve">Co-Presence Index (0–100) — share of venue-days where two or more distinct employees were present simultaneously. Displays as a '1 in N' ratio.</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Booking Mix tile:  </w:t>
            </w:r>
            <w:r>
              <w:rPr>
                <w:rFonts w:ascii="Arial" w:cs="Arial" w:eastAsia="Arial" w:hAnsi="Arial"/>
                <w:color w:val="555555"/>
                <w:sz w:val="19"/>
                <w:szCs w:val="19"/>
              </w:rPr>
              <w:t xml:space="preserve">Split bar showing collaboration % vs. concentration % of total seat-days, where each booking is weighted by party size.</w:t>
            </w:r>
          </w:p>
        </w:tc>
      </w:tr>
      <w:tr>
        <w:tc>
          <w:tcPr>
            <w:tcW w:type="dxa" w:w="9360"/>
            <w:gridSpan w:val="2"/>
            <w:tcBorders>
              <w:top w:val="single" w:color="CCCCCC" w:sz="1"/>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b/>
                <w:bCs/>
                <w:color w:val="1B4F8C"/>
                <w:sz w:val="18"/>
                <w:szCs w:val="18"/>
              </w:rPr>
              <w:t xml:space="preserve">Data Source  </w:t>
            </w:r>
            <w:r>
              <w:rPr>
                <w:rFonts w:ascii="Arial" w:cs="Arial" w:eastAsia="Arial" w:hAnsi="Arial"/>
                <w:color w:val="555555"/>
                <w:sz w:val="18"/>
                <w:szCs w:val="18"/>
              </w:rPr>
              <w:t xml:space="preserve">data.hvs.hwi, data.hvs.cpi, data.hvs.hub_purpose — computed via getWorkTypeData() in lib/pulse.ts, with seeded fallback data available for all 50 portfolio markets.</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1B4F8C" w:val="clear"/>
            <w:tcMar>
              <w:top w:type="dxa" w:w="140"/>
              <w:left w:type="dxa" w:w="200"/>
              <w:bottom w:type="dxa" w:w="140"/>
              <w:right w:type="dxa" w:w="200"/>
            </w:tcMar>
          </w:tcPr>
          <w:p>
            <w:r>
              <w:rPr>
                <w:rFonts w:ascii="Arial" w:cs="Arial" w:eastAsia="Arial" w:hAnsi="Arial"/>
                <w:b/>
                <w:bCs/>
                <w:color w:val="AECCE8"/>
                <w:sz w:val="22"/>
                <w:szCs w:val="22"/>
              </w:rPr>
              <w:t xml:space="preserve">05  </w:t>
            </w:r>
            <w:r>
              <w:rPr>
                <w:rFonts w:ascii="Arial" w:cs="Arial" w:eastAsia="Arial" w:hAnsi="Arial"/>
                <w:b/>
                <w:bCs/>
                <w:color w:val="FFFFFF"/>
                <w:sz w:val="22"/>
                <w:szCs w:val="22"/>
              </w:rPr>
              <w:t xml:space="preserve">HubLocationMap</w:t>
            </w:r>
          </w:p>
        </w:tc>
      </w:tr>
      <w:tr>
        <w:tc>
          <w:tcPr>
            <w:tcW w:type="dxa" w:w="9360"/>
            <w:gridSpan w:val="2"/>
            <w:tcBorders>
              <w:top w:val="none" w:color="FFFFFF" w:sz="0"/>
              <w:left w:val="none" w:color="FFFFFF" w:sz="0"/>
              <w:bottom w:val="none" w:color="FFFFFF" w:sz="0"/>
              <w:right w:val="none" w:color="FFFFFF" w:sz="0"/>
            </w:tcBorders>
            <w:shd w:fill="D5E2F0" w:val="clear"/>
            <w:tcMar>
              <w:top w:type="dxa" w:w="80"/>
              <w:left w:type="dxa" w:w="200"/>
              <w:bottom w:type="dxa" w:w="80"/>
              <w:right w:type="dxa" w:w="200"/>
            </w:tcMar>
          </w:tcPr>
          <w:p>
            <w:r>
              <w:rPr>
                <w:rFonts w:ascii="Courier New" w:cs="Courier New" w:eastAsia="Courier New" w:hAnsi="Courier New"/>
                <w:b/>
                <w:bCs/>
                <w:color w:val="1B4F8C"/>
                <w:sz w:val="17"/>
                <w:szCs w:val="17"/>
              </w:rPr>
              <w:t xml:space="preserve">File  </w:t>
            </w:r>
            <w:r>
              <w:rPr>
                <w:rFonts w:ascii="Courier New" w:cs="Courier New" w:eastAsia="Courier New" w:hAnsi="Courier New"/>
                <w:color w:val="2E75B6"/>
                <w:sz w:val="17"/>
                <w:szCs w:val="17"/>
              </w:rPr>
              <w:t xml:space="preserve">components/hub-locator/HubLocationMap.tsx + MapInner.tsx</w:t>
            </w:r>
            <w:r>
              <w:rPr>
                <w:rFonts w:ascii="Arial" w:cs="Arial" w:eastAsia="Arial" w:hAnsi="Arial"/>
                <w:b/>
                <w:bCs/>
                <w:color w:val="1B4F8C"/>
                <w:sz w:val="17"/>
                <w:szCs w:val="17"/>
              </w:rPr>
              <w:t xml:space="preserve">     Position  </w:t>
            </w:r>
            <w:r>
              <w:rPr>
                <w:rFonts w:ascii="Arial" w:cs="Arial" w:eastAsia="Arial" w:hAnsi="Arial"/>
                <w:color w:val="555555"/>
                <w:sz w:val="17"/>
                <w:szCs w:val="17"/>
              </w:rPr>
              <w:t xml:space="preserve">Row 3, left column (fills remaining width).</w:t>
            </w:r>
          </w:p>
        </w:tc>
      </w:tr>
      <w:tr>
        <w:tc>
          <w:tcPr>
            <w:tcW w:type="dxa" w:w="9360"/>
            <w:gridSpan w:val="2"/>
            <w:tcBorders>
              <w:top w:val="none" w:color="FFFFFF" w:sz="0"/>
              <w:left w:val="none" w:color="FFFFFF" w:sz="0"/>
              <w:bottom w:val="none" w:color="FFFFFF" w:sz="0"/>
              <w:right w:val="none" w:color="FFFFFF" w:sz="0"/>
            </w:tcBorders>
            <w:shd w:fill="F5F7FA" w:val="clear"/>
            <w:tcMar>
              <w:top w:type="dxa" w:w="100"/>
              <w:left w:type="dxa" w:w="200"/>
              <w:bottom w:type="dxa" w:w="100"/>
              <w:right w:type="dxa" w:w="200"/>
            </w:tcMar>
          </w:tcPr>
          <w:p>
            <w:r>
              <w:rPr>
                <w:rFonts w:ascii="Arial" w:cs="Arial" w:eastAsia="Arial" w:hAnsi="Arial"/>
                <w:i/>
                <w:iCs/>
                <w:color w:val="1A1A2E"/>
                <w:sz w:val="19"/>
                <w:szCs w:val="19"/>
              </w:rPr>
              <w:t xml:space="preserve">An interactive Leaflet map showing where employees currently book flex space within the market, and — when the recommendation is sufficiently positive — where a hub would be sited based on the weighted centroid of venue activity.</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40"/>
              <w:right w:type="dxa" w:w="200"/>
            </w:tcMar>
          </w:tcPr>
          <w:p>
            <w:r>
              <w:rPr>
                <w:rFonts w:ascii="Arial" w:cs="Arial" w:eastAsia="Arial" w:hAnsi="Arial"/>
                <w:b/>
                <w:bCs/>
                <w:color w:val="1A1A2E"/>
                <w:sz w:val="19"/>
                <w:szCs w:val="19"/>
              </w:rPr>
              <w:t xml:space="preserve">Key Sections</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Map canvas:  </w:t>
            </w:r>
            <w:r>
              <w:rPr>
                <w:rFonts w:ascii="Arial" w:cs="Arial" w:eastAsia="Arial" w:hAnsi="Arial"/>
                <w:color w:val="555555"/>
                <w:sz w:val="19"/>
                <w:szCs w:val="19"/>
              </w:rPr>
              <w:t xml:space="preserve">CARTO light tile layer at 280px height. Venue circles are scaled by spend volume. Clicking a circle displays a popup with venue name, spend, and booking count.</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Recommended hub circle:  </w:t>
            </w:r>
            <w:r>
              <w:rPr>
                <w:rFonts w:ascii="Arial" w:cs="Arial" w:eastAsia="Arial" w:hAnsi="Arial"/>
                <w:color w:val="555555"/>
                <w:sz w:val="19"/>
                <w:szCs w:val="19"/>
              </w:rPr>
              <w:t xml:space="preserve">Green dashed circle shown only when the recommendation is BUY or STRONG_BUY. The centroid is the spend-weighted center of all qualifying venues. Hidden for MONITOR, DO_NOT_PROCEED, and ALTERNATIVE_INTERVENTION.</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Legend:  </w:t>
            </w:r>
            <w:r>
              <w:rPr>
                <w:rFonts w:ascii="Arial" w:cs="Arial" w:eastAsia="Arial" w:hAnsi="Arial"/>
                <w:color w:val="555555"/>
                <w:sz w:val="19"/>
                <w:szCs w:val="19"/>
              </w:rPr>
              <w:t xml:space="preserve">Venues marker always shown. Recommended Hub marker shown only when the hub circle is active.</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Venue list:  </w:t>
            </w:r>
            <w:r>
              <w:rPr>
                <w:rFonts w:ascii="Arial" w:cs="Arial" w:eastAsia="Arial" w:hAnsi="Arial"/>
                <w:color w:val="555555"/>
                <w:sz w:val="19"/>
                <w:szCs w:val="19"/>
              </w:rPr>
              <w:t xml:space="preserve">Top 4 venues ranked by spend, shown below the map with spend and booking count. Full venue list rendered in print layout.</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Print behavior:  </w:t>
            </w:r>
            <w:r>
              <w:rPr>
                <w:rFonts w:ascii="Arial" w:cs="Arial" w:eastAsia="Arial" w:hAnsi="Arial"/>
                <w:color w:val="555555"/>
                <w:sz w:val="19"/>
                <w:szCs w:val="19"/>
              </w:rPr>
              <w:t xml:space="preserve">Map tiles do not render in print. Replaced by a plain-text block showing hub coordinates and a summary description.</w:t>
            </w:r>
          </w:p>
        </w:tc>
      </w:tr>
      <w:tr>
        <w:tc>
          <w:tcPr>
            <w:tcW w:type="dxa" w:w="9360"/>
            <w:gridSpan w:val="2"/>
            <w:tcBorders>
              <w:top w:val="single" w:color="CCCCCC" w:sz="1"/>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b/>
                <w:bCs/>
                <w:color w:val="1B4F8C"/>
                <w:sz w:val="18"/>
                <w:szCs w:val="18"/>
              </w:rPr>
              <w:t xml:space="preserve">Data Source  </w:t>
            </w:r>
            <w:r>
              <w:rPr>
                <w:rFonts w:ascii="Arial" w:cs="Arial" w:eastAsia="Arial" w:hAnsi="Arial"/>
                <w:color w:val="555555"/>
                <w:sz w:val="18"/>
                <w:szCs w:val="18"/>
              </w:rPr>
              <w:t xml:space="preserve">data.venues[] (VenueLocation array with lat/lng, spend, and reservation count) and data.hvs.recommended_hub_location.</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1B4F8C" w:val="clear"/>
            <w:tcMar>
              <w:top w:type="dxa" w:w="140"/>
              <w:left w:type="dxa" w:w="200"/>
              <w:bottom w:type="dxa" w:w="140"/>
              <w:right w:type="dxa" w:w="200"/>
            </w:tcMar>
          </w:tcPr>
          <w:p>
            <w:r>
              <w:rPr>
                <w:rFonts w:ascii="Arial" w:cs="Arial" w:eastAsia="Arial" w:hAnsi="Arial"/>
                <w:b/>
                <w:bCs/>
                <w:color w:val="AECCE8"/>
                <w:sz w:val="22"/>
                <w:szCs w:val="22"/>
              </w:rPr>
              <w:t xml:space="preserve">06  </w:t>
            </w:r>
            <w:r>
              <w:rPr>
                <w:rFonts w:ascii="Arial" w:cs="Arial" w:eastAsia="Arial" w:hAnsi="Arial"/>
                <w:b/>
                <w:bCs/>
                <w:color w:val="FFFFFF"/>
                <w:sz w:val="22"/>
                <w:szCs w:val="22"/>
              </w:rPr>
              <w:t xml:space="preserve">StressTestPanel</w:t>
            </w:r>
          </w:p>
        </w:tc>
      </w:tr>
      <w:tr>
        <w:tc>
          <w:tcPr>
            <w:tcW w:type="dxa" w:w="9360"/>
            <w:gridSpan w:val="2"/>
            <w:tcBorders>
              <w:top w:val="none" w:color="FFFFFF" w:sz="0"/>
              <w:left w:val="none" w:color="FFFFFF" w:sz="0"/>
              <w:bottom w:val="none" w:color="FFFFFF" w:sz="0"/>
              <w:right w:val="none" w:color="FFFFFF" w:sz="0"/>
            </w:tcBorders>
            <w:shd w:fill="D5E2F0" w:val="clear"/>
            <w:tcMar>
              <w:top w:type="dxa" w:w="80"/>
              <w:left w:type="dxa" w:w="200"/>
              <w:bottom w:type="dxa" w:w="80"/>
              <w:right w:type="dxa" w:w="200"/>
            </w:tcMar>
          </w:tcPr>
          <w:p>
            <w:r>
              <w:rPr>
                <w:rFonts w:ascii="Courier New" w:cs="Courier New" w:eastAsia="Courier New" w:hAnsi="Courier New"/>
                <w:b/>
                <w:bCs/>
                <w:color w:val="1B4F8C"/>
                <w:sz w:val="17"/>
                <w:szCs w:val="17"/>
              </w:rPr>
              <w:t xml:space="preserve">File  </w:t>
            </w:r>
            <w:r>
              <w:rPr>
                <w:rFonts w:ascii="Courier New" w:cs="Courier New" w:eastAsia="Courier New" w:hAnsi="Courier New"/>
                <w:color w:val="2E75B6"/>
                <w:sz w:val="17"/>
                <w:szCs w:val="17"/>
              </w:rPr>
              <w:t xml:space="preserve">components/hub-locator/StressTestPanel.tsx</w:t>
            </w:r>
            <w:r>
              <w:rPr>
                <w:rFonts w:ascii="Arial" w:cs="Arial" w:eastAsia="Arial" w:hAnsi="Arial"/>
                <w:b/>
                <w:bCs/>
                <w:color w:val="1B4F8C"/>
                <w:sz w:val="17"/>
                <w:szCs w:val="17"/>
              </w:rPr>
              <w:t xml:space="preserve">     Position  </w:t>
            </w:r>
            <w:r>
              <w:rPr>
                <w:rFonts w:ascii="Arial" w:cs="Arial" w:eastAsia="Arial" w:hAnsi="Arial"/>
                <w:color w:val="555555"/>
                <w:sz w:val="17"/>
                <w:szCs w:val="17"/>
              </w:rPr>
              <w:t xml:space="preserve">Row 3, right column, upper card.</w:t>
            </w:r>
          </w:p>
        </w:tc>
      </w:tr>
      <w:tr>
        <w:tc>
          <w:tcPr>
            <w:tcW w:type="dxa" w:w="9360"/>
            <w:gridSpan w:val="2"/>
            <w:tcBorders>
              <w:top w:val="none" w:color="FFFFFF" w:sz="0"/>
              <w:left w:val="none" w:color="FFFFFF" w:sz="0"/>
              <w:bottom w:val="none" w:color="FFFFFF" w:sz="0"/>
              <w:right w:val="none" w:color="FFFFFF" w:sz="0"/>
            </w:tcBorders>
            <w:shd w:fill="F5F7FA" w:val="clear"/>
            <w:tcMar>
              <w:top w:type="dxa" w:w="100"/>
              <w:left w:type="dxa" w:w="200"/>
              <w:bottom w:type="dxa" w:w="100"/>
              <w:right w:type="dxa" w:w="200"/>
            </w:tcMar>
          </w:tcPr>
          <w:p>
            <w:r>
              <w:rPr>
                <w:rFonts w:ascii="Arial" w:cs="Arial" w:eastAsia="Arial" w:hAnsi="Arial"/>
                <w:i/>
                <w:iCs/>
                <w:color w:val="1A1A2E"/>
                <w:sz w:val="19"/>
                <w:szCs w:val="19"/>
              </w:rPr>
              <w:t xml:space="preserve">Enables the analyst to adjust three key economic and geographic assumptions and observe their effect on hub viability in near-real time. Each slider change triggers a server-side recalculation, updating the HVS scorecard, Hub Purpose Panel, Peer Benchmark, Recommendation Card, and Right Rail simultaneously.</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40"/>
              <w:right w:type="dxa" w:w="200"/>
            </w:tcMar>
          </w:tcPr>
          <w:p>
            <w:r>
              <w:rPr>
                <w:rFonts w:ascii="Arial" w:cs="Arial" w:eastAsia="Arial" w:hAnsi="Arial"/>
                <w:b/>
                <w:bCs/>
                <w:color w:val="1A1A2E"/>
                <w:sz w:val="19"/>
                <w:szCs w:val="19"/>
              </w:rPr>
              <w:t xml:space="preserve">Key Sections</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Hub Cost / Month ($2K–$25K):  </w:t>
            </w:r>
            <w:r>
              <w:rPr>
                <w:rFonts w:ascii="Arial" w:cs="Arial" w:eastAsia="Arial" w:hAnsi="Arial"/>
                <w:color w:val="555555"/>
                <w:sz w:val="19"/>
                <w:szCs w:val="19"/>
              </w:rPr>
              <w:t xml:space="preserve">Monthly all-in hub cost. Directly affects ERI — a higher cost reduces net saving and lowers the ERI score.</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Induced Demand Uplift (0–100%):  </w:t>
            </w:r>
            <w:r>
              <w:rPr>
                <w:rFonts w:ascii="Arial" w:cs="Arial" w:eastAsia="Arial" w:hAnsi="Arial"/>
                <w:color w:val="555555"/>
                <w:sz w:val="19"/>
                <w:szCs w:val="19"/>
              </w:rPr>
              <w:t xml:space="preserve">Assumed percentage increase in bookings attributable to hub availability (e.g., employees currently working from home). Default: 25%. Affects ERI and net saving.</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Commute Radius (5–60mi):  </w:t>
            </w:r>
            <w:r>
              <w:rPr>
                <w:rFonts w:ascii="Arial" w:cs="Arial" w:eastAsia="Arial" w:hAnsi="Arial"/>
                <w:color w:val="555555"/>
                <w:sz w:val="19"/>
                <w:szCs w:val="19"/>
              </w:rPr>
              <w:t xml:space="preserve">Defines which existing venue locations fall within reach of the proposed hub centroid. Only venues within radius contribute to demand and economics. Affects DVI, DCI, and ERI. Models venue catchment, not employee home addresses.</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Venue coverage indicator:  </w:t>
            </w:r>
            <w:r>
              <w:rPr>
                <w:rFonts w:ascii="Arial" w:cs="Arial" w:eastAsia="Arial" w:hAnsi="Arial"/>
                <w:color w:val="555555"/>
                <w:sz w:val="19"/>
                <w:szCs w:val="19"/>
              </w:rPr>
              <w:t xml:space="preserve">Live inline indicator (no API call required) showing 'X of Y venues within radius · Z% of spend.' Updates instantly as the radius slider moves. Displays a guidance message when all venues are already in range.</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Net Economics section:  </w:t>
            </w:r>
            <w:r>
              <w:rPr>
                <w:rFonts w:ascii="Arial" w:cs="Arial" w:eastAsia="Arial" w:hAnsi="Arial"/>
                <w:color w:val="555555"/>
                <w:sz w:val="19"/>
                <w:szCs w:val="19"/>
              </w:rPr>
              <w:t xml:space="preserve">Displays Hub Annual Cost (instantaneous) and Net Saving (server-computed, shows 'Recalculating…' during round-trip). Color coding: green for genuinely positive economics, amber with uplift badge when relying on the induced demand assumption, red when net negative.</w:t>
            </w:r>
          </w:p>
        </w:tc>
      </w:tr>
      <w:tr>
        <w:tc>
          <w:tcPr>
            <w:tcW w:type="dxa" w:w="9360"/>
            <w:gridSpan w:val="2"/>
            <w:tcBorders>
              <w:top w:val="single" w:color="CCCCCC" w:sz="1"/>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b/>
                <w:bCs/>
                <w:color w:val="1B4F8C"/>
                <w:sz w:val="18"/>
                <w:szCs w:val="18"/>
              </w:rPr>
              <w:t xml:space="preserve">Data Source  </w:t>
            </w:r>
            <w:r>
              <w:rPr>
                <w:rFonts w:ascii="Arial" w:cs="Arial" w:eastAsia="Arial" w:hAnsi="Arial"/>
                <w:color w:val="555555"/>
                <w:sz w:val="18"/>
                <w:szCs w:val="18"/>
              </w:rPr>
              <w:t xml:space="preserve">Live slider state sent to /api/pulse/metro/[city]/[state] with hubCost, uplift, and radius parameters. Response triggers a full canvas data refresh.</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1B4F8C" w:val="clear"/>
            <w:tcMar>
              <w:top w:type="dxa" w:w="140"/>
              <w:left w:type="dxa" w:w="200"/>
              <w:bottom w:type="dxa" w:w="140"/>
              <w:right w:type="dxa" w:w="200"/>
            </w:tcMar>
          </w:tcPr>
          <w:p>
            <w:r>
              <w:rPr>
                <w:rFonts w:ascii="Arial" w:cs="Arial" w:eastAsia="Arial" w:hAnsi="Arial"/>
                <w:b/>
                <w:bCs/>
                <w:color w:val="AECCE8"/>
                <w:sz w:val="22"/>
                <w:szCs w:val="22"/>
              </w:rPr>
              <w:t xml:space="preserve">07  </w:t>
            </w:r>
            <w:r>
              <w:rPr>
                <w:rFonts w:ascii="Arial" w:cs="Arial" w:eastAsia="Arial" w:hAnsi="Arial"/>
                <w:b/>
                <w:bCs/>
                <w:color w:val="FFFFFF"/>
                <w:sz w:val="22"/>
                <w:szCs w:val="22"/>
              </w:rPr>
              <w:t xml:space="preserve">PeerBenchmarkPanel</w:t>
            </w:r>
          </w:p>
        </w:tc>
      </w:tr>
      <w:tr>
        <w:tc>
          <w:tcPr>
            <w:tcW w:type="dxa" w:w="9360"/>
            <w:gridSpan w:val="2"/>
            <w:tcBorders>
              <w:top w:val="none" w:color="FFFFFF" w:sz="0"/>
              <w:left w:val="none" w:color="FFFFFF" w:sz="0"/>
              <w:bottom w:val="none" w:color="FFFFFF" w:sz="0"/>
              <w:right w:val="none" w:color="FFFFFF" w:sz="0"/>
            </w:tcBorders>
            <w:shd w:fill="D5E2F0" w:val="clear"/>
            <w:tcMar>
              <w:top w:type="dxa" w:w="80"/>
              <w:left w:type="dxa" w:w="200"/>
              <w:bottom w:type="dxa" w:w="80"/>
              <w:right w:type="dxa" w:w="200"/>
            </w:tcMar>
          </w:tcPr>
          <w:p>
            <w:r>
              <w:rPr>
                <w:rFonts w:ascii="Courier New" w:cs="Courier New" w:eastAsia="Courier New" w:hAnsi="Courier New"/>
                <w:b/>
                <w:bCs/>
                <w:color w:val="1B4F8C"/>
                <w:sz w:val="17"/>
                <w:szCs w:val="17"/>
              </w:rPr>
              <w:t xml:space="preserve">File  </w:t>
            </w:r>
            <w:r>
              <w:rPr>
                <w:rFonts w:ascii="Courier New" w:cs="Courier New" w:eastAsia="Courier New" w:hAnsi="Courier New"/>
                <w:color w:val="2E75B6"/>
                <w:sz w:val="17"/>
                <w:szCs w:val="17"/>
              </w:rPr>
              <w:t xml:space="preserve">components/hub-locator/PeerBenchmarkPanel.tsx</w:t>
            </w:r>
            <w:r>
              <w:rPr>
                <w:rFonts w:ascii="Arial" w:cs="Arial" w:eastAsia="Arial" w:hAnsi="Arial"/>
                <w:b/>
                <w:bCs/>
                <w:color w:val="1B4F8C"/>
                <w:sz w:val="17"/>
                <w:szCs w:val="17"/>
              </w:rPr>
              <w:t xml:space="preserve">     Position  </w:t>
            </w:r>
            <w:r>
              <w:rPr>
                <w:rFonts w:ascii="Arial" w:cs="Arial" w:eastAsia="Arial" w:hAnsi="Arial"/>
                <w:color w:val="555555"/>
                <w:sz w:val="17"/>
                <w:szCs w:val="17"/>
              </w:rPr>
              <w:t xml:space="preserve">Row 3, right column, lower card (below StressTestPanel).</w:t>
            </w:r>
          </w:p>
        </w:tc>
      </w:tr>
      <w:tr>
        <w:tc>
          <w:tcPr>
            <w:tcW w:type="dxa" w:w="9360"/>
            <w:gridSpan w:val="2"/>
            <w:tcBorders>
              <w:top w:val="none" w:color="FFFFFF" w:sz="0"/>
              <w:left w:val="none" w:color="FFFFFF" w:sz="0"/>
              <w:bottom w:val="none" w:color="FFFFFF" w:sz="0"/>
              <w:right w:val="none" w:color="FFFFFF" w:sz="0"/>
            </w:tcBorders>
            <w:shd w:fill="F5F7FA" w:val="clear"/>
            <w:tcMar>
              <w:top w:type="dxa" w:w="100"/>
              <w:left w:type="dxa" w:w="200"/>
              <w:bottom w:type="dxa" w:w="100"/>
              <w:right w:type="dxa" w:w="200"/>
            </w:tcMar>
          </w:tcPr>
          <w:p>
            <w:r>
              <w:rPr>
                <w:rFonts w:ascii="Arial" w:cs="Arial" w:eastAsia="Arial" w:hAnsi="Arial"/>
                <w:i/>
                <w:iCs/>
                <w:color w:val="1A1A2E"/>
                <w:sz w:val="19"/>
                <w:szCs w:val="19"/>
              </w:rPr>
              <w:t xml:space="preserve">Compares the current market's HVS score against anonymized peer enterprises operating in the same metro area, giving the analyst competitive and market-relative context for the score.</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40"/>
              <w:right w:type="dxa" w:w="200"/>
            </w:tcMar>
          </w:tcPr>
          <w:p>
            <w:r>
              <w:rPr>
                <w:rFonts w:ascii="Arial" w:cs="Arial" w:eastAsia="Arial" w:hAnsi="Arial"/>
                <w:b/>
                <w:bCs/>
                <w:color w:val="1A1A2E"/>
                <w:sz w:val="19"/>
                <w:szCs w:val="19"/>
              </w:rPr>
              <w:t xml:space="preserve">Key Sections</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Hub Purpose badge:  </w:t>
            </w:r>
            <w:r>
              <w:rPr>
                <w:rFonts w:ascii="Arial" w:cs="Arial" w:eastAsia="Arial" w:hAnsi="Arial"/>
                <w:color w:val="555555"/>
                <w:sz w:val="19"/>
                <w:szCs w:val="19"/>
              </w:rPr>
              <w:t xml:space="preserve">Displays the market's behavioral archetype classification (Full Collaboration, Latent Collaboration, Cultural Anchor, or Distributed Workforce)</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Percentile rank:  </w:t>
            </w:r>
            <w:r>
              <w:rPr>
                <w:rFonts w:ascii="Arial" w:cs="Arial" w:eastAsia="Arial" w:hAnsi="Arial"/>
                <w:color w:val="555555"/>
                <w:sz w:val="19"/>
                <w:szCs w:val="19"/>
              </w:rPr>
              <w:t xml:space="preserve">Large numeric display of the enterprise's percentile position relative to peers in the same market (e.g., '42nd')</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Distribution bar:  </w:t>
            </w:r>
            <w:r>
              <w:rPr>
                <w:rFonts w:ascii="Arial" w:cs="Arial" w:eastAsia="Arial" w:hAnsi="Arial"/>
                <w:color w:val="555555"/>
                <w:sz w:val="19"/>
                <w:szCs w:val="19"/>
              </w:rPr>
              <w:t xml:space="preserve">Visual distribution showing three markers: Median (gray), P75 (amber), and the enterprise's own score (RAG colored). The enterprise marker is full opacity; reference markers are dimmed.</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Stat row:  </w:t>
            </w:r>
            <w:r>
              <w:rPr>
                <w:rFonts w:ascii="Arial" w:cs="Arial" w:eastAsia="Arial" w:hAnsi="Arial"/>
                <w:color w:val="555555"/>
                <w:sz w:val="19"/>
                <w:szCs w:val="19"/>
              </w:rPr>
              <w:t xml:space="preserve">Displays the enterprise's HVS, Median HVS, and Top 25% HVS as plain numeric values</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Empty state:  </w:t>
            </w:r>
            <w:r>
              <w:rPr>
                <w:rFonts w:ascii="Arial" w:cs="Arial" w:eastAsia="Arial" w:hAnsi="Arial"/>
                <w:color w:val="555555"/>
                <w:sz w:val="19"/>
                <w:szCs w:val="19"/>
              </w:rPr>
              <w:t xml:space="preserve">Renders an 'Insufficient peer data' message with explanation when fewer than five peer enterprises exist in the market</w:t>
            </w:r>
          </w:p>
        </w:tc>
      </w:tr>
      <w:tr>
        <w:tc>
          <w:tcPr>
            <w:tcW w:type="dxa" w:w="9360"/>
            <w:gridSpan w:val="2"/>
            <w:tcBorders>
              <w:top w:val="single" w:color="CCCCCC" w:sz="1"/>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b/>
                <w:bCs/>
                <w:color w:val="1B4F8C"/>
                <w:sz w:val="18"/>
                <w:szCs w:val="18"/>
              </w:rPr>
              <w:t xml:space="preserve">Data Source  </w:t>
            </w:r>
            <w:r>
              <w:rPr>
                <w:rFonts w:ascii="Arial" w:cs="Arial" w:eastAsia="Arial" w:hAnsi="Arial"/>
                <w:color w:val="555555"/>
                <w:sz w:val="18"/>
                <w:szCs w:val="18"/>
              </w:rPr>
              <w:t xml:space="preserve">data.peers — PeerBenchmark object containing median_hvs, top_quartile_hvs, percentile, and sample_size. Requires a minimum of 5 peer enterprises.</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1B4F8C" w:val="clear"/>
            <w:tcMar>
              <w:top w:type="dxa" w:w="140"/>
              <w:left w:type="dxa" w:w="200"/>
              <w:bottom w:type="dxa" w:w="140"/>
              <w:right w:type="dxa" w:w="200"/>
            </w:tcMar>
          </w:tcPr>
          <w:p>
            <w:r>
              <w:rPr>
                <w:rFonts w:ascii="Arial" w:cs="Arial" w:eastAsia="Arial" w:hAnsi="Arial"/>
                <w:b/>
                <w:bCs/>
                <w:color w:val="AECCE8"/>
                <w:sz w:val="22"/>
                <w:szCs w:val="22"/>
              </w:rPr>
              <w:t xml:space="preserve">08  </w:t>
            </w:r>
            <w:r>
              <w:rPr>
                <w:rFonts w:ascii="Arial" w:cs="Arial" w:eastAsia="Arial" w:hAnsi="Arial"/>
                <w:b/>
                <w:bCs/>
                <w:color w:val="FFFFFF"/>
                <w:sz w:val="22"/>
                <w:szCs w:val="22"/>
              </w:rPr>
              <w:t xml:space="preserve">RecommendationCard</w:t>
            </w:r>
          </w:p>
        </w:tc>
      </w:tr>
      <w:tr>
        <w:tc>
          <w:tcPr>
            <w:tcW w:type="dxa" w:w="9360"/>
            <w:gridSpan w:val="2"/>
            <w:tcBorders>
              <w:top w:val="none" w:color="FFFFFF" w:sz="0"/>
              <w:left w:val="none" w:color="FFFFFF" w:sz="0"/>
              <w:bottom w:val="none" w:color="FFFFFF" w:sz="0"/>
              <w:right w:val="none" w:color="FFFFFF" w:sz="0"/>
            </w:tcBorders>
            <w:shd w:fill="D5E2F0" w:val="clear"/>
            <w:tcMar>
              <w:top w:type="dxa" w:w="80"/>
              <w:left w:type="dxa" w:w="200"/>
              <w:bottom w:type="dxa" w:w="80"/>
              <w:right w:type="dxa" w:w="200"/>
            </w:tcMar>
          </w:tcPr>
          <w:p>
            <w:r>
              <w:rPr>
                <w:rFonts w:ascii="Courier New" w:cs="Courier New" w:eastAsia="Courier New" w:hAnsi="Courier New"/>
                <w:b/>
                <w:bCs/>
                <w:color w:val="1B4F8C"/>
                <w:sz w:val="17"/>
                <w:szCs w:val="17"/>
              </w:rPr>
              <w:t xml:space="preserve">File  </w:t>
            </w:r>
            <w:r>
              <w:rPr>
                <w:rFonts w:ascii="Courier New" w:cs="Courier New" w:eastAsia="Courier New" w:hAnsi="Courier New"/>
                <w:color w:val="2E75B6"/>
                <w:sz w:val="17"/>
                <w:szCs w:val="17"/>
              </w:rPr>
              <w:t xml:space="preserve">components/hub-locator/RecommendationCard.tsx</w:t>
            </w:r>
            <w:r>
              <w:rPr>
                <w:rFonts w:ascii="Arial" w:cs="Arial" w:eastAsia="Arial" w:hAnsi="Arial"/>
                <w:b/>
                <w:bCs/>
                <w:color w:val="1B4F8C"/>
                <w:sz w:val="17"/>
                <w:szCs w:val="17"/>
              </w:rPr>
              <w:t xml:space="preserve">     Position  </w:t>
            </w:r>
            <w:r>
              <w:rPr>
                <w:rFonts w:ascii="Arial" w:cs="Arial" w:eastAsia="Arial" w:hAnsi="Arial"/>
                <w:color w:val="555555"/>
                <w:sz w:val="17"/>
                <w:szCs w:val="17"/>
              </w:rPr>
              <w:t xml:space="preserve">Row 4, full width. Bottom of the canvas.</w:t>
            </w:r>
          </w:p>
        </w:tc>
      </w:tr>
      <w:tr>
        <w:tc>
          <w:tcPr>
            <w:tcW w:type="dxa" w:w="9360"/>
            <w:gridSpan w:val="2"/>
            <w:tcBorders>
              <w:top w:val="none" w:color="FFFFFF" w:sz="0"/>
              <w:left w:val="none" w:color="FFFFFF" w:sz="0"/>
              <w:bottom w:val="none" w:color="FFFFFF" w:sz="0"/>
              <w:right w:val="none" w:color="FFFFFF" w:sz="0"/>
            </w:tcBorders>
            <w:shd w:fill="F5F7FA" w:val="clear"/>
            <w:tcMar>
              <w:top w:type="dxa" w:w="100"/>
              <w:left w:type="dxa" w:w="200"/>
              <w:bottom w:type="dxa" w:w="100"/>
              <w:right w:type="dxa" w:w="200"/>
            </w:tcMar>
          </w:tcPr>
          <w:p>
            <w:r>
              <w:rPr>
                <w:rFonts w:ascii="Arial" w:cs="Arial" w:eastAsia="Arial" w:hAnsi="Arial"/>
                <w:i/>
                <w:iCs/>
                <w:color w:val="1A1A2E"/>
                <w:sz w:val="19"/>
                <w:szCs w:val="19"/>
              </w:rPr>
              <w:t xml:space="preserve">The primary decision-output layer. Translates the HVS score into an actionable recommendation with supporting evidence, configuration guidance, economic modeling, and a workflow action for initiating a sourcing requirement. This component integrates all upstream scoring into a single, actionable summary.</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40"/>
              <w:right w:type="dxa" w:w="200"/>
            </w:tcMar>
          </w:tcPr>
          <w:p>
            <w:r>
              <w:rPr>
                <w:rFonts w:ascii="Arial" w:cs="Arial" w:eastAsia="Arial" w:hAnsi="Arial"/>
                <w:b/>
                <w:bCs/>
                <w:color w:val="1A1A2E"/>
                <w:sz w:val="19"/>
                <w:szCs w:val="19"/>
              </w:rPr>
              <w:t xml:space="preserve">Key Sections</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Recommendation + narrative:  </w:t>
            </w:r>
            <w:r>
              <w:rPr>
                <w:rFonts w:ascii="Arial" w:cs="Arial" w:eastAsia="Arial" w:hAnsi="Arial"/>
                <w:color w:val="555555"/>
                <w:sz w:val="19"/>
                <w:szCs w:val="19"/>
              </w:rPr>
              <w:t xml:space="preserve">Plain-English explanation of the recommendation label and the factors driving it</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Alternative Intervention panel:  </w:t>
            </w:r>
            <w:r>
              <w:rPr>
                <w:rFonts w:ascii="Arial" w:cs="Arial" w:eastAsia="Arial" w:hAnsi="Arial"/>
                <w:color w:val="555555"/>
                <w:sz w:val="19"/>
                <w:szCs w:val="19"/>
              </w:rPr>
              <w:t xml:space="preserve">Displayed only when recommendation is ALTERNATIVE_INTERVENTION (Distributed Workforce behavioral profile with positive economics). Purple styling. Describes the alternative program, rationale, and suggested next step.</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Hub Location + Size:  </w:t>
            </w:r>
            <w:r>
              <w:rPr>
                <w:rFonts w:ascii="Arial" w:cs="Arial" w:eastAsia="Arial" w:hAnsi="Arial"/>
                <w:color w:val="555555"/>
                <w:sz w:val="19"/>
                <w:szCs w:val="19"/>
              </w:rPr>
              <w:t xml:space="preserve">Lat/lng of demand centroid with description, and a recommended seat range (min–max) derived from average daily bookings × 1.3 headroom factor</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Hub Configuration:  </w:t>
            </w:r>
            <w:r>
              <w:rPr>
                <w:rFonts w:ascii="Arial" w:cs="Arial" w:eastAsia="Arial" w:hAnsi="Arial"/>
                <w:color w:val="555555"/>
                <w:sz w:val="19"/>
                <w:szCs w:val="19"/>
              </w:rPr>
              <w:t xml:space="preserve">Shown for BUY/STRONG_BUY only. Purpose-aware breakdown of private offices, dedicated desks, hot desks, meeting rooms by capacity, phone booths, anchor-day capacity factor, and configuration rationale.</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Originate Sourcing Requirement:  </w:t>
            </w:r>
            <w:r>
              <w:rPr>
                <w:rFonts w:ascii="Arial" w:cs="Arial" w:eastAsia="Arial" w:hAnsi="Arial"/>
                <w:color w:val="555555"/>
                <w:sz w:val="19"/>
                <w:szCs w:val="19"/>
              </w:rPr>
              <w:t xml:space="preserve">BUY/STRONG_BUY only. Button generates a REQ-XXXX ID, timestamps the action, and broadcasts a hub-originated CustomEvent (received by the Right Rail). Transitions to a confirmed state showing the REQ ID and a link to Transaction Manager.</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Economic ROI grid:  </w:t>
            </w:r>
            <w:r>
              <w:rPr>
                <w:rFonts w:ascii="Arial" w:cs="Arial" w:eastAsia="Arial" w:hAnsi="Arial"/>
                <w:color w:val="555555"/>
                <w:sz w:val="19"/>
                <w:szCs w:val="19"/>
              </w:rPr>
              <w:t xml:space="preserve">Four rows: Baseline Spend, Hub Annual Cost, Net Saving, and Payback Period. Baseline is catchment-adjusted (radius-gated spend, not raw total).</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Workforce ROI grid:  </w:t>
            </w:r>
            <w:r>
              <w:rPr>
                <w:rFonts w:ascii="Arial" w:cs="Arial" w:eastAsia="Arial" w:hAnsi="Arial"/>
                <w:color w:val="555555"/>
                <w:sz w:val="19"/>
                <w:szCs w:val="19"/>
              </w:rPr>
              <w:t xml:space="preserve">Three model estimate rows: Commute Reduction, Employees Benefited, and Retention Lift Estimate.</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What Would Change This:  </w:t>
            </w:r>
            <w:r>
              <w:rPr>
                <w:rFonts w:ascii="Arial" w:cs="Arial" w:eastAsia="Arial" w:hAnsi="Arial"/>
                <w:color w:val="555555"/>
                <w:sz w:val="19"/>
                <w:szCs w:val="19"/>
              </w:rPr>
              <w:t xml:space="preserve">Bulleted list of specific conditions that would shift the current recommendation</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Critical Unknowns:  </w:t>
            </w:r>
            <w:r>
              <w:rPr>
                <w:rFonts w:ascii="Arial" w:cs="Arial" w:eastAsia="Arial" w:hAnsi="Arial"/>
                <w:color w:val="555555"/>
                <w:sz w:val="19"/>
                <w:szCs w:val="19"/>
              </w:rPr>
              <w:t xml:space="preserve">Bulleted list of data gaps that the model cannot account for (e.g., employee home address distribution, headcount projections)</w:t>
            </w:r>
          </w:p>
        </w:tc>
      </w:tr>
      <w:tr>
        <w:tc>
          <w:tcPr>
            <w:tcW w:type="dxa" w:w="9360"/>
            <w:gridSpan w:val="2"/>
            <w:tcBorders>
              <w:top w:val="single" w:color="CCCCCC" w:sz="1"/>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b/>
                <w:bCs/>
                <w:color w:val="1B4F8C"/>
                <w:sz w:val="18"/>
                <w:szCs w:val="18"/>
              </w:rPr>
              <w:t xml:space="preserve">Data Source  </w:t>
            </w:r>
            <w:r>
              <w:rPr>
                <w:rFonts w:ascii="Arial" w:cs="Arial" w:eastAsia="Arial" w:hAnsi="Arial"/>
                <w:color w:val="555555"/>
                <w:sz w:val="18"/>
                <w:szCs w:val="18"/>
              </w:rPr>
              <w:t xml:space="preserve">Full MetroHubAnalysis object, including hvs, venues, peers, and all stress test parameters from the current panel state.</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1B4F8C" w:val="clear"/>
            <w:tcMar>
              <w:top w:type="dxa" w:w="140"/>
              <w:left w:type="dxa" w:w="200"/>
              <w:bottom w:type="dxa" w:w="140"/>
              <w:right w:type="dxa" w:w="200"/>
            </w:tcMar>
          </w:tcPr>
          <w:p>
            <w:r>
              <w:rPr>
                <w:rFonts w:ascii="Arial" w:cs="Arial" w:eastAsia="Arial" w:hAnsi="Arial"/>
                <w:b/>
                <w:bCs/>
                <w:color w:val="AECCE8"/>
                <w:sz w:val="22"/>
                <w:szCs w:val="22"/>
              </w:rPr>
              <w:t xml:space="preserve">09  </w:t>
            </w:r>
            <w:r>
              <w:rPr>
                <w:rFonts w:ascii="Arial" w:cs="Arial" w:eastAsia="Arial" w:hAnsi="Arial"/>
                <w:b/>
                <w:bCs/>
                <w:color w:val="FFFFFF"/>
                <w:sz w:val="22"/>
                <w:szCs w:val="22"/>
              </w:rPr>
              <w:t xml:space="preserve">ExportDialog</w:t>
            </w:r>
          </w:p>
        </w:tc>
      </w:tr>
      <w:tr>
        <w:tc>
          <w:tcPr>
            <w:tcW w:type="dxa" w:w="9360"/>
            <w:gridSpan w:val="2"/>
            <w:tcBorders>
              <w:top w:val="none" w:color="FFFFFF" w:sz="0"/>
              <w:left w:val="none" w:color="FFFFFF" w:sz="0"/>
              <w:bottom w:val="none" w:color="FFFFFF" w:sz="0"/>
              <w:right w:val="none" w:color="FFFFFF" w:sz="0"/>
            </w:tcBorders>
            <w:shd w:fill="D5E2F0" w:val="clear"/>
            <w:tcMar>
              <w:top w:type="dxa" w:w="80"/>
              <w:left w:type="dxa" w:w="200"/>
              <w:bottom w:type="dxa" w:w="80"/>
              <w:right w:type="dxa" w:w="200"/>
            </w:tcMar>
          </w:tcPr>
          <w:p>
            <w:r>
              <w:rPr>
                <w:rFonts w:ascii="Courier New" w:cs="Courier New" w:eastAsia="Courier New" w:hAnsi="Courier New"/>
                <w:b/>
                <w:bCs/>
                <w:color w:val="1B4F8C"/>
                <w:sz w:val="17"/>
                <w:szCs w:val="17"/>
              </w:rPr>
              <w:t xml:space="preserve">File  </w:t>
            </w:r>
            <w:r>
              <w:rPr>
                <w:rFonts w:ascii="Courier New" w:cs="Courier New" w:eastAsia="Courier New" w:hAnsi="Courier New"/>
                <w:color w:val="2E75B6"/>
                <w:sz w:val="17"/>
                <w:szCs w:val="17"/>
              </w:rPr>
              <w:t xml:space="preserve">components/hub-locator/ExportDialog.tsx</w:t>
            </w:r>
            <w:r>
              <w:rPr>
                <w:rFonts w:ascii="Arial" w:cs="Arial" w:eastAsia="Arial" w:hAnsi="Arial"/>
                <w:b/>
                <w:bCs/>
                <w:color w:val="1B4F8C"/>
                <w:sz w:val="17"/>
                <w:szCs w:val="17"/>
              </w:rPr>
              <w:t xml:space="preserve">     Position  </w:t>
            </w:r>
            <w:r>
              <w:rPr>
                <w:rFonts w:ascii="Arial" w:cs="Arial" w:eastAsia="Arial" w:hAnsi="Arial"/>
                <w:color w:val="555555"/>
                <w:sz w:val="17"/>
                <w:szCs w:val="17"/>
              </w:rPr>
              <w:t xml:space="preserve">Top-right of page, triggered by the 'Export' button in the breadcrumb bar.</w:t>
            </w:r>
          </w:p>
        </w:tc>
      </w:tr>
      <w:tr>
        <w:tc>
          <w:tcPr>
            <w:tcW w:type="dxa" w:w="9360"/>
            <w:gridSpan w:val="2"/>
            <w:tcBorders>
              <w:top w:val="none" w:color="FFFFFF" w:sz="0"/>
              <w:left w:val="none" w:color="FFFFFF" w:sz="0"/>
              <w:bottom w:val="none" w:color="FFFFFF" w:sz="0"/>
              <w:right w:val="none" w:color="FFFFFF" w:sz="0"/>
            </w:tcBorders>
            <w:shd w:fill="F5F7FA" w:val="clear"/>
            <w:tcMar>
              <w:top w:type="dxa" w:w="100"/>
              <w:left w:type="dxa" w:w="200"/>
              <w:bottom w:type="dxa" w:w="100"/>
              <w:right w:type="dxa" w:w="200"/>
            </w:tcMar>
          </w:tcPr>
          <w:p>
            <w:r>
              <w:rPr>
                <w:rFonts w:ascii="Arial" w:cs="Arial" w:eastAsia="Arial" w:hAnsi="Arial"/>
                <w:i/>
                <w:iCs/>
                <w:color w:val="1A1A2E"/>
                <w:sz w:val="19"/>
                <w:szCs w:val="19"/>
              </w:rPr>
              <w:t xml:space="preserve">A modal dialog allowing the analyst to export the current analysis in three formats. Includes a live preview panel summarizing the key data points that will be included in the export.</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40"/>
              <w:right w:type="dxa" w:w="200"/>
            </w:tcMar>
          </w:tcPr>
          <w:p>
            <w:r>
              <w:rPr>
                <w:rFonts w:ascii="Arial" w:cs="Arial" w:eastAsia="Arial" w:hAnsi="Arial"/>
                <w:b/>
                <w:bCs/>
                <w:color w:val="1A1A2E"/>
                <w:sz w:val="19"/>
                <w:szCs w:val="19"/>
              </w:rPr>
              <w:t xml:space="preserve">Key Sections</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Executive PDF:  </w:t>
            </w:r>
            <w:r>
              <w:rPr>
                <w:rFonts w:ascii="Arial" w:cs="Arial" w:eastAsia="Arial" w:hAnsi="Arial"/>
                <w:color w:val="555555"/>
                <w:sz w:val="19"/>
                <w:szCs w:val="19"/>
              </w:rPr>
              <w:t xml:space="preserve">Triggers window.print() which renders the print-optimized layout. Chrome users are shown instructions for Save as PDF with recommended output settings. Fully functional.</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Data Export (CSV):  </w:t>
            </w:r>
            <w:r>
              <w:rPr>
                <w:rFonts w:ascii="Arial" w:cs="Arial" w:eastAsia="Arial" w:hAnsi="Arial"/>
                <w:color w:val="555555"/>
                <w:sz w:val="19"/>
                <w:szCs w:val="19"/>
              </w:rPr>
              <w:t xml:space="preserve">Raw demand and HVS scoring inputs. Currently stubbed — shows a loading state but does not produce a download.</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GeoJSON Map Data:  </w:t>
            </w:r>
            <w:r>
              <w:rPr>
                <w:rFonts w:ascii="Arial" w:cs="Arial" w:eastAsia="Arial" w:hAnsi="Arial"/>
                <w:color w:val="555555"/>
                <w:sz w:val="19"/>
                <w:szCs w:val="19"/>
              </w:rPr>
              <w:t xml:space="preserve">Venue locations and hub polygon. Currently stubbed — shows a loading state but does not produce a download.</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Preview panel:  </w:t>
            </w:r>
            <w:r>
              <w:rPr>
                <w:rFonts w:ascii="Arial" w:cs="Arial" w:eastAsia="Arial" w:hAnsi="Arial"/>
                <w:color w:val="555555"/>
                <w:sz w:val="19"/>
                <w:szCs w:val="19"/>
              </w:rPr>
              <w:t xml:space="preserve">Displays HVS composite, net saving, seat recommendation, and count of critical unknowns prior to export.</w:t>
            </w:r>
          </w:p>
        </w:tc>
      </w:tr>
      <w:tr>
        <w:tc>
          <w:tcPr>
            <w:tcW w:type="dxa" w:w="9360"/>
            <w:gridSpan w:val="2"/>
            <w:tcBorders>
              <w:top w:val="single" w:color="CCCCCC" w:sz="1"/>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b/>
                <w:bCs/>
                <w:color w:val="1B4F8C"/>
                <w:sz w:val="18"/>
                <w:szCs w:val="18"/>
              </w:rPr>
              <w:t xml:space="preserve">Data Source  </w:t>
            </w:r>
            <w:r>
              <w:rPr>
                <w:rFonts w:ascii="Arial" w:cs="Arial" w:eastAsia="Arial" w:hAnsi="Arial"/>
                <w:color w:val="555555"/>
                <w:sz w:val="18"/>
                <w:szCs w:val="18"/>
              </w:rPr>
              <w:t xml:space="preserve">Reads from the current canvas data state. PDF export uses the browser print API.</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gridSpan w:val="2"/>
            <w:tcBorders>
              <w:top w:val="none" w:color="FFFFFF" w:sz="0"/>
              <w:left w:val="none" w:color="FFFFFF" w:sz="0"/>
              <w:bottom w:val="none" w:color="FFFFFF" w:sz="0"/>
              <w:right w:val="none" w:color="FFFFFF" w:sz="0"/>
            </w:tcBorders>
            <w:shd w:fill="1B4F8C" w:val="clear"/>
            <w:tcMar>
              <w:top w:type="dxa" w:w="140"/>
              <w:left w:type="dxa" w:w="200"/>
              <w:bottom w:type="dxa" w:w="140"/>
              <w:right w:type="dxa" w:w="200"/>
            </w:tcMar>
          </w:tcPr>
          <w:p>
            <w:r>
              <w:rPr>
                <w:rFonts w:ascii="Arial" w:cs="Arial" w:eastAsia="Arial" w:hAnsi="Arial"/>
                <w:b/>
                <w:bCs/>
                <w:color w:val="AECCE8"/>
                <w:sz w:val="22"/>
                <w:szCs w:val="22"/>
              </w:rPr>
              <w:t xml:space="preserve">10  </w:t>
            </w:r>
            <w:r>
              <w:rPr>
                <w:rFonts w:ascii="Arial" w:cs="Arial" w:eastAsia="Arial" w:hAnsi="Arial"/>
                <w:b/>
                <w:bCs/>
                <w:color w:val="FFFFFF"/>
                <w:sz w:val="22"/>
                <w:szCs w:val="22"/>
              </w:rPr>
              <w:t xml:space="preserve">RightRail (Analysis Panel)</w:t>
            </w:r>
          </w:p>
        </w:tc>
      </w:tr>
      <w:tr>
        <w:tc>
          <w:tcPr>
            <w:tcW w:type="dxa" w:w="9360"/>
            <w:gridSpan w:val="2"/>
            <w:tcBorders>
              <w:top w:val="none" w:color="FFFFFF" w:sz="0"/>
              <w:left w:val="none" w:color="FFFFFF" w:sz="0"/>
              <w:bottom w:val="none" w:color="FFFFFF" w:sz="0"/>
              <w:right w:val="none" w:color="FFFFFF" w:sz="0"/>
            </w:tcBorders>
            <w:shd w:fill="D5E2F0" w:val="clear"/>
            <w:tcMar>
              <w:top w:type="dxa" w:w="80"/>
              <w:left w:type="dxa" w:w="200"/>
              <w:bottom w:type="dxa" w:w="80"/>
              <w:right w:type="dxa" w:w="200"/>
            </w:tcMar>
          </w:tcPr>
          <w:p>
            <w:r>
              <w:rPr>
                <w:rFonts w:ascii="Courier New" w:cs="Courier New" w:eastAsia="Courier New" w:hAnsi="Courier New"/>
                <w:b/>
                <w:bCs/>
                <w:color w:val="1B4F8C"/>
                <w:sz w:val="17"/>
                <w:szCs w:val="17"/>
              </w:rPr>
              <w:t xml:space="preserve">File  </w:t>
            </w:r>
            <w:r>
              <w:rPr>
                <w:rFonts w:ascii="Courier New" w:cs="Courier New" w:eastAsia="Courier New" w:hAnsi="Courier New"/>
                <w:color w:val="2E75B6"/>
                <w:sz w:val="17"/>
                <w:szCs w:val="17"/>
              </w:rPr>
              <w:t xml:space="preserve">components/layout/RightRail.tsx</w:t>
            </w:r>
            <w:r>
              <w:rPr>
                <w:rFonts w:ascii="Arial" w:cs="Arial" w:eastAsia="Arial" w:hAnsi="Arial"/>
                <w:b/>
                <w:bCs/>
                <w:color w:val="1B4F8C"/>
                <w:sz w:val="17"/>
                <w:szCs w:val="17"/>
              </w:rPr>
              <w:t xml:space="preserve">     Position  </w:t>
            </w:r>
            <w:r>
              <w:rPr>
                <w:rFonts w:ascii="Arial" w:cs="Arial" w:eastAsia="Arial" w:hAnsi="Arial"/>
                <w:color w:val="555555"/>
                <w:sz w:val="17"/>
                <w:szCs w:val="17"/>
              </w:rPr>
              <w:t xml:space="preserve">Fixed right sidebar, 280px wide. Persists across all canvas views.</w:t>
            </w:r>
          </w:p>
        </w:tc>
      </w:tr>
      <w:tr>
        <w:tc>
          <w:tcPr>
            <w:tcW w:type="dxa" w:w="9360"/>
            <w:gridSpan w:val="2"/>
            <w:tcBorders>
              <w:top w:val="none" w:color="FFFFFF" w:sz="0"/>
              <w:left w:val="none" w:color="FFFFFF" w:sz="0"/>
              <w:bottom w:val="none" w:color="FFFFFF" w:sz="0"/>
              <w:right w:val="none" w:color="FFFFFF" w:sz="0"/>
            </w:tcBorders>
            <w:shd w:fill="F5F7FA" w:val="clear"/>
            <w:tcMar>
              <w:top w:type="dxa" w:w="100"/>
              <w:left w:type="dxa" w:w="200"/>
              <w:bottom w:type="dxa" w:w="100"/>
              <w:right w:type="dxa" w:w="200"/>
            </w:tcMar>
          </w:tcPr>
          <w:p>
            <w:r>
              <w:rPr>
                <w:rFonts w:ascii="Arial" w:cs="Arial" w:eastAsia="Arial" w:hAnsi="Arial"/>
                <w:i/>
                <w:iCs/>
                <w:color w:val="1A1A2E"/>
                <w:sz w:val="19"/>
                <w:szCs w:val="19"/>
              </w:rPr>
              <w:t xml:space="preserve">A persistent sidebar that derives and displays contextual insights from whichever canvas is currently active. Updates automatically in response to canvas data changes, including after stress test slider adjustments. The Right Rail serves as a lightweight executive summary layer running alongside the main analysis.</w:t>
            </w:r>
          </w:p>
        </w:tc>
      </w:tr>
      <w:tr>
        <w:tc>
          <w:tcPr>
            <w:tcW w:type="dxa" w:w="9360"/>
            <w:gridSpan w:val="2"/>
            <w:tcBorders>
              <w:top w:val="none" w:color="FFFFFF" w:sz="0"/>
              <w:left w:val="none" w:color="FFFFFF" w:sz="0"/>
              <w:bottom w:val="none" w:color="FFFFFF" w:sz="0"/>
              <w:right w:val="none" w:color="FFFFFF" w:sz="0"/>
            </w:tcBorders>
            <w:shd w:fill="FFFFFF" w:val="clear"/>
            <w:tcMar>
              <w:top w:type="dxa" w:w="100"/>
              <w:left w:type="dxa" w:w="200"/>
              <w:bottom w:type="dxa" w:w="40"/>
              <w:right w:type="dxa" w:w="200"/>
            </w:tcMar>
          </w:tcPr>
          <w:p>
            <w:r>
              <w:rPr>
                <w:rFonts w:ascii="Arial" w:cs="Arial" w:eastAsia="Arial" w:hAnsi="Arial"/>
                <w:b/>
                <w:bCs/>
                <w:color w:val="1A1A2E"/>
                <w:sz w:val="19"/>
                <w:szCs w:val="19"/>
              </w:rPr>
              <w:t xml:space="preserve">Key Sections</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Key Insights:  </w:t>
            </w:r>
            <w:r>
              <w:rPr>
                <w:rFonts w:ascii="Arial" w:cs="Arial" w:eastAsia="Arial" w:hAnsi="Arial"/>
                <w:color w:val="555555"/>
                <w:sz w:val="19"/>
                <w:szCs w:val="19"/>
              </w:rPr>
              <w:t xml:space="preserve">Auto-derived insight cards typed as Finding, Action, Alert, or Originated. In the metro analysis view, up to four insights are shown: an HVS finding, a lowest sub-score action, an ERI-aware ROI insight (four variants depending on economics), and an alert for any critical threshold breaches.</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ROI insight variants:  </w:t>
            </w:r>
            <w:r>
              <w:rPr>
                <w:rFonts w:ascii="Arial" w:cs="Arial" w:eastAsia="Arial" w:hAnsi="Arial"/>
                <w:color w:val="555555"/>
                <w:sz w:val="19"/>
                <w:szCs w:val="19"/>
              </w:rPr>
              <w:t xml:space="preserve">Genuine saving (Finding), reliance on induced demand uplift (Action or Alert depending on ERI), or net negative economics (Alert).</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Originated events:  </w:t>
            </w:r>
            <w:r>
              <w:rPr>
                <w:rFonts w:ascii="Arial" w:cs="Arial" w:eastAsia="Arial" w:hAnsi="Arial"/>
                <w:color w:val="555555"/>
                <w:sz w:val="19"/>
                <w:szCs w:val="19"/>
              </w:rPr>
              <w:t xml:space="preserve">Listens for the hub-originated CustomEvent from RecommendationCard. Adds an 'Originated' card at the top of insights with REQ ID, market, and timestamp. Persists for the duration of the session.</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Downloads section:  </w:t>
            </w:r>
            <w:r>
              <w:rPr>
                <w:rFonts w:ascii="Arial" w:cs="Arial" w:eastAsia="Arial" w:hAnsi="Arial"/>
                <w:color w:val="555555"/>
                <w:sz w:val="19"/>
                <w:szCs w:val="19"/>
              </w:rPr>
              <w:t xml:space="preserve">Context-aware export buttons matching the current canvas (PDF and CSV). PDF triggers window.print(); CSV is marked as coming soon.</w:t>
            </w:r>
          </w:p>
        </w:tc>
      </w:tr>
      <w:tr>
        <w:tc>
          <w:tcPr>
            <w:tcW w:type="dxa" w:w="9360"/>
            <w:gridSpan w:val="2"/>
            <w:tcBorders>
              <w:top w:val="none" w:color="FFFFFF" w:sz="0"/>
              <w:left w:val="none" w:color="FFFFFF" w:sz="0"/>
              <w:bottom w:val="none" w:color="FFFFFF" w:sz="0"/>
              <w:right w:val="none" w:color="FFFFFF" w:sz="0"/>
            </w:tcBorders>
            <w:shd w:fill="FFFFFF" w:val="clear"/>
            <w:tcMar>
              <w:top w:type="dxa" w:w="40"/>
              <w:left w:type="dxa" w:w="360"/>
              <w:bottom w:type="dxa" w:w="40"/>
              <w:right w:type="dxa" w:w="200"/>
            </w:tcMar>
          </w:tcPr>
          <w:p>
            <w:r>
              <w:rPr>
                <w:rFonts w:ascii="Arial" w:cs="Arial" w:eastAsia="Arial" w:hAnsi="Arial"/>
                <w:b/>
                <w:bCs/>
                <w:color w:val="2E75B6"/>
                <w:sz w:val="19"/>
                <w:szCs w:val="19"/>
              </w:rPr>
              <w:t xml:space="preserve">This Session:  </w:t>
            </w:r>
            <w:r>
              <w:rPr>
                <w:rFonts w:ascii="Arial" w:cs="Arial" w:eastAsia="Arial" w:hAnsi="Arial"/>
                <w:color w:val="555555"/>
                <w:sz w:val="19"/>
                <w:szCs w:val="19"/>
              </w:rPr>
              <w:t xml:space="preserve">Chronological history of markets and views analyzed in the current session, limited to the last 8 entries with relative timestamps.</w:t>
            </w:r>
          </w:p>
        </w:tc>
      </w:tr>
      <w:tr>
        <w:tc>
          <w:tcPr>
            <w:tcW w:type="dxa" w:w="9360"/>
            <w:gridSpan w:val="2"/>
            <w:tcBorders>
              <w:top w:val="single" w:color="CCCCCC" w:sz="1"/>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b/>
                <w:bCs/>
                <w:color w:val="1B4F8C"/>
                <w:sz w:val="18"/>
                <w:szCs w:val="18"/>
              </w:rPr>
              <w:t xml:space="preserve">Data Source  </w:t>
            </w:r>
            <w:r>
              <w:rPr>
                <w:rFonts w:ascii="Arial" w:cs="Arial" w:eastAsia="Arial" w:hAnsi="Arial"/>
                <w:color w:val="555555"/>
                <w:sz w:val="18"/>
                <w:szCs w:val="18"/>
              </w:rPr>
              <w:t xml:space="preserve">Derived from Shell canvasData, populated via the onDataUpdate() callback from MetroAnalysisCanvas. Also listens for the hub-originated browser CustomEvent.</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B4F8C"/>
          <w:sz w:val="28"/>
          <w:szCs w:val="28"/>
        </w:rPr>
        <w:t xml:space="preserve">Recommendation Reference</w:t>
      </w:r>
    </w:p>
    <w:p>
      <w:pPr>
        <w:spacing w:after="60" w:before="60"/>
      </w:pPr>
      <w:r>
        <w:rPr>
          <w:rFonts w:ascii="Arial" w:cs="Arial" w:eastAsia="Arial" w:hAnsi="Arial"/>
          <w:color w:val="555555"/>
          <w:sz w:val="20"/>
          <w:szCs w:val="20"/>
        </w:rPr>
        <w:t xml:space="preserve">The HVS composite score maps to one of six recommendation values. The table below shows the trigger condition for each value and its effect on key UI elements across the canvas.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320"/>
        <w:gridCol w:w="1320"/>
        <w:gridCol w:w="2320"/>
      </w:tblGrid>
      <w:tr>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Trigger Condition</w:t>
            </w:r>
          </w:p>
        </w:tc>
        <w:tc>
          <w:tcPr>
            <w:tcW w:type="dxa" w:w="132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Hub Marker</w:t>
            </w:r>
          </w:p>
        </w:tc>
        <w:tc>
          <w:tcPr>
            <w:tcW w:type="dxa" w:w="132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Originate Button</w:t>
            </w:r>
          </w:p>
        </w:tc>
        <w:tc>
          <w:tcPr>
            <w:tcW w:type="dxa" w:w="232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18"/>
                <w:szCs w:val="18"/>
              </w:rPr>
              <w:t xml:space="preserve">Alt. Intervention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STRONG_BUY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HVS ≥ 70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BUY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18"/>
                <w:szCs w:val="18"/>
              </w:rPr>
              <w:t xml:space="preserve">HVS 55–69</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MONITOR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HVS 40–54</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DO_NOT_PROCEED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18"/>
                <w:szCs w:val="18"/>
              </w:rPr>
              <w:t xml:space="preserve">HVS &lt; 40</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INSUFFICIENT_DATA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Fewer than 10 reservations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ALTERNATIVE_INTERVENTION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18"/>
                <w:szCs w:val="18"/>
              </w:rPr>
              <w:t xml:space="preserve">Distributed Workforce profile + BUY/STRONG_BUY economics</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r>
    </w:tbl>
    <w:p>
      <w:pPr>
        <w:spacing w:after="0" w:before="160"/>
      </w:pPr>
      <w:r>
        <w:t xml:space="preserve"/>
      </w:r>
    </w:p>
    <w:p>
      <w:pPr>
        <w:pStyle w:val="Heading1"/>
        <w:pBdr>
          <w:bottom w:val="single" w:color="2E75B6" w:sz="6" w:space="4"/>
        </w:pBdr>
        <w:spacing w:after="120" w:before="360"/>
      </w:pPr>
      <w:r>
        <w:rPr>
          <w:rFonts w:ascii="Arial" w:cs="Arial" w:eastAsia="Arial" w:hAnsi="Arial"/>
          <w:b/>
          <w:bCs/>
          <w:color w:val="1B4F8C"/>
          <w:sz w:val="28"/>
          <w:szCs w:val="28"/>
        </w:rPr>
        <w:t xml:space="preserve">Data Flow Summary</w:t>
      </w:r>
    </w:p>
    <w:p>
      <w:pPr>
        <w:spacing w:after="60" w:before="60"/>
      </w:pPr>
      <w:r>
        <w:rPr>
          <w:rFonts w:ascii="Arial" w:cs="Arial" w:eastAsia="Arial" w:hAnsi="Arial"/>
          <w:color w:val="555555"/>
          <w:sz w:val="20"/>
          <w:szCs w:val="20"/>
        </w:rPr>
        <w:t xml:space="preserve">All canvas data originates from a single API route and flows through the MetroAnalysisCanvas component to all child components. Stress test slider changes trigger a fresh API call with updated parameters, which refreshes all dependent components simultaneously.</w:t>
      </w:r>
    </w:p>
    <w:p>
      <w:pPr>
        <w:spacing w:after="0" w:before="80"/>
      </w:pPr>
      <w:r>
        <w:t xml:space="preserve"/>
      </w:r>
    </w:p>
    <w:p>
      <w:pPr>
        <w:pStyle w:val="Heading2"/>
        <w:spacing w:after="80" w:before="240"/>
      </w:pPr>
      <w:r>
        <w:rPr>
          <w:rFonts w:ascii="Arial" w:cs="Arial" w:eastAsia="Arial" w:hAnsi="Arial"/>
          <w:b/>
          <w:bCs/>
          <w:color w:val="2E75B6"/>
          <w:sz w:val="22"/>
          <w:szCs w:val="22"/>
        </w:rPr>
        <w:t xml:space="preserve">Initial Page Load</w:t>
      </w:r>
    </w:p>
    <w:p>
      <w:pPr>
        <w:pStyle w:val="ListParagraph"/>
        <w:numPr>
          <w:ilvl w:val="0"/>
          <w:numId w:val="2"/>
        </w:numPr>
        <w:spacing w:after="40" w:before="40"/>
      </w:pPr>
      <w:r>
        <w:rPr>
          <w:rFonts w:ascii="Arial" w:cs="Arial" w:eastAsia="Arial" w:hAnsi="Arial"/>
          <w:color w:val="555555"/>
          <w:sz w:val="20"/>
          <w:szCs w:val="20"/>
        </w:rPr>
        <w:t xml:space="preserve">URL parameters (city, state) and enterprise query parameter are passed to /api/pulse/metro/[city]/[state]</w:t>
      </w:r>
    </w:p>
    <w:p>
      <w:pPr>
        <w:pStyle w:val="ListParagraph"/>
        <w:numPr>
          <w:ilvl w:val="0"/>
          <w:numId w:val="2"/>
        </w:numPr>
        <w:spacing w:after="40" w:before="40"/>
      </w:pPr>
      <w:r>
        <w:rPr>
          <w:rFonts w:ascii="Arial" w:cs="Arial" w:eastAsia="Arial" w:hAnsi="Arial"/>
          <w:color w:val="555555"/>
          <w:sz w:val="20"/>
          <w:szCs w:val="20"/>
        </w:rPr>
        <w:t xml:space="preserve">The API route calls getMetroVenues(), getDailyDemand(), getMetroPortfolio(), getPeerBenchmarks(), and getWorkTypeData()</w:t>
      </w:r>
    </w:p>
    <w:p>
      <w:pPr>
        <w:pStyle w:val="ListParagraph"/>
        <w:numPr>
          <w:ilvl w:val="0"/>
          <w:numId w:val="2"/>
        </w:numPr>
        <w:spacing w:after="40" w:before="40"/>
      </w:pPr>
      <w:r>
        <w:rPr>
          <w:rFonts w:ascii="Arial" w:cs="Arial" w:eastAsia="Arial" w:hAnsi="Arial"/>
          <w:color w:val="555555"/>
          <w:sz w:val="20"/>
          <w:szCs w:val="20"/>
        </w:rPr>
        <w:t xml:space="preserve">buildHVSReasoning() computes DVI, DCI, ERI, hub purpose classification, hub configuration, and alternative intervention logic</w:t>
      </w:r>
    </w:p>
    <w:p>
      <w:pPr>
        <w:pStyle w:val="ListParagraph"/>
        <w:numPr>
          <w:ilvl w:val="0"/>
          <w:numId w:val="2"/>
        </w:numPr>
        <w:spacing w:after="40" w:before="40"/>
      </w:pPr>
      <w:r>
        <w:rPr>
          <w:rFonts w:ascii="Arial" w:cs="Arial" w:eastAsia="Arial" w:hAnsi="Arial"/>
          <w:color w:val="555555"/>
          <w:sz w:val="20"/>
          <w:szCs w:val="20"/>
        </w:rPr>
        <w:t xml:space="preserve">The assembled MetroHubAnalysis response is returned to MetroAnalysisCanvas and distributed to all child components</w:t>
      </w:r>
    </w:p>
    <w:p>
      <w:pPr>
        <w:pStyle w:val="ListParagraph"/>
        <w:numPr>
          <w:ilvl w:val="0"/>
          <w:numId w:val="2"/>
        </w:numPr>
        <w:spacing w:after="40" w:before="40"/>
      </w:pPr>
      <w:r>
        <w:rPr>
          <w:rFonts w:ascii="Arial" w:cs="Arial" w:eastAsia="Arial" w:hAnsi="Arial"/>
          <w:color w:val="555555"/>
          <w:sz w:val="20"/>
          <w:szCs w:val="20"/>
        </w:rPr>
        <w:t xml:space="preserve">The onDataUpdate() callback propagates the data to the Shell, which forwards it to the RightRail</w:t>
      </w:r>
    </w:p>
    <w:p>
      <w:pPr>
        <w:spacing w:after="0" w:before="80"/>
      </w:pPr>
      <w:r>
        <w:t xml:space="preserve"/>
      </w:r>
    </w:p>
    <w:p>
      <w:pPr>
        <w:pStyle w:val="Heading2"/>
        <w:spacing w:after="80" w:before="240"/>
      </w:pPr>
      <w:r>
        <w:rPr>
          <w:rFonts w:ascii="Arial" w:cs="Arial" w:eastAsia="Arial" w:hAnsi="Arial"/>
          <w:b/>
          <w:bCs/>
          <w:color w:val="2E75B6"/>
          <w:sz w:val="22"/>
          <w:szCs w:val="22"/>
        </w:rPr>
        <w:t xml:space="preserve">Stress Test Update Flow</w:t>
      </w:r>
    </w:p>
    <w:p>
      <w:pPr>
        <w:pStyle w:val="ListParagraph"/>
        <w:numPr>
          <w:ilvl w:val="0"/>
          <w:numId w:val="2"/>
        </w:numPr>
        <w:spacing w:after="40" w:before="40"/>
      </w:pPr>
      <w:r>
        <w:rPr>
          <w:rFonts w:ascii="Arial" w:cs="Arial" w:eastAsia="Arial" w:hAnsi="Arial"/>
          <w:color w:val="555555"/>
          <w:sz w:val="20"/>
          <w:szCs w:val="20"/>
        </w:rPr>
        <w:t xml:space="preserve">Any slider change in StressTestPanel calls handleStressChange() in MetroAnalysisCanvas</w:t>
      </w:r>
    </w:p>
    <w:p>
      <w:pPr>
        <w:pStyle w:val="ListParagraph"/>
        <w:numPr>
          <w:ilvl w:val="0"/>
          <w:numId w:val="2"/>
        </w:numPr>
        <w:spacing w:after="40" w:before="40"/>
      </w:pPr>
      <w:r>
        <w:rPr>
          <w:rFonts w:ascii="Arial" w:cs="Arial" w:eastAsia="Arial" w:hAnsi="Arial"/>
          <w:color w:val="555555"/>
          <w:sz w:val="20"/>
          <w:szCs w:val="20"/>
        </w:rPr>
        <w:t xml:space="preserve">A new request is sent to the API with updated hubCost, uplift, and radius parameters</w:t>
      </w:r>
    </w:p>
    <w:p>
      <w:pPr>
        <w:pStyle w:val="ListParagraph"/>
        <w:numPr>
          <w:ilvl w:val="0"/>
          <w:numId w:val="2"/>
        </w:numPr>
        <w:spacing w:after="40" w:before="40"/>
      </w:pPr>
      <w:r>
        <w:rPr>
          <w:rFonts w:ascii="Arial" w:cs="Arial" w:eastAsia="Arial" w:hAnsi="Arial"/>
          <w:color w:val="555555"/>
          <w:sz w:val="20"/>
          <w:szCs w:val="20"/>
        </w:rPr>
        <w:t xml:space="preserve">The API returns a full new MetroHubAnalysis object</w:t>
      </w:r>
    </w:p>
    <w:p>
      <w:pPr>
        <w:pStyle w:val="ListParagraph"/>
        <w:numPr>
          <w:ilvl w:val="0"/>
          <w:numId w:val="2"/>
        </w:numPr>
        <w:spacing w:after="40" w:before="40"/>
      </w:pPr>
      <w:r>
        <w:rPr>
          <w:rFonts w:ascii="Arial" w:cs="Arial" w:eastAsia="Arial" w:hAnsi="Arial"/>
          <w:color w:val="555555"/>
          <w:sz w:val="20"/>
          <w:szCs w:val="20"/>
        </w:rPr>
        <w:t xml:space="preserve">setData(newData) triggers a re-render of all canvas components</w:t>
      </w:r>
    </w:p>
    <w:p>
      <w:pPr>
        <w:pStyle w:val="ListParagraph"/>
        <w:numPr>
          <w:ilvl w:val="0"/>
          <w:numId w:val="2"/>
        </w:numPr>
        <w:spacing w:after="40" w:before="40"/>
      </w:pPr>
      <w:r>
        <w:rPr>
          <w:rFonts w:ascii="Arial" w:cs="Arial" w:eastAsia="Arial" w:hAnsi="Arial"/>
          <w:color w:val="555555"/>
          <w:sz w:val="20"/>
          <w:szCs w:val="20"/>
        </w:rPr>
        <w:t xml:space="preserve">onDataUpdate(newData) propagates the update to the Shell and RightRail</w:t>
      </w:r>
    </w:p>
    <w:p>
      <w:pPr>
        <w:spacing w:after="0" w:before="80"/>
      </w:pPr>
      <w:r>
        <w:t xml:space="preserve"/>
      </w:r>
    </w:p>
    <w:p>
      <w:pPr>
        <w:pStyle w:val="Heading2"/>
        <w:spacing w:after="80" w:before="240"/>
      </w:pPr>
      <w:r>
        <w:rPr>
          <w:rFonts w:ascii="Arial" w:cs="Arial" w:eastAsia="Arial" w:hAnsi="Arial"/>
          <w:b/>
          <w:bCs/>
          <w:color w:val="2E75B6"/>
          <w:sz w:val="22"/>
          <w:szCs w:val="22"/>
        </w:rPr>
        <w:t xml:space="preserve">Originate Flow</w:t>
      </w:r>
    </w:p>
    <w:p>
      <w:pPr>
        <w:pStyle w:val="ListParagraph"/>
        <w:numPr>
          <w:ilvl w:val="0"/>
          <w:numId w:val="2"/>
        </w:numPr>
        <w:spacing w:after="40" w:before="40"/>
      </w:pPr>
      <w:r>
        <w:rPr>
          <w:rFonts w:ascii="Arial" w:cs="Arial" w:eastAsia="Arial" w:hAnsi="Arial"/>
          <w:color w:val="555555"/>
          <w:sz w:val="20"/>
          <w:szCs w:val="20"/>
        </w:rPr>
        <w:t xml:space="preserve">The analyst clicks 'Originate Sourcing Requirement' in RecommendationCard</w:t>
      </w:r>
    </w:p>
    <w:p>
      <w:pPr>
        <w:pStyle w:val="ListParagraph"/>
        <w:numPr>
          <w:ilvl w:val="0"/>
          <w:numId w:val="2"/>
        </w:numPr>
        <w:spacing w:after="40" w:before="40"/>
      </w:pPr>
      <w:r>
        <w:rPr>
          <w:rFonts w:ascii="Arial" w:cs="Arial" w:eastAsia="Arial" w:hAnsi="Arial"/>
          <w:color w:val="555555"/>
          <w:sz w:val="20"/>
          <w:szCs w:val="20"/>
        </w:rPr>
        <w:t xml:space="preserve">A REQ-XXXX ID is generated and timestamped</w:t>
      </w:r>
    </w:p>
    <w:p>
      <w:pPr>
        <w:pStyle w:val="ListParagraph"/>
        <w:numPr>
          <w:ilvl w:val="0"/>
          <w:numId w:val="2"/>
        </w:numPr>
        <w:spacing w:after="40" w:before="40"/>
      </w:pPr>
      <w:r>
        <w:rPr>
          <w:rFonts w:ascii="Arial" w:cs="Arial" w:eastAsia="Arial" w:hAnsi="Arial"/>
          <w:color w:val="555555"/>
          <w:sz w:val="20"/>
          <w:szCs w:val="20"/>
        </w:rPr>
        <w:t xml:space="preserve">A hub-originated CustomEvent is dispatched on the browser window</w:t>
      </w:r>
    </w:p>
    <w:p>
      <w:pPr>
        <w:pStyle w:val="ListParagraph"/>
        <w:numPr>
          <w:ilvl w:val="0"/>
          <w:numId w:val="2"/>
        </w:numPr>
        <w:spacing w:after="40" w:before="40"/>
      </w:pPr>
      <w:r>
        <w:rPr>
          <w:rFonts w:ascii="Arial" w:cs="Arial" w:eastAsia="Arial" w:hAnsi="Arial"/>
          <w:color w:val="555555"/>
          <w:sz w:val="20"/>
          <w:szCs w:val="20"/>
        </w:rPr>
        <w:t xml:space="preserve">RightRail listens for this event and prepends an 'Originated' insight card</w:t>
      </w:r>
    </w:p>
    <w:p>
      <w:pPr>
        <w:pStyle w:val="ListParagraph"/>
        <w:numPr>
          <w:ilvl w:val="0"/>
          <w:numId w:val="2"/>
        </w:numPr>
        <w:spacing w:after="40" w:before="40"/>
      </w:pPr>
      <w:r>
        <w:rPr>
          <w:rFonts w:ascii="Arial" w:cs="Arial" w:eastAsia="Arial" w:hAnsi="Arial"/>
          <w:color w:val="555555"/>
          <w:sz w:val="20"/>
          <w:szCs w:val="20"/>
        </w:rPr>
        <w:t xml:space="preserve">The session-scoped originated state persists until the page is closed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Hub Locator — Component Reference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2"/>
      <w:szCs w:val="22"/>
    </w:rPr>
  </w:style>
  <w:style w:type="paragraph" w:styleId="Heading3">
    <w:name w:val="Heading 3"/>
    <w:basedOn w:val="Normal"/>
    <w:next w:val="Normal"/>
    <w:qFormat/>
    <w:pPr>
      <w:spacing w:after="60" w:before="160"/>
      <w:outlineLvl w:val="2"/>
    </w:pPr>
    <w:rPr>
      <w:rFonts w:ascii="Arial" w:cs="Arial" w:eastAsia="Arial" w:hAnsi="Arial"/>
      <w:b/>
      <w:bCs/>
      <w:color w:val="1A1A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2026-04-24T19:14:26.843Z</dcterms:created>
  <dcterms:modified xsi:type="dcterms:W3CDTF">2026-04-24T19:14:26.843Z</dcterms:modified>
</cp:coreProperties>
</file>

<file path=docProps/custom.xml><?xml version="1.0" encoding="utf-8"?>
<Properties xmlns="http://schemas.openxmlformats.org/officeDocument/2006/custom-properties" xmlns:vt="http://schemas.openxmlformats.org/officeDocument/2006/docPropsVTypes"/>
</file>