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WAFR REL 6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Documentation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color w:val="ed7d31"/>
          <w:sz w:val="32"/>
          <w:szCs w:val="32"/>
          <w:shd w:fill="ff9900" w:val="clear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Instrumenting your application for AWS X-Ray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There are two ways to instrument your application to send traces to X-Ray: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AWS Distro for OpenTelemetry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X-Ray SDKs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The SDKs included with X-Ray are part of a tightly integrated instrumentation solution offered by AWS. The AWS Distro for OpenTelemetry is part of a broader industry solution in which X-Ray is only one of many tracing solutions. You can implement end-to-end tracing in X-Ray using either approach, but it’s important to understand the differences in order to determine the most useful approach for you.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We recommend instrumenting your application with the AWS Distro for OpenTelemetry if you need the following: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The ability to send traces to multiple different tracing backends without having to re-instrument your code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3" w:sz="0" w:val="none"/>
        </w:pBdr>
        <w:spacing w:after="0" w:after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Support for a large number of library instrumentations for each language, maintained by the OpenTelemetry community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3" w:sz="0" w:val="none"/>
        </w:pBdr>
        <w:spacing w:after="400" w:before="0" w:before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Fully managed Lambda layers that package everything you need to collect telemetry data, without requiring code changes when using Java, Python, or Node.js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We recommend choosing an X-Ray SDK for instrumenting your application if you need the following: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A tightly integrated single-vendor solution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3" w:sz="0" w:val="none"/>
        </w:pBdr>
        <w:spacing w:after="16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Integration with X-Ray centralized sampling rules, including the ability to configure sampling rules from the X-Ray console and automatically use them across multiple hosts, when using Node.js, Python, Ruby, or .NET</w:t>
      </w:r>
    </w:p>
    <w:p w:rsidR="00000000" w:rsidDel="00000000" w:rsidP="00000000" w:rsidRDefault="00000000" w:rsidRPr="00000000" w14:paraId="00000010">
      <w:pPr>
        <w:rPr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9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-914393</wp:posOffset>
          </wp:positionH>
          <wp:positionV relativeFrom="paragraph">
            <wp:posOffset>-458463</wp:posOffset>
          </wp:positionV>
          <wp:extent cx="7565390" cy="10692765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5390" cy="106927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619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1619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link w:val="Heading1Char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 w:val="1"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cXfx0BKwRJ7UiSy2e75HXxcj8g==">CgMxLjA4AHIhMThlYnl2bVZUSkU5UjE5X29GbmJuSkcyeVFpWW01QkM2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