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Disaster Recovery Plan with Backup and Restore Strategy for Dua's AWS Environment: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Introduction: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Your</w:t>
      </w:r>
      <w:r>
        <w:rPr>
          <w:b w:val="false"/>
          <w:bCs w:val="false"/>
          <w:sz w:val="24"/>
          <w:szCs w:val="24"/>
        </w:rPr>
        <w:t xml:space="preserve"> application relies on critical AWS services to function smoothly. To ensure continuity in the face of disasters, a comprehensive disaster recovery (DR) plan is crucial. This plan outlines how to back up these services and implement a restore strategy in a separate AWS region for redundancy and failover.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Backup Strategy: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Rekognition: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Regularly export image and video data to Amazon S3.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Utilize versioning on the S3 bucket to retain historical data.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Enable cross-region replication to replicate data to a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OpenSearch: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Create automated snapshots of OpenSearch clusters.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Configure automated S3 cross-region snapshot replication for redundancy.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Lambda: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Version and store Lambda function code in an S3 bucket.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Leverage AWS CloudFormation to define Lambda function configurations for easy replication to another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CloudWatch Logs: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Set up log exports to Amazon S3 in the primary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Enable cross-region replication to replicate logs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S3: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Enable versioning on S3 buckets to maintain historical data.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Implement cross-region replication to replicate objects to a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CodeArtifact: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Regularly back up Maven, npm, and Python package repositories.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Utilize CodeArtifact's built-in replication to replicate repositories to another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Kinesis Firehose: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Export Firehose data to Amazon S3 and enable cross-region replication.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Utilize AWS Lambda for custom transformation and backup processing.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CloudFront: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Store CloudFront configurations and access logs in Amazon S3.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Replicate S3 content and logs to the backup region using cross-region replication.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CloudWatch Alerts: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Export alert configurations using AWS CloudFormation templates.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Store templates in Amazon S3 and replicate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SNS and SQS: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Export topic and queue configurations using AWS CloudFormation templates.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Store templates in Amazon S3 and replicate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VPC and ECS: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Define VPC and ECS configurations using AWS CloudFormation templates.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Store templates in Amazon S3 and replicate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Cognito: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Export user pool configurations and user data using AWS CloudFormation templates or SDKs.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Store templates and data in Amazon S3 and replicate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RDS and DynamoDB: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Enable automated backups for RDS instances and DynamoDB tables.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Copy automated snapshots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ElastiCache and EC2: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Enable automatic backups for ElastiCache clusters.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Use AWS CloudFormation to define EC2 instances and replicate the template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Amazon ECR: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Push container images to Amazon ECR repositories.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Set up ECR replication to copy images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Secrets Manager and SSM Parameter Store: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Regularly export secret and parameter configurations.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Store backups in Amazon S3 and replicate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Backup Frequency and Retention: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Configure automated backups and snapshots based on the criticality of each service.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Define retention policies for backups and snapshots, considering legal and compliance requirements.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Testing Backups: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Regularly test backup integrity and restore procedures in a controlled environment.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Utilize AWS CloudFormation or other automation tools to recreate resources from backups.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Disaster Recovery Process: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In the event of a disaster in the primary region, follow these steps for recovery in the backup region: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- Declare a disaster and initiate the DR process.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- Restore backed-up data and configurations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- Deploy application code, Lambda functions, and configurations using AWS CloudFormation templates.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- Update DNS records to direct traffic to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Communication and Documentation: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Maintain up-to-date documentation of the DR plan, including detailed procedures and contact information.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Regularly communicate the DR plan to stakeholders and conduct periodic drills to validate its effectiveness.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Ongoing Monitoring and Optimization: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Continuously monitor the health and performance of the backup region.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Periodically review and update the DR plan to incorporate changes and best practices.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Conclusion: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By implementing this comprehensive disaster recovery plan with a backup and restore strategy, </w:t>
      </w:r>
      <w:r>
        <w:rPr>
          <w:b w:val="false"/>
          <w:bCs w:val="false"/>
          <w:sz w:val="24"/>
          <w:szCs w:val="24"/>
        </w:rPr>
        <w:t>Your</w:t>
      </w:r>
      <w:r>
        <w:rPr>
          <w:b w:val="false"/>
          <w:bCs w:val="false"/>
          <w:sz w:val="24"/>
          <w:szCs w:val="24"/>
        </w:rPr>
        <w:t xml:space="preserve"> application will be well-prepared to handle disasters with minimal disruption. The plan's focus on backing up critical data and resources to another AWS region enhances data redundancy and provides a reliable failover option. Regular testing, communication, and documentation will further contribute to the success of the DR strategy. Keep in mind that AWS services and features may </w:t>
      </w:r>
      <w:r>
        <w:rPr>
          <w:b w:val="false"/>
          <w:bCs w:val="false"/>
          <w:sz w:val="24"/>
          <w:szCs w:val="24"/>
        </w:rPr>
        <w:t>be</w:t>
      </w:r>
      <w:r>
        <w:rPr>
          <w:b w:val="false"/>
          <w:bCs w:val="false"/>
          <w:sz w:val="24"/>
          <w:szCs w:val="24"/>
        </w:rPr>
        <w:t xml:space="preserve"> evolv</w:t>
      </w:r>
      <w:r>
        <w:rPr>
          <w:b w:val="false"/>
          <w:bCs w:val="false"/>
          <w:sz w:val="24"/>
          <w:szCs w:val="24"/>
        </w:rPr>
        <w:t>ing</w:t>
      </w:r>
      <w:r>
        <w:rPr>
          <w:b w:val="false"/>
          <w:bCs w:val="false"/>
          <w:sz w:val="24"/>
          <w:szCs w:val="24"/>
        </w:rPr>
        <w:t>, so it's recommended to refer to the latest AWS documentation for accurate guidance.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5</Pages>
  <Words>746</Words>
  <Characters>4197</Characters>
  <CharactersWithSpaces>4878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2023-08-22T12:40:08Z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